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pPr>
        <w:pStyle w:val="4"/>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pPr>
        <w:pStyle w:val="4"/>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7</w:t>
      </w:r>
      <w:r>
        <w:rPr>
          <w:rStyle w:val="9"/>
        </w:rPr>
        <w:fldChar w:fldCharType="end"/>
      </w:r>
    </w:p>
    <w:p>
      <w:pPr>
        <w:pStyle w:val="4"/>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8</w:t>
      </w:r>
      <w:r>
        <w:rPr>
          <w:rStyle w:val="9"/>
        </w:rPr>
        <w:fldChar w:fldCharType="end"/>
      </w:r>
    </w:p>
    <w:p>
      <w:pPr>
        <w:pStyle w:val="4"/>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11</w:t>
      </w:r>
      <w:r>
        <w:rPr>
          <w:rStyle w:val="9"/>
        </w:rPr>
        <w:fldChar w:fldCharType="end"/>
      </w:r>
    </w:p>
    <w:p>
      <w:pPr>
        <w:pStyle w:val="4"/>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12</w:t>
      </w:r>
      <w:r>
        <w:rPr>
          <w:rStyle w:val="9"/>
        </w:rPr>
        <w:fldChar w:fldCharType="end"/>
      </w:r>
    </w:p>
    <w:p>
      <w:pPr>
        <w:pStyle w:val="4"/>
        <w:tabs>
          <w:tab w:val="right" w:leader="dot" w:pos="14562"/>
        </w:tabs>
      </w:pPr>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14</w:t>
      </w:r>
      <w:r>
        <w:rPr>
          <w:rStyle w:val="9"/>
        </w:rPr>
        <w:fldChar w:fldCharType="end"/>
      </w:r>
    </w:p>
    <w:p>
      <w:pPr>
        <w:pStyle w:val="4"/>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15</w:t>
      </w:r>
      <w:r>
        <w:rPr>
          <w:rStyle w:val="9"/>
        </w:rPr>
        <w:fldChar w:fldCharType="end"/>
      </w:r>
    </w:p>
    <w:p>
      <w:pPr>
        <w:pStyle w:val="4"/>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16</w:t>
      </w:r>
      <w:r>
        <w:rPr>
          <w:rStyle w:val="9"/>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17</w:t>
      </w:r>
      <w:r>
        <w:rPr>
          <w:rStyle w:val="9"/>
        </w:rPr>
        <w:fldChar w:fldCharType="end"/>
      </w:r>
    </w:p>
    <w:p>
      <w:pPr>
        <w:pStyle w:val="4"/>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18</w:t>
      </w:r>
      <w:r>
        <w:rPr>
          <w:rStyle w:val="9"/>
        </w:rPr>
        <w:fldChar w:fldCharType="end"/>
      </w:r>
    </w:p>
    <w:p>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19</w:t>
      </w:r>
      <w:r>
        <w:rPr>
          <w:rStyle w:val="9"/>
        </w:rPr>
        <w:fldChar w:fldCharType="end"/>
      </w:r>
    </w:p>
    <w:p>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19</w:t>
      </w:r>
      <w:r>
        <w:rPr>
          <w:rStyle w:val="9"/>
        </w:rPr>
        <w:fldChar w:fldCharType="end"/>
      </w:r>
    </w:p>
    <w:p>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Pr>
        <w:t>19</w:t>
      </w:r>
      <w:r>
        <w:rPr>
          <w:rStyle w:val="9"/>
        </w:rPr>
        <w:fldChar w:fldCharType="end"/>
      </w:r>
    </w:p>
    <w:p>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27</w:t>
      </w:r>
      <w:r>
        <w:rPr>
          <w:rStyle w:val="9"/>
        </w:rPr>
        <w:fldChar w:fldCharType="end"/>
      </w:r>
    </w:p>
    <w:p>
      <w:pPr>
        <w:pStyle w:val="4"/>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27</w:t>
      </w:r>
      <w:r>
        <w:rPr>
          <w:rStyle w:val="9"/>
        </w:rPr>
        <w:fldChar w:fldCharType="end"/>
      </w:r>
    </w:p>
    <w:p>
      <w:pPr>
        <w:pStyle w:val="4"/>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28</w:t>
      </w:r>
      <w:r>
        <w:rPr>
          <w:rStyle w:val="9"/>
        </w:rPr>
        <w:fldChar w:fldCharType="end"/>
      </w:r>
    </w:p>
    <w:p>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29</w:t>
      </w:r>
      <w:r>
        <w:rPr>
          <w:rStyle w:val="9"/>
        </w:rPr>
        <w:fldChar w:fldCharType="end"/>
      </w:r>
    </w:p>
    <w:p>
      <w:r>
        <w:fldChar w:fldCharType="end"/>
      </w: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bookmarkEnd w:id="0"/>
    <w:p>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151001廊坊市广阳区人民政府办公室本级</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1995.75</w:t>
            </w:r>
          </w:p>
        </w:tc>
        <w:tc>
          <w:tcPr>
            <w:tcW w:w="4535" w:type="dxa"/>
            <w:vAlign w:val="center"/>
          </w:tcPr>
          <w:p>
            <w:pPr>
              <w:pStyle w:val="15"/>
            </w:pPr>
            <w:r>
              <w:t>一、一般公共服务支出</w:t>
            </w:r>
          </w:p>
        </w:tc>
        <w:tc>
          <w:tcPr>
            <w:tcW w:w="2126" w:type="dxa"/>
            <w:vAlign w:val="center"/>
          </w:tcPr>
          <w:p>
            <w:pPr>
              <w:pStyle w:val="14"/>
            </w:pPr>
            <w:r>
              <w:t>1699.65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182.44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79.16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1995.75</w:t>
            </w:r>
          </w:p>
        </w:tc>
        <w:tc>
          <w:tcPr>
            <w:tcW w:w="4535" w:type="dxa"/>
            <w:vAlign w:val="center"/>
          </w:tcPr>
          <w:p>
            <w:pPr>
              <w:pStyle w:val="17"/>
            </w:pPr>
            <w:r>
              <w:t>本年支出合计</w:t>
            </w:r>
          </w:p>
        </w:tc>
        <w:tc>
          <w:tcPr>
            <w:tcW w:w="2126" w:type="dxa"/>
            <w:vAlign w:val="center"/>
          </w:tcPr>
          <w:p>
            <w:pPr>
              <w:pStyle w:val="18"/>
            </w:pPr>
            <w:r>
              <w:t>1995.75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1995.75</w:t>
            </w:r>
          </w:p>
        </w:tc>
        <w:tc>
          <w:tcPr>
            <w:tcW w:w="4535" w:type="dxa"/>
            <w:vAlign w:val="center"/>
          </w:tcPr>
          <w:p>
            <w:pPr>
              <w:pStyle w:val="17"/>
            </w:pPr>
            <w:r>
              <w:t>支出总计</w:t>
            </w:r>
          </w:p>
        </w:tc>
        <w:tc>
          <w:tcPr>
            <w:tcW w:w="2126" w:type="dxa"/>
            <w:vAlign w:val="center"/>
          </w:tcPr>
          <w:p>
            <w:pPr>
              <w:pStyle w:val="18"/>
            </w:pPr>
            <w:r>
              <w:t>1995.75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151001廊坊市广阳区人民政府办公室本级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1995.75</w:t>
            </w:r>
          </w:p>
        </w:tc>
        <w:tc>
          <w:tcPr>
            <w:tcW w:w="1134" w:type="dxa"/>
            <w:vAlign w:val="center"/>
          </w:tcPr>
          <w:p>
            <w:pPr>
              <w:pStyle w:val="18"/>
            </w:pPr>
            <w:r>
              <w:t>1995.75</w:t>
            </w:r>
          </w:p>
        </w:tc>
        <w:tc>
          <w:tcPr>
            <w:tcW w:w="1134" w:type="dxa"/>
            <w:vAlign w:val="center"/>
          </w:tcPr>
          <w:p>
            <w:pPr>
              <w:pStyle w:val="18"/>
            </w:pPr>
            <w:r>
              <w:t>1995.75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1699.65</w:t>
            </w:r>
          </w:p>
        </w:tc>
        <w:tc>
          <w:tcPr>
            <w:tcW w:w="1134" w:type="dxa"/>
            <w:vAlign w:val="center"/>
          </w:tcPr>
          <w:p>
            <w:pPr>
              <w:pStyle w:val="14"/>
            </w:pPr>
            <w:r>
              <w:t>1699.65</w:t>
            </w:r>
          </w:p>
        </w:tc>
        <w:tc>
          <w:tcPr>
            <w:tcW w:w="1134" w:type="dxa"/>
            <w:vAlign w:val="center"/>
          </w:tcPr>
          <w:p>
            <w:pPr>
              <w:pStyle w:val="14"/>
            </w:pPr>
            <w:r>
              <w:t>1699.65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1699.65</w:t>
            </w:r>
          </w:p>
        </w:tc>
        <w:tc>
          <w:tcPr>
            <w:tcW w:w="1134" w:type="dxa"/>
            <w:vAlign w:val="center"/>
          </w:tcPr>
          <w:p>
            <w:pPr>
              <w:pStyle w:val="14"/>
            </w:pPr>
            <w:r>
              <w:t>1699.65</w:t>
            </w:r>
          </w:p>
        </w:tc>
        <w:tc>
          <w:tcPr>
            <w:tcW w:w="1134" w:type="dxa"/>
            <w:vAlign w:val="center"/>
          </w:tcPr>
          <w:p>
            <w:pPr>
              <w:pStyle w:val="14"/>
            </w:pPr>
            <w:r>
              <w:t>1699.65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1699.65</w:t>
            </w:r>
          </w:p>
        </w:tc>
        <w:tc>
          <w:tcPr>
            <w:tcW w:w="1134" w:type="dxa"/>
            <w:vAlign w:val="center"/>
          </w:tcPr>
          <w:p>
            <w:pPr>
              <w:pStyle w:val="14"/>
            </w:pPr>
            <w:r>
              <w:t>1699.65</w:t>
            </w:r>
          </w:p>
        </w:tc>
        <w:tc>
          <w:tcPr>
            <w:tcW w:w="1134" w:type="dxa"/>
            <w:vAlign w:val="center"/>
          </w:tcPr>
          <w:p>
            <w:pPr>
              <w:pStyle w:val="14"/>
            </w:pPr>
            <w:r>
              <w:t>1699.65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182.44</w:t>
            </w:r>
          </w:p>
        </w:tc>
        <w:tc>
          <w:tcPr>
            <w:tcW w:w="1134" w:type="dxa"/>
            <w:vAlign w:val="center"/>
          </w:tcPr>
          <w:p>
            <w:pPr>
              <w:pStyle w:val="14"/>
            </w:pPr>
            <w:r>
              <w:t>182.44</w:t>
            </w:r>
          </w:p>
        </w:tc>
        <w:tc>
          <w:tcPr>
            <w:tcW w:w="1134" w:type="dxa"/>
            <w:vAlign w:val="center"/>
          </w:tcPr>
          <w:p>
            <w:pPr>
              <w:pStyle w:val="14"/>
            </w:pPr>
            <w:r>
              <w:t>182.44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180.04</w:t>
            </w:r>
          </w:p>
        </w:tc>
        <w:tc>
          <w:tcPr>
            <w:tcW w:w="1134" w:type="dxa"/>
            <w:vAlign w:val="center"/>
          </w:tcPr>
          <w:p>
            <w:pPr>
              <w:pStyle w:val="14"/>
            </w:pPr>
            <w:r>
              <w:t>180.04</w:t>
            </w:r>
          </w:p>
        </w:tc>
        <w:tc>
          <w:tcPr>
            <w:tcW w:w="1134" w:type="dxa"/>
            <w:vAlign w:val="center"/>
          </w:tcPr>
          <w:p>
            <w:pPr>
              <w:pStyle w:val="14"/>
            </w:pPr>
            <w:r>
              <w:t>180.04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84.33</w:t>
            </w:r>
          </w:p>
        </w:tc>
        <w:tc>
          <w:tcPr>
            <w:tcW w:w="1134" w:type="dxa"/>
            <w:vAlign w:val="center"/>
          </w:tcPr>
          <w:p>
            <w:pPr>
              <w:pStyle w:val="14"/>
            </w:pPr>
            <w:r>
              <w:t>84.33</w:t>
            </w:r>
          </w:p>
        </w:tc>
        <w:tc>
          <w:tcPr>
            <w:tcW w:w="1134" w:type="dxa"/>
            <w:vAlign w:val="center"/>
          </w:tcPr>
          <w:p>
            <w:pPr>
              <w:pStyle w:val="14"/>
            </w:pPr>
            <w:r>
              <w:t>84.33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95.71</w:t>
            </w:r>
          </w:p>
        </w:tc>
        <w:tc>
          <w:tcPr>
            <w:tcW w:w="1134" w:type="dxa"/>
            <w:vAlign w:val="center"/>
          </w:tcPr>
          <w:p>
            <w:pPr>
              <w:pStyle w:val="14"/>
            </w:pPr>
            <w:r>
              <w:t>95.71</w:t>
            </w:r>
          </w:p>
        </w:tc>
        <w:tc>
          <w:tcPr>
            <w:tcW w:w="1134" w:type="dxa"/>
            <w:vAlign w:val="center"/>
          </w:tcPr>
          <w:p>
            <w:pPr>
              <w:pStyle w:val="14"/>
            </w:pPr>
            <w:r>
              <w:t>95.71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20827</w:t>
            </w:r>
          </w:p>
        </w:tc>
        <w:tc>
          <w:tcPr>
            <w:tcW w:w="1559" w:type="dxa"/>
            <w:vAlign w:val="center"/>
          </w:tcPr>
          <w:p>
            <w:pPr>
              <w:pStyle w:val="15"/>
            </w:pPr>
            <w:r>
              <w:t>财政对其他社会保险基金的补助</w:t>
            </w:r>
          </w:p>
        </w:tc>
        <w:tc>
          <w:tcPr>
            <w:tcW w:w="1134" w:type="dxa"/>
            <w:vAlign w:val="center"/>
          </w:tcPr>
          <w:p>
            <w:pPr>
              <w:pStyle w:val="14"/>
            </w:pPr>
            <w:r>
              <w:t>2.40</w:t>
            </w:r>
          </w:p>
        </w:tc>
        <w:tc>
          <w:tcPr>
            <w:tcW w:w="1134" w:type="dxa"/>
            <w:vAlign w:val="center"/>
          </w:tcPr>
          <w:p>
            <w:pPr>
              <w:pStyle w:val="14"/>
            </w:pPr>
            <w:r>
              <w:t>2.40</w:t>
            </w:r>
          </w:p>
        </w:tc>
        <w:tc>
          <w:tcPr>
            <w:tcW w:w="1134" w:type="dxa"/>
            <w:vAlign w:val="center"/>
          </w:tcPr>
          <w:p>
            <w:pPr>
              <w:pStyle w:val="14"/>
            </w:pPr>
            <w:r>
              <w:t>2.40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2082702</w:t>
            </w:r>
          </w:p>
        </w:tc>
        <w:tc>
          <w:tcPr>
            <w:tcW w:w="1559" w:type="dxa"/>
            <w:vAlign w:val="center"/>
          </w:tcPr>
          <w:p>
            <w:pPr>
              <w:pStyle w:val="15"/>
            </w:pPr>
            <w:r>
              <w:t>财政对工伤保险基金的补助</w:t>
            </w:r>
          </w:p>
        </w:tc>
        <w:tc>
          <w:tcPr>
            <w:tcW w:w="1134" w:type="dxa"/>
            <w:vAlign w:val="center"/>
          </w:tcPr>
          <w:p>
            <w:pPr>
              <w:pStyle w:val="14"/>
            </w:pPr>
            <w:r>
              <w:t>2.40</w:t>
            </w:r>
          </w:p>
        </w:tc>
        <w:tc>
          <w:tcPr>
            <w:tcW w:w="1134" w:type="dxa"/>
            <w:vAlign w:val="center"/>
          </w:tcPr>
          <w:p>
            <w:pPr>
              <w:pStyle w:val="14"/>
            </w:pPr>
            <w:r>
              <w:t>2.40</w:t>
            </w:r>
          </w:p>
        </w:tc>
        <w:tc>
          <w:tcPr>
            <w:tcW w:w="1134" w:type="dxa"/>
            <w:vAlign w:val="center"/>
          </w:tcPr>
          <w:p>
            <w:pPr>
              <w:pStyle w:val="14"/>
            </w:pPr>
            <w:r>
              <w:t>2.40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34.50</w:t>
            </w:r>
          </w:p>
        </w:tc>
        <w:tc>
          <w:tcPr>
            <w:tcW w:w="1134" w:type="dxa"/>
            <w:vAlign w:val="center"/>
          </w:tcPr>
          <w:p>
            <w:pPr>
              <w:pStyle w:val="14"/>
            </w:pPr>
            <w:r>
              <w:t>34.50</w:t>
            </w:r>
          </w:p>
        </w:tc>
        <w:tc>
          <w:tcPr>
            <w:tcW w:w="1134" w:type="dxa"/>
            <w:vAlign w:val="center"/>
          </w:tcPr>
          <w:p>
            <w:pPr>
              <w:pStyle w:val="14"/>
            </w:pPr>
            <w:r>
              <w:t>34.50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34.50</w:t>
            </w:r>
          </w:p>
        </w:tc>
        <w:tc>
          <w:tcPr>
            <w:tcW w:w="1134" w:type="dxa"/>
            <w:vAlign w:val="center"/>
          </w:tcPr>
          <w:p>
            <w:pPr>
              <w:pStyle w:val="14"/>
            </w:pPr>
            <w:r>
              <w:t>34.50</w:t>
            </w:r>
          </w:p>
        </w:tc>
        <w:tc>
          <w:tcPr>
            <w:tcW w:w="1134" w:type="dxa"/>
            <w:vAlign w:val="center"/>
          </w:tcPr>
          <w:p>
            <w:pPr>
              <w:pStyle w:val="14"/>
            </w:pPr>
            <w:r>
              <w:t>34.50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34.50</w:t>
            </w:r>
          </w:p>
        </w:tc>
        <w:tc>
          <w:tcPr>
            <w:tcW w:w="1134" w:type="dxa"/>
            <w:vAlign w:val="center"/>
          </w:tcPr>
          <w:p>
            <w:pPr>
              <w:pStyle w:val="14"/>
            </w:pPr>
            <w:r>
              <w:t>34.50</w:t>
            </w:r>
          </w:p>
        </w:tc>
        <w:tc>
          <w:tcPr>
            <w:tcW w:w="1134" w:type="dxa"/>
            <w:vAlign w:val="center"/>
          </w:tcPr>
          <w:p>
            <w:pPr>
              <w:pStyle w:val="14"/>
            </w:pPr>
            <w:r>
              <w:t>34.50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79.16</w:t>
            </w:r>
          </w:p>
        </w:tc>
        <w:tc>
          <w:tcPr>
            <w:tcW w:w="1134" w:type="dxa"/>
            <w:vAlign w:val="center"/>
          </w:tcPr>
          <w:p>
            <w:pPr>
              <w:pStyle w:val="14"/>
            </w:pPr>
            <w:r>
              <w:t>79.16</w:t>
            </w:r>
          </w:p>
        </w:tc>
        <w:tc>
          <w:tcPr>
            <w:tcW w:w="1134" w:type="dxa"/>
            <w:vAlign w:val="center"/>
          </w:tcPr>
          <w:p>
            <w:pPr>
              <w:pStyle w:val="14"/>
            </w:pPr>
            <w:r>
              <w:t>79.16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79.16</w:t>
            </w:r>
          </w:p>
        </w:tc>
        <w:tc>
          <w:tcPr>
            <w:tcW w:w="1134" w:type="dxa"/>
            <w:vAlign w:val="center"/>
          </w:tcPr>
          <w:p>
            <w:pPr>
              <w:pStyle w:val="14"/>
            </w:pPr>
            <w:r>
              <w:t>79.16</w:t>
            </w:r>
          </w:p>
        </w:tc>
        <w:tc>
          <w:tcPr>
            <w:tcW w:w="1134" w:type="dxa"/>
            <w:vAlign w:val="center"/>
          </w:tcPr>
          <w:p>
            <w:pPr>
              <w:pStyle w:val="14"/>
            </w:pPr>
            <w:r>
              <w:t>79.16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79.16</w:t>
            </w:r>
          </w:p>
        </w:tc>
        <w:tc>
          <w:tcPr>
            <w:tcW w:w="1134" w:type="dxa"/>
            <w:vAlign w:val="center"/>
          </w:tcPr>
          <w:p>
            <w:pPr>
              <w:pStyle w:val="14"/>
            </w:pPr>
            <w:r>
              <w:t>79.16</w:t>
            </w:r>
          </w:p>
        </w:tc>
        <w:tc>
          <w:tcPr>
            <w:tcW w:w="1134" w:type="dxa"/>
            <w:vAlign w:val="center"/>
          </w:tcPr>
          <w:p>
            <w:pPr>
              <w:pStyle w:val="14"/>
            </w:pPr>
            <w:r>
              <w:t>79.16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151001廊坊市广阳区人民政府办公室本级</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1995.75</w:t>
            </w:r>
          </w:p>
        </w:tc>
        <w:tc>
          <w:tcPr>
            <w:tcW w:w="1361" w:type="dxa"/>
            <w:vAlign w:val="center"/>
          </w:tcPr>
          <w:p>
            <w:pPr>
              <w:pStyle w:val="18"/>
            </w:pPr>
            <w:r>
              <w:t>1320.80</w:t>
            </w:r>
          </w:p>
        </w:tc>
        <w:tc>
          <w:tcPr>
            <w:tcW w:w="1361" w:type="dxa"/>
            <w:vAlign w:val="center"/>
          </w:tcPr>
          <w:p>
            <w:pPr>
              <w:pStyle w:val="18"/>
            </w:pPr>
            <w:r>
              <w:t>674.95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1699.65</w:t>
            </w:r>
          </w:p>
        </w:tc>
        <w:tc>
          <w:tcPr>
            <w:tcW w:w="1361" w:type="dxa"/>
            <w:vAlign w:val="center"/>
          </w:tcPr>
          <w:p>
            <w:pPr>
              <w:pStyle w:val="14"/>
            </w:pPr>
            <w:r>
              <w:t>1024.70</w:t>
            </w:r>
          </w:p>
        </w:tc>
        <w:tc>
          <w:tcPr>
            <w:tcW w:w="1361" w:type="dxa"/>
            <w:vAlign w:val="center"/>
          </w:tcPr>
          <w:p>
            <w:pPr>
              <w:pStyle w:val="14"/>
            </w:pPr>
            <w:r>
              <w:t>674.95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1699.65</w:t>
            </w:r>
          </w:p>
        </w:tc>
        <w:tc>
          <w:tcPr>
            <w:tcW w:w="1361" w:type="dxa"/>
            <w:vAlign w:val="center"/>
          </w:tcPr>
          <w:p>
            <w:pPr>
              <w:pStyle w:val="14"/>
            </w:pPr>
            <w:r>
              <w:t>1024.70</w:t>
            </w:r>
          </w:p>
        </w:tc>
        <w:tc>
          <w:tcPr>
            <w:tcW w:w="1361" w:type="dxa"/>
            <w:vAlign w:val="center"/>
          </w:tcPr>
          <w:p>
            <w:pPr>
              <w:pStyle w:val="14"/>
            </w:pPr>
            <w:r>
              <w:t>674.95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5" w:type="dxa"/>
            <w:vAlign w:val="center"/>
          </w:tcPr>
          <w:p>
            <w:pPr>
              <w:pStyle w:val="15"/>
            </w:pPr>
            <w:r>
              <w:t>行政运行</w:t>
            </w:r>
          </w:p>
        </w:tc>
        <w:tc>
          <w:tcPr>
            <w:tcW w:w="1361" w:type="dxa"/>
            <w:vAlign w:val="center"/>
          </w:tcPr>
          <w:p>
            <w:pPr>
              <w:pStyle w:val="14"/>
            </w:pPr>
            <w:r>
              <w:t>1699.65</w:t>
            </w:r>
          </w:p>
        </w:tc>
        <w:tc>
          <w:tcPr>
            <w:tcW w:w="1361" w:type="dxa"/>
            <w:vAlign w:val="center"/>
          </w:tcPr>
          <w:p>
            <w:pPr>
              <w:pStyle w:val="14"/>
            </w:pPr>
            <w:r>
              <w:t>1024.70</w:t>
            </w:r>
          </w:p>
        </w:tc>
        <w:tc>
          <w:tcPr>
            <w:tcW w:w="1361" w:type="dxa"/>
            <w:vAlign w:val="center"/>
          </w:tcPr>
          <w:p>
            <w:pPr>
              <w:pStyle w:val="14"/>
            </w:pPr>
            <w:r>
              <w:t>674.95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182.44</w:t>
            </w:r>
          </w:p>
        </w:tc>
        <w:tc>
          <w:tcPr>
            <w:tcW w:w="1361" w:type="dxa"/>
            <w:vAlign w:val="center"/>
          </w:tcPr>
          <w:p>
            <w:pPr>
              <w:pStyle w:val="14"/>
            </w:pPr>
            <w:r>
              <w:t>182.44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180.04</w:t>
            </w:r>
          </w:p>
        </w:tc>
        <w:tc>
          <w:tcPr>
            <w:tcW w:w="1361" w:type="dxa"/>
            <w:vAlign w:val="center"/>
          </w:tcPr>
          <w:p>
            <w:pPr>
              <w:pStyle w:val="14"/>
            </w:pPr>
            <w:r>
              <w:t>180.04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84.33</w:t>
            </w:r>
          </w:p>
        </w:tc>
        <w:tc>
          <w:tcPr>
            <w:tcW w:w="1361" w:type="dxa"/>
            <w:vAlign w:val="center"/>
          </w:tcPr>
          <w:p>
            <w:pPr>
              <w:pStyle w:val="14"/>
            </w:pPr>
            <w:r>
              <w:t>84.33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95.71</w:t>
            </w:r>
          </w:p>
        </w:tc>
        <w:tc>
          <w:tcPr>
            <w:tcW w:w="1361" w:type="dxa"/>
            <w:vAlign w:val="center"/>
          </w:tcPr>
          <w:p>
            <w:pPr>
              <w:pStyle w:val="14"/>
            </w:pPr>
            <w:r>
              <w:t>95.71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20827</w:t>
            </w:r>
          </w:p>
        </w:tc>
        <w:tc>
          <w:tcPr>
            <w:tcW w:w="4535" w:type="dxa"/>
            <w:vAlign w:val="center"/>
          </w:tcPr>
          <w:p>
            <w:pPr>
              <w:pStyle w:val="15"/>
            </w:pPr>
            <w:r>
              <w:t>财政对其他社会保险基金的补助</w:t>
            </w:r>
          </w:p>
        </w:tc>
        <w:tc>
          <w:tcPr>
            <w:tcW w:w="1361" w:type="dxa"/>
            <w:vAlign w:val="center"/>
          </w:tcPr>
          <w:p>
            <w:pPr>
              <w:pStyle w:val="14"/>
            </w:pPr>
            <w:r>
              <w:t>2.40</w:t>
            </w:r>
          </w:p>
        </w:tc>
        <w:tc>
          <w:tcPr>
            <w:tcW w:w="1361" w:type="dxa"/>
            <w:vAlign w:val="center"/>
          </w:tcPr>
          <w:p>
            <w:pPr>
              <w:pStyle w:val="14"/>
            </w:pPr>
            <w:r>
              <w:t>2.40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2082702</w:t>
            </w:r>
          </w:p>
        </w:tc>
        <w:tc>
          <w:tcPr>
            <w:tcW w:w="4535" w:type="dxa"/>
            <w:vAlign w:val="center"/>
          </w:tcPr>
          <w:p>
            <w:pPr>
              <w:pStyle w:val="15"/>
            </w:pPr>
            <w:r>
              <w:t>财政对工伤保险基金的补助</w:t>
            </w:r>
          </w:p>
        </w:tc>
        <w:tc>
          <w:tcPr>
            <w:tcW w:w="1361" w:type="dxa"/>
            <w:vAlign w:val="center"/>
          </w:tcPr>
          <w:p>
            <w:pPr>
              <w:pStyle w:val="14"/>
            </w:pPr>
            <w:r>
              <w:t>2.40</w:t>
            </w:r>
          </w:p>
        </w:tc>
        <w:tc>
          <w:tcPr>
            <w:tcW w:w="1361" w:type="dxa"/>
            <w:vAlign w:val="center"/>
          </w:tcPr>
          <w:p>
            <w:pPr>
              <w:pStyle w:val="14"/>
            </w:pPr>
            <w:r>
              <w:t>2.40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34.50</w:t>
            </w:r>
          </w:p>
        </w:tc>
        <w:tc>
          <w:tcPr>
            <w:tcW w:w="1361" w:type="dxa"/>
            <w:vAlign w:val="center"/>
          </w:tcPr>
          <w:p>
            <w:pPr>
              <w:pStyle w:val="14"/>
            </w:pPr>
            <w:r>
              <w:t>34.50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34.50</w:t>
            </w:r>
          </w:p>
        </w:tc>
        <w:tc>
          <w:tcPr>
            <w:tcW w:w="1361" w:type="dxa"/>
            <w:vAlign w:val="center"/>
          </w:tcPr>
          <w:p>
            <w:pPr>
              <w:pStyle w:val="14"/>
            </w:pPr>
            <w:r>
              <w:t>34.50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34.50</w:t>
            </w:r>
          </w:p>
        </w:tc>
        <w:tc>
          <w:tcPr>
            <w:tcW w:w="1361" w:type="dxa"/>
            <w:vAlign w:val="center"/>
          </w:tcPr>
          <w:p>
            <w:pPr>
              <w:pStyle w:val="14"/>
            </w:pPr>
            <w:r>
              <w:t>34.50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79.16</w:t>
            </w:r>
          </w:p>
        </w:tc>
        <w:tc>
          <w:tcPr>
            <w:tcW w:w="1361" w:type="dxa"/>
            <w:vAlign w:val="center"/>
          </w:tcPr>
          <w:p>
            <w:pPr>
              <w:pStyle w:val="14"/>
            </w:pPr>
            <w:r>
              <w:t>79.16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79.16</w:t>
            </w:r>
          </w:p>
        </w:tc>
        <w:tc>
          <w:tcPr>
            <w:tcW w:w="1361" w:type="dxa"/>
            <w:vAlign w:val="center"/>
          </w:tcPr>
          <w:p>
            <w:pPr>
              <w:pStyle w:val="14"/>
            </w:pPr>
            <w:r>
              <w:t>79.16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79.16</w:t>
            </w:r>
          </w:p>
        </w:tc>
        <w:tc>
          <w:tcPr>
            <w:tcW w:w="1361" w:type="dxa"/>
            <w:vAlign w:val="center"/>
          </w:tcPr>
          <w:p>
            <w:pPr>
              <w:pStyle w:val="14"/>
            </w:pPr>
            <w:r>
              <w:t>79.16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151001廊坊市广阳区人民政府办公室本级</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1995.75</w:t>
            </w:r>
          </w:p>
        </w:tc>
        <w:tc>
          <w:tcPr>
            <w:tcW w:w="3402" w:type="dxa"/>
            <w:vAlign w:val="center"/>
          </w:tcPr>
          <w:p>
            <w:pPr>
              <w:pStyle w:val="15"/>
            </w:pPr>
            <w:r>
              <w:t>一、一般公共服务支出</w:t>
            </w:r>
          </w:p>
        </w:tc>
        <w:tc>
          <w:tcPr>
            <w:tcW w:w="1474" w:type="dxa"/>
            <w:vAlign w:val="center"/>
          </w:tcPr>
          <w:p>
            <w:pPr>
              <w:pStyle w:val="14"/>
            </w:pPr>
            <w:r>
              <w:t>1699.65</w:t>
            </w:r>
          </w:p>
        </w:tc>
        <w:tc>
          <w:tcPr>
            <w:tcW w:w="1474" w:type="dxa"/>
            <w:vAlign w:val="center"/>
          </w:tcPr>
          <w:p>
            <w:pPr>
              <w:pStyle w:val="14"/>
            </w:pPr>
            <w:r>
              <w:t>1699.65</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182.44</w:t>
            </w:r>
          </w:p>
        </w:tc>
        <w:tc>
          <w:tcPr>
            <w:tcW w:w="1474" w:type="dxa"/>
            <w:vAlign w:val="center"/>
          </w:tcPr>
          <w:p>
            <w:pPr>
              <w:pStyle w:val="14"/>
            </w:pPr>
            <w:r>
              <w:t>182.44</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34.50</w:t>
            </w:r>
          </w:p>
        </w:tc>
        <w:tc>
          <w:tcPr>
            <w:tcW w:w="1474" w:type="dxa"/>
            <w:vAlign w:val="center"/>
          </w:tcPr>
          <w:p>
            <w:pPr>
              <w:pStyle w:val="14"/>
            </w:pPr>
            <w:r>
              <w:t>34.50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79.16</w:t>
            </w:r>
          </w:p>
        </w:tc>
        <w:tc>
          <w:tcPr>
            <w:tcW w:w="1474" w:type="dxa"/>
            <w:vAlign w:val="center"/>
          </w:tcPr>
          <w:p>
            <w:pPr>
              <w:pStyle w:val="14"/>
            </w:pPr>
            <w:r>
              <w:t>79.16</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1995.75</w:t>
            </w:r>
          </w:p>
        </w:tc>
        <w:tc>
          <w:tcPr>
            <w:tcW w:w="3402" w:type="dxa"/>
            <w:vAlign w:val="center"/>
          </w:tcPr>
          <w:p>
            <w:pPr>
              <w:pStyle w:val="17"/>
            </w:pPr>
            <w:r>
              <w:t>本年支出合计</w:t>
            </w:r>
          </w:p>
        </w:tc>
        <w:tc>
          <w:tcPr>
            <w:tcW w:w="1474" w:type="dxa"/>
            <w:vAlign w:val="center"/>
          </w:tcPr>
          <w:p>
            <w:pPr>
              <w:pStyle w:val="18"/>
            </w:pPr>
            <w:r>
              <w:t>1995.75</w:t>
            </w:r>
          </w:p>
        </w:tc>
        <w:tc>
          <w:tcPr>
            <w:tcW w:w="1474" w:type="dxa"/>
            <w:vAlign w:val="center"/>
          </w:tcPr>
          <w:p>
            <w:pPr>
              <w:pStyle w:val="18"/>
            </w:pPr>
            <w:r>
              <w:t>1995.75</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1995.75</w:t>
            </w:r>
          </w:p>
        </w:tc>
        <w:tc>
          <w:tcPr>
            <w:tcW w:w="3402" w:type="dxa"/>
            <w:vAlign w:val="center"/>
          </w:tcPr>
          <w:p>
            <w:pPr>
              <w:pStyle w:val="17"/>
            </w:pPr>
            <w:r>
              <w:t>支出总计</w:t>
            </w:r>
          </w:p>
        </w:tc>
        <w:tc>
          <w:tcPr>
            <w:tcW w:w="1474" w:type="dxa"/>
            <w:vAlign w:val="center"/>
          </w:tcPr>
          <w:p>
            <w:pPr>
              <w:pStyle w:val="18"/>
            </w:pPr>
            <w:r>
              <w:t>1995.75</w:t>
            </w:r>
          </w:p>
        </w:tc>
        <w:tc>
          <w:tcPr>
            <w:tcW w:w="1474" w:type="dxa"/>
            <w:vAlign w:val="center"/>
          </w:tcPr>
          <w:p>
            <w:pPr>
              <w:pStyle w:val="18"/>
            </w:pPr>
            <w:r>
              <w:t>1995.75</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151001廊坊市广阳区人民政府办公室本级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1995.75</w:t>
            </w:r>
          </w:p>
        </w:tc>
        <w:tc>
          <w:tcPr>
            <w:tcW w:w="2551" w:type="dxa"/>
            <w:vAlign w:val="center"/>
          </w:tcPr>
          <w:p>
            <w:pPr>
              <w:pStyle w:val="18"/>
            </w:pPr>
            <w:r>
              <w:t>1320.80</w:t>
            </w:r>
          </w:p>
        </w:tc>
        <w:tc>
          <w:tcPr>
            <w:tcW w:w="2551" w:type="dxa"/>
            <w:vAlign w:val="center"/>
          </w:tcPr>
          <w:p>
            <w:pPr>
              <w:pStyle w:val="18"/>
            </w:pPr>
            <w:r>
              <w:t>674.95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1699.65</w:t>
            </w:r>
          </w:p>
        </w:tc>
        <w:tc>
          <w:tcPr>
            <w:tcW w:w="2551" w:type="dxa"/>
            <w:vAlign w:val="center"/>
          </w:tcPr>
          <w:p>
            <w:pPr>
              <w:pStyle w:val="14"/>
            </w:pPr>
            <w:r>
              <w:t>1024.70</w:t>
            </w:r>
          </w:p>
        </w:tc>
        <w:tc>
          <w:tcPr>
            <w:tcW w:w="2551" w:type="dxa"/>
            <w:vAlign w:val="center"/>
          </w:tcPr>
          <w:p>
            <w:pPr>
              <w:pStyle w:val="14"/>
            </w:pPr>
            <w:r>
              <w:t>674.95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1699.65</w:t>
            </w:r>
          </w:p>
        </w:tc>
        <w:tc>
          <w:tcPr>
            <w:tcW w:w="2551" w:type="dxa"/>
            <w:vAlign w:val="center"/>
          </w:tcPr>
          <w:p>
            <w:pPr>
              <w:pStyle w:val="14"/>
            </w:pPr>
            <w:r>
              <w:t>1024.70</w:t>
            </w:r>
          </w:p>
        </w:tc>
        <w:tc>
          <w:tcPr>
            <w:tcW w:w="2551" w:type="dxa"/>
            <w:vAlign w:val="center"/>
          </w:tcPr>
          <w:p>
            <w:pPr>
              <w:pStyle w:val="14"/>
            </w:pPr>
            <w:r>
              <w:t>674.95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1699.65</w:t>
            </w:r>
          </w:p>
        </w:tc>
        <w:tc>
          <w:tcPr>
            <w:tcW w:w="2551" w:type="dxa"/>
            <w:vAlign w:val="center"/>
          </w:tcPr>
          <w:p>
            <w:pPr>
              <w:pStyle w:val="14"/>
            </w:pPr>
            <w:r>
              <w:t>1024.70</w:t>
            </w:r>
          </w:p>
        </w:tc>
        <w:tc>
          <w:tcPr>
            <w:tcW w:w="2551" w:type="dxa"/>
            <w:vAlign w:val="center"/>
          </w:tcPr>
          <w:p>
            <w:pPr>
              <w:pStyle w:val="14"/>
            </w:pPr>
            <w:r>
              <w:t>674.95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182.44</w:t>
            </w:r>
          </w:p>
        </w:tc>
        <w:tc>
          <w:tcPr>
            <w:tcW w:w="2551" w:type="dxa"/>
            <w:vAlign w:val="center"/>
          </w:tcPr>
          <w:p>
            <w:pPr>
              <w:pStyle w:val="14"/>
            </w:pPr>
            <w:r>
              <w:t>182.44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180.04</w:t>
            </w:r>
          </w:p>
        </w:tc>
        <w:tc>
          <w:tcPr>
            <w:tcW w:w="2551" w:type="dxa"/>
            <w:vAlign w:val="center"/>
          </w:tcPr>
          <w:p>
            <w:pPr>
              <w:pStyle w:val="14"/>
            </w:pPr>
            <w:r>
              <w:t>180.04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84.33</w:t>
            </w:r>
          </w:p>
        </w:tc>
        <w:tc>
          <w:tcPr>
            <w:tcW w:w="2551" w:type="dxa"/>
            <w:vAlign w:val="center"/>
          </w:tcPr>
          <w:p>
            <w:pPr>
              <w:pStyle w:val="14"/>
            </w:pPr>
            <w:r>
              <w:t>84.33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95.71</w:t>
            </w:r>
          </w:p>
        </w:tc>
        <w:tc>
          <w:tcPr>
            <w:tcW w:w="2551" w:type="dxa"/>
            <w:vAlign w:val="center"/>
          </w:tcPr>
          <w:p>
            <w:pPr>
              <w:pStyle w:val="14"/>
            </w:pPr>
            <w:r>
              <w:t>95.71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20827</w:t>
            </w:r>
          </w:p>
        </w:tc>
        <w:tc>
          <w:tcPr>
            <w:tcW w:w="4535" w:type="dxa"/>
            <w:vAlign w:val="center"/>
          </w:tcPr>
          <w:p>
            <w:pPr>
              <w:pStyle w:val="15"/>
            </w:pPr>
            <w:r>
              <w:t>财政对其他社会保险基金的补助</w:t>
            </w:r>
          </w:p>
        </w:tc>
        <w:tc>
          <w:tcPr>
            <w:tcW w:w="2551" w:type="dxa"/>
            <w:vAlign w:val="center"/>
          </w:tcPr>
          <w:p>
            <w:pPr>
              <w:pStyle w:val="14"/>
            </w:pPr>
            <w:r>
              <w:t>2.40</w:t>
            </w:r>
          </w:p>
        </w:tc>
        <w:tc>
          <w:tcPr>
            <w:tcW w:w="2551" w:type="dxa"/>
            <w:vAlign w:val="center"/>
          </w:tcPr>
          <w:p>
            <w:pPr>
              <w:pStyle w:val="14"/>
            </w:pPr>
            <w:r>
              <w:t>2.40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2082702</w:t>
            </w:r>
          </w:p>
        </w:tc>
        <w:tc>
          <w:tcPr>
            <w:tcW w:w="4535" w:type="dxa"/>
            <w:vAlign w:val="center"/>
          </w:tcPr>
          <w:p>
            <w:pPr>
              <w:pStyle w:val="15"/>
            </w:pPr>
            <w:r>
              <w:t>财政对工伤保险基金的补助</w:t>
            </w:r>
          </w:p>
        </w:tc>
        <w:tc>
          <w:tcPr>
            <w:tcW w:w="2551" w:type="dxa"/>
            <w:vAlign w:val="center"/>
          </w:tcPr>
          <w:p>
            <w:pPr>
              <w:pStyle w:val="14"/>
            </w:pPr>
            <w:r>
              <w:t>2.40</w:t>
            </w:r>
          </w:p>
        </w:tc>
        <w:tc>
          <w:tcPr>
            <w:tcW w:w="2551" w:type="dxa"/>
            <w:vAlign w:val="center"/>
          </w:tcPr>
          <w:p>
            <w:pPr>
              <w:pStyle w:val="14"/>
            </w:pPr>
            <w:r>
              <w:t>2.40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34.50</w:t>
            </w:r>
          </w:p>
        </w:tc>
        <w:tc>
          <w:tcPr>
            <w:tcW w:w="2551" w:type="dxa"/>
            <w:vAlign w:val="center"/>
          </w:tcPr>
          <w:p>
            <w:pPr>
              <w:pStyle w:val="14"/>
            </w:pPr>
            <w:r>
              <w:t>34.50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34.50</w:t>
            </w:r>
          </w:p>
        </w:tc>
        <w:tc>
          <w:tcPr>
            <w:tcW w:w="2551" w:type="dxa"/>
            <w:vAlign w:val="center"/>
          </w:tcPr>
          <w:p>
            <w:pPr>
              <w:pStyle w:val="14"/>
            </w:pPr>
            <w:r>
              <w:t>34.50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34.50</w:t>
            </w:r>
          </w:p>
        </w:tc>
        <w:tc>
          <w:tcPr>
            <w:tcW w:w="2551" w:type="dxa"/>
            <w:vAlign w:val="center"/>
          </w:tcPr>
          <w:p>
            <w:pPr>
              <w:pStyle w:val="14"/>
            </w:pPr>
            <w:r>
              <w:t>34.50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79.16</w:t>
            </w:r>
          </w:p>
        </w:tc>
        <w:tc>
          <w:tcPr>
            <w:tcW w:w="2551" w:type="dxa"/>
            <w:vAlign w:val="center"/>
          </w:tcPr>
          <w:p>
            <w:pPr>
              <w:pStyle w:val="14"/>
            </w:pPr>
            <w:r>
              <w:t>79.16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79.16</w:t>
            </w:r>
          </w:p>
        </w:tc>
        <w:tc>
          <w:tcPr>
            <w:tcW w:w="2551" w:type="dxa"/>
            <w:vAlign w:val="center"/>
          </w:tcPr>
          <w:p>
            <w:pPr>
              <w:pStyle w:val="14"/>
            </w:pPr>
            <w:r>
              <w:t>79.16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79.16</w:t>
            </w:r>
          </w:p>
        </w:tc>
        <w:tc>
          <w:tcPr>
            <w:tcW w:w="2551" w:type="dxa"/>
            <w:vAlign w:val="center"/>
          </w:tcPr>
          <w:p>
            <w:pPr>
              <w:pStyle w:val="14"/>
            </w:pPr>
            <w:r>
              <w:t>79.16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151001廊坊市广阳区人民政府办公室本级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1320.80</w:t>
            </w:r>
          </w:p>
        </w:tc>
        <w:tc>
          <w:tcPr>
            <w:tcW w:w="2551" w:type="dxa"/>
            <w:vAlign w:val="center"/>
          </w:tcPr>
          <w:p>
            <w:pPr>
              <w:pStyle w:val="18"/>
            </w:pPr>
            <w:r>
              <w:t>1131.70</w:t>
            </w:r>
          </w:p>
        </w:tc>
        <w:tc>
          <w:tcPr>
            <w:tcW w:w="2551" w:type="dxa"/>
            <w:vAlign w:val="center"/>
          </w:tcPr>
          <w:p>
            <w:pPr>
              <w:pStyle w:val="18"/>
            </w:pPr>
            <w:r>
              <w:t>189.10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1047.37</w:t>
            </w:r>
          </w:p>
        </w:tc>
        <w:tc>
          <w:tcPr>
            <w:tcW w:w="2551" w:type="dxa"/>
            <w:vAlign w:val="center"/>
          </w:tcPr>
          <w:p>
            <w:pPr>
              <w:pStyle w:val="14"/>
            </w:pPr>
            <w:r>
              <w:t>1047.37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310.69</w:t>
            </w:r>
          </w:p>
        </w:tc>
        <w:tc>
          <w:tcPr>
            <w:tcW w:w="2551" w:type="dxa"/>
            <w:vAlign w:val="center"/>
          </w:tcPr>
          <w:p>
            <w:pPr>
              <w:pStyle w:val="14"/>
            </w:pPr>
            <w:r>
              <w:t>310.69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225.49</w:t>
            </w:r>
          </w:p>
        </w:tc>
        <w:tc>
          <w:tcPr>
            <w:tcW w:w="2551" w:type="dxa"/>
            <w:vAlign w:val="center"/>
          </w:tcPr>
          <w:p>
            <w:pPr>
              <w:pStyle w:val="14"/>
            </w:pPr>
            <w:r>
              <w:t>225.49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103.25</w:t>
            </w:r>
          </w:p>
        </w:tc>
        <w:tc>
          <w:tcPr>
            <w:tcW w:w="2551" w:type="dxa"/>
            <w:vAlign w:val="center"/>
          </w:tcPr>
          <w:p>
            <w:pPr>
              <w:pStyle w:val="14"/>
            </w:pPr>
            <w:r>
              <w:t>103.25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196.17</w:t>
            </w:r>
          </w:p>
        </w:tc>
        <w:tc>
          <w:tcPr>
            <w:tcW w:w="2551" w:type="dxa"/>
            <w:vAlign w:val="center"/>
          </w:tcPr>
          <w:p>
            <w:pPr>
              <w:pStyle w:val="14"/>
            </w:pPr>
            <w:r>
              <w:t>196.17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95.71</w:t>
            </w:r>
          </w:p>
        </w:tc>
        <w:tc>
          <w:tcPr>
            <w:tcW w:w="2551" w:type="dxa"/>
            <w:vAlign w:val="center"/>
          </w:tcPr>
          <w:p>
            <w:pPr>
              <w:pStyle w:val="14"/>
            </w:pPr>
            <w:r>
              <w:t>95.71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34.50</w:t>
            </w:r>
          </w:p>
        </w:tc>
        <w:tc>
          <w:tcPr>
            <w:tcW w:w="2551" w:type="dxa"/>
            <w:vAlign w:val="center"/>
          </w:tcPr>
          <w:p>
            <w:pPr>
              <w:pStyle w:val="14"/>
            </w:pPr>
            <w:r>
              <w:t>34.50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2.40</w:t>
            </w:r>
          </w:p>
        </w:tc>
        <w:tc>
          <w:tcPr>
            <w:tcW w:w="2551" w:type="dxa"/>
            <w:vAlign w:val="center"/>
          </w:tcPr>
          <w:p>
            <w:pPr>
              <w:pStyle w:val="14"/>
            </w:pPr>
            <w:r>
              <w:t>2.40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79.16</w:t>
            </w:r>
          </w:p>
        </w:tc>
        <w:tc>
          <w:tcPr>
            <w:tcW w:w="2551" w:type="dxa"/>
            <w:vAlign w:val="center"/>
          </w:tcPr>
          <w:p>
            <w:pPr>
              <w:pStyle w:val="14"/>
            </w:pPr>
            <w:r>
              <w:t>79.16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189.10</w:t>
            </w:r>
          </w:p>
        </w:tc>
        <w:tc>
          <w:tcPr>
            <w:tcW w:w="2551" w:type="dxa"/>
            <w:vAlign w:val="center"/>
          </w:tcPr>
          <w:p>
            <w:pPr>
              <w:pStyle w:val="14"/>
            </w:pPr>
          </w:p>
        </w:tc>
        <w:tc>
          <w:tcPr>
            <w:tcW w:w="2551" w:type="dxa"/>
            <w:vAlign w:val="center"/>
          </w:tcPr>
          <w:p>
            <w:pPr>
              <w:pStyle w:val="14"/>
            </w:pPr>
            <w:r>
              <w:t>189.10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13.82</w:t>
            </w:r>
          </w:p>
        </w:tc>
        <w:tc>
          <w:tcPr>
            <w:tcW w:w="2551" w:type="dxa"/>
            <w:vAlign w:val="center"/>
          </w:tcPr>
          <w:p>
            <w:pPr>
              <w:pStyle w:val="14"/>
            </w:pPr>
          </w:p>
        </w:tc>
        <w:tc>
          <w:tcPr>
            <w:tcW w:w="2551" w:type="dxa"/>
            <w:vAlign w:val="center"/>
          </w:tcPr>
          <w:p>
            <w:pPr>
              <w:pStyle w:val="14"/>
            </w:pPr>
            <w:r>
              <w:t>13.82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1.73</w:t>
            </w:r>
          </w:p>
        </w:tc>
        <w:tc>
          <w:tcPr>
            <w:tcW w:w="2551" w:type="dxa"/>
            <w:vAlign w:val="center"/>
          </w:tcPr>
          <w:p>
            <w:pPr>
              <w:pStyle w:val="14"/>
            </w:pPr>
          </w:p>
        </w:tc>
        <w:tc>
          <w:tcPr>
            <w:tcW w:w="2551" w:type="dxa"/>
            <w:vAlign w:val="center"/>
          </w:tcPr>
          <w:p>
            <w:pPr>
              <w:pStyle w:val="14"/>
            </w:pPr>
            <w:r>
              <w:t>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2.05</w:t>
            </w:r>
          </w:p>
        </w:tc>
        <w:tc>
          <w:tcPr>
            <w:tcW w:w="2551" w:type="dxa"/>
            <w:vAlign w:val="center"/>
          </w:tcPr>
          <w:p>
            <w:pPr>
              <w:pStyle w:val="14"/>
            </w:pPr>
          </w:p>
        </w:tc>
        <w:tc>
          <w:tcPr>
            <w:tcW w:w="2551" w:type="dxa"/>
            <w:vAlign w:val="center"/>
          </w:tcPr>
          <w:p>
            <w:pPr>
              <w:pStyle w:val="14"/>
            </w:pPr>
            <w:r>
              <w:t>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5.76</w:t>
            </w:r>
          </w:p>
        </w:tc>
        <w:tc>
          <w:tcPr>
            <w:tcW w:w="2551" w:type="dxa"/>
            <w:vAlign w:val="center"/>
          </w:tcPr>
          <w:p>
            <w:pPr>
              <w:pStyle w:val="14"/>
            </w:pPr>
          </w:p>
        </w:tc>
        <w:tc>
          <w:tcPr>
            <w:tcW w:w="2551" w:type="dxa"/>
            <w:vAlign w:val="center"/>
          </w:tcPr>
          <w:p>
            <w:pPr>
              <w:pStyle w:val="14"/>
            </w:pPr>
            <w:r>
              <w:t>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24.09</w:t>
            </w:r>
          </w:p>
        </w:tc>
        <w:tc>
          <w:tcPr>
            <w:tcW w:w="2551" w:type="dxa"/>
            <w:vAlign w:val="center"/>
          </w:tcPr>
          <w:p>
            <w:pPr>
              <w:pStyle w:val="14"/>
            </w:pPr>
          </w:p>
        </w:tc>
        <w:tc>
          <w:tcPr>
            <w:tcW w:w="2551" w:type="dxa"/>
            <w:vAlign w:val="center"/>
          </w:tcPr>
          <w:p>
            <w:pPr>
              <w:pStyle w:val="14"/>
            </w:pPr>
            <w:r>
              <w:t>24.09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r>
              <w:t>3.71</w:t>
            </w:r>
          </w:p>
        </w:tc>
        <w:tc>
          <w:tcPr>
            <w:tcW w:w="2551" w:type="dxa"/>
            <w:vAlign w:val="center"/>
          </w:tcPr>
          <w:p>
            <w:pPr>
              <w:pStyle w:val="14"/>
            </w:pPr>
          </w:p>
        </w:tc>
        <w:tc>
          <w:tcPr>
            <w:tcW w:w="2551" w:type="dxa"/>
            <w:vAlign w:val="center"/>
          </w:tcPr>
          <w:p>
            <w:pPr>
              <w:pStyle w:val="14"/>
            </w:pPr>
            <w:r>
              <w:t>3.71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13.31</w:t>
            </w:r>
          </w:p>
        </w:tc>
        <w:tc>
          <w:tcPr>
            <w:tcW w:w="2551" w:type="dxa"/>
            <w:vAlign w:val="center"/>
          </w:tcPr>
          <w:p>
            <w:pPr>
              <w:pStyle w:val="14"/>
            </w:pPr>
          </w:p>
        </w:tc>
        <w:tc>
          <w:tcPr>
            <w:tcW w:w="2551" w:type="dxa"/>
            <w:vAlign w:val="center"/>
          </w:tcPr>
          <w:p>
            <w:pPr>
              <w:pStyle w:val="14"/>
            </w:pPr>
            <w:r>
              <w:t>13.31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1.02</w:t>
            </w:r>
          </w:p>
        </w:tc>
        <w:tc>
          <w:tcPr>
            <w:tcW w:w="2551" w:type="dxa"/>
            <w:vAlign w:val="center"/>
          </w:tcPr>
          <w:p>
            <w:pPr>
              <w:pStyle w:val="14"/>
            </w:pPr>
          </w:p>
        </w:tc>
        <w:tc>
          <w:tcPr>
            <w:tcW w:w="2551" w:type="dxa"/>
            <w:vAlign w:val="center"/>
          </w:tcPr>
          <w:p>
            <w:pPr>
              <w:pStyle w:val="14"/>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76.00</w:t>
            </w:r>
          </w:p>
        </w:tc>
        <w:tc>
          <w:tcPr>
            <w:tcW w:w="2551" w:type="dxa"/>
            <w:vAlign w:val="center"/>
          </w:tcPr>
          <w:p>
            <w:pPr>
              <w:pStyle w:val="14"/>
            </w:pPr>
          </w:p>
        </w:tc>
        <w:tc>
          <w:tcPr>
            <w:tcW w:w="2551" w:type="dxa"/>
            <w:vAlign w:val="center"/>
          </w:tcPr>
          <w:p>
            <w:pPr>
              <w:pStyle w:val="14"/>
            </w:pPr>
            <w:r>
              <w:t>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5.61</w:t>
            </w:r>
          </w:p>
        </w:tc>
        <w:tc>
          <w:tcPr>
            <w:tcW w:w="2551" w:type="dxa"/>
            <w:vAlign w:val="center"/>
          </w:tcPr>
          <w:p>
            <w:pPr>
              <w:pStyle w:val="14"/>
            </w:pPr>
          </w:p>
        </w:tc>
        <w:tc>
          <w:tcPr>
            <w:tcW w:w="2551" w:type="dxa"/>
            <w:vAlign w:val="center"/>
          </w:tcPr>
          <w:p>
            <w:pPr>
              <w:pStyle w:val="14"/>
            </w:pPr>
            <w:r>
              <w:t>5.61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5.69</w:t>
            </w:r>
          </w:p>
        </w:tc>
        <w:tc>
          <w:tcPr>
            <w:tcW w:w="2551" w:type="dxa"/>
            <w:vAlign w:val="center"/>
          </w:tcPr>
          <w:p>
            <w:pPr>
              <w:pStyle w:val="14"/>
            </w:pPr>
          </w:p>
        </w:tc>
        <w:tc>
          <w:tcPr>
            <w:tcW w:w="2551" w:type="dxa"/>
            <w:vAlign w:val="center"/>
          </w:tcPr>
          <w:p>
            <w:pPr>
              <w:pStyle w:val="14"/>
            </w:pPr>
            <w:r>
              <w:t>5.69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15.33</w:t>
            </w:r>
          </w:p>
        </w:tc>
        <w:tc>
          <w:tcPr>
            <w:tcW w:w="2551" w:type="dxa"/>
            <w:vAlign w:val="center"/>
          </w:tcPr>
          <w:p>
            <w:pPr>
              <w:pStyle w:val="14"/>
            </w:pPr>
          </w:p>
        </w:tc>
        <w:tc>
          <w:tcPr>
            <w:tcW w:w="2551" w:type="dxa"/>
            <w:vAlign w:val="center"/>
          </w:tcPr>
          <w:p>
            <w:pPr>
              <w:pStyle w:val="14"/>
            </w:pPr>
            <w:r>
              <w:t>15.33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20.98</w:t>
            </w:r>
          </w:p>
        </w:tc>
        <w:tc>
          <w:tcPr>
            <w:tcW w:w="2551" w:type="dxa"/>
            <w:vAlign w:val="center"/>
          </w:tcPr>
          <w:p>
            <w:pPr>
              <w:pStyle w:val="14"/>
            </w:pPr>
          </w:p>
        </w:tc>
        <w:tc>
          <w:tcPr>
            <w:tcW w:w="2551" w:type="dxa"/>
            <w:vAlign w:val="center"/>
          </w:tcPr>
          <w:p>
            <w:pPr>
              <w:pStyle w:val="14"/>
            </w:pPr>
            <w:r>
              <w:t>20.98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84.33</w:t>
            </w:r>
          </w:p>
        </w:tc>
        <w:tc>
          <w:tcPr>
            <w:tcW w:w="2551" w:type="dxa"/>
            <w:vAlign w:val="center"/>
          </w:tcPr>
          <w:p>
            <w:pPr>
              <w:pStyle w:val="14"/>
            </w:pPr>
            <w:r>
              <w:t>84.33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84.33</w:t>
            </w:r>
          </w:p>
        </w:tc>
        <w:tc>
          <w:tcPr>
            <w:tcW w:w="2551" w:type="dxa"/>
            <w:vAlign w:val="center"/>
          </w:tcPr>
          <w:p>
            <w:pPr>
              <w:pStyle w:val="14"/>
            </w:pPr>
            <w:r>
              <w:t>84.33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151001廊坊市广阳区人民政府办公室本级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151001廊坊市广阳区人民政府办公室本级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151001廊坊市广阳区人民政府办公室本级</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“三公”经费小计</w:t>
            </w:r>
          </w:p>
        </w:tc>
        <w:tc>
          <w:tcPr>
            <w:tcW w:w="2381" w:type="dxa"/>
            <w:vAlign w:val="center"/>
          </w:tcPr>
          <w:p>
            <w:pPr>
              <w:pStyle w:val="18"/>
            </w:pPr>
            <w:r>
              <w:t>91.33</w:t>
            </w:r>
          </w:p>
        </w:tc>
        <w:tc>
          <w:tcPr>
            <w:tcW w:w="2381" w:type="dxa"/>
            <w:vAlign w:val="center"/>
          </w:tcPr>
          <w:p>
            <w:pPr>
              <w:pStyle w:val="18"/>
            </w:pPr>
            <w:r>
              <w:t>91.33</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pPr>
            <w:r>
              <w:t>15.33</w:t>
            </w:r>
          </w:p>
        </w:tc>
        <w:tc>
          <w:tcPr>
            <w:tcW w:w="2381" w:type="dxa"/>
            <w:vAlign w:val="center"/>
          </w:tcPr>
          <w:p>
            <w:pPr>
              <w:pStyle w:val="14"/>
            </w:pPr>
            <w:r>
              <w:t>15.33</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pPr>
            <w:r>
              <w:t>15.33</w:t>
            </w:r>
          </w:p>
        </w:tc>
        <w:tc>
          <w:tcPr>
            <w:tcW w:w="2381" w:type="dxa"/>
            <w:vAlign w:val="center"/>
          </w:tcPr>
          <w:p>
            <w:pPr>
              <w:pStyle w:val="14"/>
            </w:pPr>
            <w:r>
              <w:t>15.33</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pPr>
            <w:r>
              <w:t>76.00</w:t>
            </w:r>
          </w:p>
        </w:tc>
        <w:tc>
          <w:tcPr>
            <w:tcW w:w="2381" w:type="dxa"/>
            <w:vAlign w:val="center"/>
          </w:tcPr>
          <w:p>
            <w:pPr>
              <w:pStyle w:val="14"/>
            </w:pPr>
            <w:r>
              <w:t>76.00</w:t>
            </w: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廊坊市广阳区人民政府办公室本级2025年单位预算信息公开情况说明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按照《中华人民共和国预算法》、《地方预决算公开操作规程》和《关于进一步推进预算公开工作的实施意见》规定，现将廊坊市广阳区人民政府办公室本级2025年单位预算公开如下：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（一）围绕区政府各时期的中心工作和重点工作，加强调查研究，及时了解、掌握经济和社会发展动态，及时反应信息情况，提出建议。</w:t>
      </w:r>
    </w:p>
    <w:p>
      <w:pPr>
        <w:pStyle w:val="20"/>
      </w:pPr>
      <w:r>
        <w:t>（二）负责区政府各种会议的准备工作，协助区政领导同志组织各类会议。</w:t>
      </w:r>
    </w:p>
    <w:p>
      <w:pPr>
        <w:pStyle w:val="20"/>
      </w:pPr>
      <w:r>
        <w:t>（三）负责区政府重要文、电的起草、审核把关和政府机关的文书处理工作；负责区政府机关的档案管理、印信管理和保密工作。</w:t>
      </w:r>
      <w:bookmarkStart w:id="19" w:name="_GoBack"/>
      <w:bookmarkEnd w:id="19"/>
    </w:p>
    <w:p>
      <w:pPr>
        <w:pStyle w:val="20"/>
      </w:pPr>
      <w:r>
        <w:t>（四）负责区政府工作报告、领导同志重要讲话及其他重要材料的起草、修改工作。</w:t>
      </w:r>
    </w:p>
    <w:p>
      <w:pPr>
        <w:pStyle w:val="20"/>
      </w:pPr>
      <w:r>
        <w:t>（五）根据工作需要，负责与区委、人大、政协、纪委、中省直驻廊单位和驻廊部队的联系；协调乡镇、街办处、</w:t>
      </w:r>
      <w:r>
        <w:rPr>
          <w:rFonts w:hint="eastAsia"/>
          <w:highlight w:val="none"/>
          <w:lang w:eastAsia="zh-CN"/>
        </w:rPr>
        <w:t>单位</w:t>
      </w:r>
      <w:r>
        <w:t>之间的关系和工作，对重要的问题提出处理意见，报区政府领导审定。</w:t>
      </w:r>
    </w:p>
    <w:p>
      <w:pPr>
        <w:pStyle w:val="20"/>
      </w:pPr>
      <w:r>
        <w:t>（六）督促检查区政府各</w:t>
      </w:r>
      <w:r>
        <w:rPr>
          <w:highlight w:val="none"/>
        </w:rPr>
        <w:t>部门</w:t>
      </w:r>
      <w:r>
        <w:t>、各乡镇人民政府、街道办事处对省政府、市政府、区政府重要文件，区政府会议决定事项及区政府领导同志重要批示的执行、落实情况，并向区政府领导同志报告。</w:t>
      </w:r>
    </w:p>
    <w:p>
      <w:pPr>
        <w:pStyle w:val="20"/>
      </w:pPr>
      <w:r>
        <w:t>（七）负责区政府机关值班工作，及时向区政府领导同志报告重要情况，协助领导同志组织处理突发事件、重大灾情和重大事故。</w:t>
      </w:r>
    </w:p>
    <w:p>
      <w:pPr>
        <w:pStyle w:val="20"/>
      </w:pPr>
      <w:r>
        <w:t>（八）负责全国、省、市、区人大代表建议、批评、意见及全国、省、市、区政协提案的办理工作。</w:t>
      </w:r>
    </w:p>
    <w:p>
      <w:pPr>
        <w:pStyle w:val="20"/>
      </w:pPr>
      <w:r>
        <w:t>（九）负责区政府外宾、内宾接待，公务接待工作。</w:t>
      </w:r>
    </w:p>
    <w:p>
      <w:pPr>
        <w:pStyle w:val="20"/>
      </w:pPr>
      <w:r>
        <w:t>（十）负责经济体制改革工作，负责区政府机关事务管理工作。</w:t>
      </w:r>
    </w:p>
    <w:p>
      <w:pPr>
        <w:pStyle w:val="20"/>
      </w:pPr>
      <w:r>
        <w:t>（十一）办理区政府领导交办的其他事项。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廊坊市广阳区人民政府办公室本级</w:t>
            </w:r>
          </w:p>
        </w:tc>
        <w:tc>
          <w:tcPr>
            <w:tcW w:w="1843" w:type="dxa"/>
            <w:vAlign w:val="center"/>
          </w:tcPr>
          <w:p>
            <w:pPr>
              <w:pStyle w:val="16"/>
            </w:pPr>
            <w:r>
              <w:t>行政</w:t>
            </w:r>
          </w:p>
        </w:tc>
        <w:tc>
          <w:tcPr>
            <w:tcW w:w="2126" w:type="dxa"/>
            <w:vAlign w:val="center"/>
          </w:tcPr>
          <w:p>
            <w:pPr>
              <w:pStyle w:val="16"/>
            </w:pPr>
            <w:r>
              <w:t>正处（县）级</w:t>
            </w:r>
          </w:p>
        </w:tc>
        <w:tc>
          <w:tcPr>
            <w:tcW w:w="3827" w:type="dxa"/>
            <w:vAlign w:val="center"/>
          </w:tcPr>
          <w:p>
            <w:pPr>
              <w:pStyle w:val="16"/>
            </w:pPr>
            <w:r>
              <w:t>财政拨款</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pStyle w:val="21"/>
      </w:pPr>
      <w:r>
        <w:t>按照预算管理有关规定，目前单位预算的编制实行综合预算管理，即全部收入和支出都反映在预算中。</w:t>
      </w:r>
    </w:p>
    <w:p>
      <w:pPr>
        <w:pStyle w:val="21"/>
      </w:pPr>
      <w:r>
        <w:t>1、收入说明</w:t>
      </w:r>
    </w:p>
    <w:p>
      <w:pPr>
        <w:pStyle w:val="21"/>
      </w:pPr>
      <w:r>
        <w:t>反映本单位当年全部收入。2025年预算收入1995.75万元，其中：一般公共预算收入1995.75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廊坊市广阳区人民政府办公室本级年度单位预算中支出预算的总体情况。2025年支出预算1995.75万元，其中基本支出1320.80万元，包括人员经费1131.70万元和日常公用经费189.10万元；项目支出674.95万元，主要为政务服管理经费、金融处非工作经费、大气污染综合管控服务经费、政务系统上云服务经费。</w:t>
      </w:r>
    </w:p>
    <w:p>
      <w:pPr>
        <w:pStyle w:val="21"/>
      </w:pPr>
      <w:r>
        <w:t>3、比上年增减情况</w:t>
      </w:r>
    </w:p>
    <w:p>
      <w:pPr>
        <w:pStyle w:val="21"/>
      </w:pPr>
      <w:r>
        <w:t>2025年预算收支安排1995.75万元，较2024年预算增加580.75万元，其中：基本支出增加189.11万元，主要为人员类经费和公用类经费支出增加。项目支出增加391.64万元，主要为金融处非工作经费、大气污染综合管控服务经费增加。</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22"/>
      </w:pPr>
      <w:r>
        <w:t>2025年，我单位机关运行经费共计安排189.10万元，主要用于日常维修、办公用房水电费、办公用房取暖费、办公用房物业管理费等日常运行支出。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23"/>
      </w:pPr>
      <w:r>
        <w:t>2025年，我单位财政拨款“三公”经费预算安排91.33万元，其中因公出国（境）费0.00万元；公务用车购置及运维费15.33万元（其中：公务用车购置费为0.00万元，公务用车运维费15.33万元)；公务接待费76.00万元。与2024年相比增加0.00万元，增减变化的主要原因是与2024年相比持平，无增减变化。</w:t>
      </w:r>
    </w:p>
    <w:p>
      <w:pPr>
        <w:spacing w:before="10" w:after="10"/>
        <w:ind w:firstLine="640"/>
        <w:outlineLvl w:val="5"/>
        <w:sectPr>
          <w:pgSz w:w="16840" w:h="11900" w:orient="landscape"/>
          <w:pgMar w:top="1361" w:right="1020" w:bottom="1361" w:left="1020" w:header="720" w:footer="720" w:gutter="0"/>
          <w:cols w:space="720" w:num="1"/>
        </w:sectPr>
      </w:pPr>
      <w:bookmarkStart w:id="14" w:name="tz_0002_0005"/>
      <w:bookmarkEnd w:id="14"/>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1、金融处非工作经费绩效目标表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13100325P000026100310</w:t>
            </w:r>
          </w:p>
        </w:tc>
        <w:tc>
          <w:tcPr>
            <w:tcW w:w="2835" w:type="dxa"/>
            <w:vAlign w:val="center"/>
          </w:tcPr>
          <w:p>
            <w:pPr>
              <w:pStyle w:val="13"/>
            </w:pPr>
            <w:r>
              <w:t>项目名称</w:t>
            </w:r>
          </w:p>
        </w:tc>
        <w:tc>
          <w:tcPr>
            <w:tcW w:w="6095" w:type="dxa"/>
            <w:gridSpan w:val="3"/>
            <w:vAlign w:val="center"/>
          </w:tcPr>
          <w:p>
            <w:pPr>
              <w:pStyle w:val="15"/>
            </w:pPr>
            <w:r>
              <w:t>金融处非工作经费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w:t>
            </w:r>
          </w:p>
        </w:tc>
        <w:tc>
          <w:tcPr>
            <w:tcW w:w="2835" w:type="dxa"/>
            <w:vAlign w:val="center"/>
          </w:tcPr>
          <w:p>
            <w:pPr>
              <w:pStyle w:val="13"/>
            </w:pPr>
            <w:r>
              <w:t>其中：财政    资金</w:t>
            </w:r>
          </w:p>
        </w:tc>
        <w:tc>
          <w:tcPr>
            <w:tcW w:w="2551" w:type="dxa"/>
            <w:vAlign w:val="center"/>
          </w:tcPr>
          <w:p>
            <w:pPr>
              <w:pStyle w:val="15"/>
            </w:pPr>
            <w:r>
              <w:t>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用于印刷宣传品及系统维护等支出。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    通过项目开展，有效提高社会公众风险防范意识，遏制非法集资行为滋生蔓延，减轻我区处非工作压力，维护我区社会、经济稳定发展。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制作宣传品数量</w:t>
            </w:r>
          </w:p>
        </w:tc>
        <w:tc>
          <w:tcPr>
            <w:tcW w:w="5386" w:type="dxa"/>
            <w:vAlign w:val="center"/>
          </w:tcPr>
          <w:p>
            <w:pPr>
              <w:pStyle w:val="15"/>
            </w:pPr>
            <w:r>
              <w:t>宣传活动中发放宣传品</w:t>
            </w:r>
          </w:p>
        </w:tc>
        <w:tc>
          <w:tcPr>
            <w:tcW w:w="2268" w:type="dxa"/>
            <w:vAlign w:val="center"/>
          </w:tcPr>
          <w:p>
            <w:pPr>
              <w:pStyle w:val="15"/>
            </w:pPr>
            <w:r>
              <w:t>≥5万份</w:t>
            </w:r>
          </w:p>
        </w:tc>
        <w:tc>
          <w:tcPr>
            <w:tcW w:w="1276" w:type="dxa"/>
            <w:vAlign w:val="center"/>
          </w:tcPr>
          <w:p>
            <w:pPr>
              <w:pStyle w:val="15"/>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维护系统合格率</w:t>
            </w:r>
          </w:p>
        </w:tc>
        <w:tc>
          <w:tcPr>
            <w:tcW w:w="5386" w:type="dxa"/>
            <w:vAlign w:val="center"/>
          </w:tcPr>
          <w:p>
            <w:pPr>
              <w:pStyle w:val="15"/>
            </w:pPr>
            <w:r>
              <w:t>维护合格数量占总数量的比率</w:t>
            </w:r>
          </w:p>
        </w:tc>
        <w:tc>
          <w:tcPr>
            <w:tcW w:w="2268" w:type="dxa"/>
            <w:vAlign w:val="center"/>
          </w:tcPr>
          <w:p>
            <w:pPr>
              <w:pStyle w:val="15"/>
            </w:pPr>
            <w:r>
              <w:t>≥95%</w:t>
            </w:r>
          </w:p>
        </w:tc>
        <w:tc>
          <w:tcPr>
            <w:tcW w:w="1276" w:type="dxa"/>
            <w:vAlign w:val="center"/>
          </w:tcPr>
          <w:p>
            <w:pPr>
              <w:pStyle w:val="15"/>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系统问题及时解决率</w:t>
            </w:r>
          </w:p>
        </w:tc>
        <w:tc>
          <w:tcPr>
            <w:tcW w:w="5386" w:type="dxa"/>
            <w:vAlign w:val="center"/>
          </w:tcPr>
          <w:p>
            <w:pPr>
              <w:pStyle w:val="15"/>
            </w:pPr>
            <w:r>
              <w:t>及时解决问题数占应解决总问题数的比率</w:t>
            </w:r>
          </w:p>
        </w:tc>
        <w:tc>
          <w:tcPr>
            <w:tcW w:w="2268" w:type="dxa"/>
            <w:vAlign w:val="center"/>
          </w:tcPr>
          <w:p>
            <w:pPr>
              <w:pStyle w:val="15"/>
            </w:pPr>
            <w:r>
              <w:t>≥90%</w:t>
            </w:r>
          </w:p>
        </w:tc>
        <w:tc>
          <w:tcPr>
            <w:tcW w:w="1276" w:type="dxa"/>
            <w:vAlign w:val="center"/>
          </w:tcPr>
          <w:p>
            <w:pPr>
              <w:pStyle w:val="15"/>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控制成本不超标</w:t>
            </w:r>
          </w:p>
        </w:tc>
        <w:tc>
          <w:tcPr>
            <w:tcW w:w="5386" w:type="dxa"/>
            <w:vAlign w:val="center"/>
          </w:tcPr>
          <w:p>
            <w:pPr>
              <w:pStyle w:val="15"/>
            </w:pPr>
            <w:r>
              <w:t>控制成本不超标</w:t>
            </w:r>
          </w:p>
        </w:tc>
        <w:tc>
          <w:tcPr>
            <w:tcW w:w="2268" w:type="dxa"/>
            <w:vAlign w:val="center"/>
          </w:tcPr>
          <w:p>
            <w:pPr>
              <w:pStyle w:val="15"/>
            </w:pPr>
            <w:r>
              <w:t>10万元</w:t>
            </w:r>
          </w:p>
        </w:tc>
        <w:tc>
          <w:tcPr>
            <w:tcW w:w="1276" w:type="dxa"/>
            <w:vAlign w:val="center"/>
          </w:tcPr>
          <w:p>
            <w:pPr>
              <w:pStyle w:val="15"/>
            </w:pPr>
            <w:r>
              <w:t>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面向辖区内居民共同开展宣传</w:t>
            </w:r>
          </w:p>
        </w:tc>
        <w:tc>
          <w:tcPr>
            <w:tcW w:w="5386" w:type="dxa"/>
            <w:vAlign w:val="center"/>
          </w:tcPr>
          <w:p>
            <w:pPr>
              <w:pStyle w:val="15"/>
            </w:pPr>
            <w:r>
              <w:t>提高防范意识</w:t>
            </w:r>
          </w:p>
        </w:tc>
        <w:tc>
          <w:tcPr>
            <w:tcW w:w="2268" w:type="dxa"/>
            <w:vAlign w:val="center"/>
          </w:tcPr>
          <w:p>
            <w:pPr>
              <w:pStyle w:val="15"/>
            </w:pPr>
            <w:r>
              <w:t>有效提高群众防范意识</w:t>
            </w:r>
          </w:p>
        </w:tc>
        <w:tc>
          <w:tcPr>
            <w:tcW w:w="1276" w:type="dxa"/>
            <w:vAlign w:val="center"/>
          </w:tcPr>
          <w:p>
            <w:pPr>
              <w:pStyle w:val="15"/>
            </w:pPr>
            <w:r>
              <w:t>调查问询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提高辖区内居民防范意识，增加金融知识</w:t>
            </w:r>
          </w:p>
        </w:tc>
        <w:tc>
          <w:tcPr>
            <w:tcW w:w="5386" w:type="dxa"/>
            <w:vAlign w:val="center"/>
          </w:tcPr>
          <w:p>
            <w:pPr>
              <w:pStyle w:val="15"/>
            </w:pPr>
            <w:r>
              <w:t>提高防范意识</w:t>
            </w:r>
          </w:p>
        </w:tc>
        <w:tc>
          <w:tcPr>
            <w:tcW w:w="2268" w:type="dxa"/>
            <w:vAlign w:val="center"/>
          </w:tcPr>
          <w:p>
            <w:pPr>
              <w:pStyle w:val="15"/>
            </w:pPr>
            <w:r>
              <w:t>有效提高群众防范意识</w:t>
            </w:r>
          </w:p>
        </w:tc>
        <w:tc>
          <w:tcPr>
            <w:tcW w:w="1276" w:type="dxa"/>
            <w:vAlign w:val="center"/>
          </w:tcPr>
          <w:p>
            <w:pPr>
              <w:pStyle w:val="15"/>
            </w:pPr>
            <w:r>
              <w:t>调查问询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宣传对象满意度指标</w:t>
            </w:r>
          </w:p>
        </w:tc>
        <w:tc>
          <w:tcPr>
            <w:tcW w:w="5386" w:type="dxa"/>
            <w:vAlign w:val="center"/>
          </w:tcPr>
          <w:p>
            <w:pPr>
              <w:pStyle w:val="15"/>
            </w:pPr>
            <w:r>
              <w:t>宣传对象满意度人数占总人数的比例</w:t>
            </w:r>
          </w:p>
        </w:tc>
        <w:tc>
          <w:tcPr>
            <w:tcW w:w="2268" w:type="dxa"/>
            <w:vAlign w:val="center"/>
          </w:tcPr>
          <w:p>
            <w:pPr>
              <w:pStyle w:val="15"/>
            </w:pPr>
            <w:r>
              <w:t>≥90%</w:t>
            </w:r>
          </w:p>
        </w:tc>
        <w:tc>
          <w:tcPr>
            <w:tcW w:w="1276" w:type="dxa"/>
            <w:vAlign w:val="center"/>
          </w:tcPr>
          <w:p>
            <w:pPr>
              <w:pStyle w:val="15"/>
            </w:pPr>
            <w:r>
              <w:t>调查问询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2、政务服务大厅标准化建设经费绩效目标表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13100325P000026100266</w:t>
            </w:r>
          </w:p>
        </w:tc>
        <w:tc>
          <w:tcPr>
            <w:tcW w:w="2835" w:type="dxa"/>
            <w:vAlign w:val="center"/>
          </w:tcPr>
          <w:p>
            <w:pPr>
              <w:pStyle w:val="13"/>
            </w:pPr>
            <w:r>
              <w:t>项目名称</w:t>
            </w:r>
          </w:p>
        </w:tc>
        <w:tc>
          <w:tcPr>
            <w:tcW w:w="6095" w:type="dxa"/>
            <w:gridSpan w:val="3"/>
            <w:vAlign w:val="center"/>
          </w:tcPr>
          <w:p>
            <w:pPr>
              <w:pStyle w:val="15"/>
            </w:pPr>
            <w:r>
              <w:t>政务服务大厅标准化建设经费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20.63</w:t>
            </w:r>
          </w:p>
        </w:tc>
        <w:tc>
          <w:tcPr>
            <w:tcW w:w="2835" w:type="dxa"/>
            <w:vAlign w:val="center"/>
          </w:tcPr>
          <w:p>
            <w:pPr>
              <w:pStyle w:val="13"/>
            </w:pPr>
            <w:r>
              <w:t>其中：财政    资金</w:t>
            </w:r>
          </w:p>
        </w:tc>
        <w:tc>
          <w:tcPr>
            <w:tcW w:w="2551" w:type="dxa"/>
            <w:vAlign w:val="center"/>
          </w:tcPr>
          <w:p>
            <w:pPr>
              <w:pStyle w:val="15"/>
            </w:pPr>
            <w:r>
              <w:t>20.63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区审批局为了满足我区政务服务大厅面积达到省级要求，进行标准化建设改造，为达到办公要求需增加相应配套办公设施家具。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1.通过项目的开展，达到政务服务中心建设标准，保障广阳区政务服务事项有序开展，提升区政务服务中心效能考核，维护社会稳定。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购置家具数量</w:t>
            </w:r>
          </w:p>
        </w:tc>
        <w:tc>
          <w:tcPr>
            <w:tcW w:w="5386" w:type="dxa"/>
            <w:vAlign w:val="center"/>
          </w:tcPr>
          <w:p>
            <w:pPr>
              <w:pStyle w:val="15"/>
            </w:pPr>
            <w:r>
              <w:t>购置家具数量</w:t>
            </w:r>
          </w:p>
        </w:tc>
        <w:tc>
          <w:tcPr>
            <w:tcW w:w="2268" w:type="dxa"/>
            <w:vAlign w:val="center"/>
          </w:tcPr>
          <w:p>
            <w:pPr>
              <w:pStyle w:val="15"/>
            </w:pPr>
            <w:r>
              <w:t>1批</w:t>
            </w:r>
          </w:p>
        </w:tc>
        <w:tc>
          <w:tcPr>
            <w:tcW w:w="1276" w:type="dxa"/>
            <w:vAlign w:val="center"/>
          </w:tcPr>
          <w:p>
            <w:pPr>
              <w:pStyle w:val="15"/>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购置质量合格率</w:t>
            </w:r>
          </w:p>
        </w:tc>
        <w:tc>
          <w:tcPr>
            <w:tcW w:w="5386" w:type="dxa"/>
            <w:vAlign w:val="center"/>
          </w:tcPr>
          <w:p>
            <w:pPr>
              <w:pStyle w:val="15"/>
            </w:pPr>
            <w:r>
              <w:t>购置质量合格率</w:t>
            </w:r>
          </w:p>
        </w:tc>
        <w:tc>
          <w:tcPr>
            <w:tcW w:w="2268" w:type="dxa"/>
            <w:vAlign w:val="center"/>
          </w:tcPr>
          <w:p>
            <w:pPr>
              <w:pStyle w:val="15"/>
            </w:pPr>
            <w:r>
              <w:t>100%</w:t>
            </w:r>
          </w:p>
        </w:tc>
        <w:tc>
          <w:tcPr>
            <w:tcW w:w="1276" w:type="dxa"/>
            <w:vAlign w:val="center"/>
          </w:tcPr>
          <w:p>
            <w:pPr>
              <w:pStyle w:val="15"/>
            </w:pPr>
            <w:r>
              <w:t>采购验收单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采购时限</w:t>
            </w:r>
          </w:p>
        </w:tc>
        <w:tc>
          <w:tcPr>
            <w:tcW w:w="5386" w:type="dxa"/>
            <w:vAlign w:val="center"/>
          </w:tcPr>
          <w:p>
            <w:pPr>
              <w:pStyle w:val="15"/>
            </w:pPr>
            <w:r>
              <w:t>采购时限</w:t>
            </w:r>
          </w:p>
        </w:tc>
        <w:tc>
          <w:tcPr>
            <w:tcW w:w="2268" w:type="dxa"/>
            <w:vAlign w:val="center"/>
          </w:tcPr>
          <w:p>
            <w:pPr>
              <w:pStyle w:val="15"/>
            </w:pPr>
            <w:r>
              <w:t>≤12月份</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不超预算成本</w:t>
            </w:r>
          </w:p>
        </w:tc>
        <w:tc>
          <w:tcPr>
            <w:tcW w:w="5386" w:type="dxa"/>
            <w:vAlign w:val="center"/>
          </w:tcPr>
          <w:p>
            <w:pPr>
              <w:pStyle w:val="15"/>
            </w:pPr>
            <w:r>
              <w:t>不超预算成本</w:t>
            </w:r>
          </w:p>
        </w:tc>
        <w:tc>
          <w:tcPr>
            <w:tcW w:w="2268" w:type="dxa"/>
            <w:vAlign w:val="center"/>
          </w:tcPr>
          <w:p>
            <w:pPr>
              <w:pStyle w:val="15"/>
            </w:pPr>
            <w:r>
              <w:t>不超20.632万元</w:t>
            </w:r>
          </w:p>
        </w:tc>
        <w:tc>
          <w:tcPr>
            <w:tcW w:w="1276" w:type="dxa"/>
            <w:vAlign w:val="center"/>
          </w:tcPr>
          <w:p>
            <w:pPr>
              <w:pStyle w:val="15"/>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改善政务服务环境</w:t>
            </w:r>
          </w:p>
        </w:tc>
        <w:tc>
          <w:tcPr>
            <w:tcW w:w="5386" w:type="dxa"/>
            <w:vAlign w:val="center"/>
          </w:tcPr>
          <w:p>
            <w:pPr>
              <w:pStyle w:val="15"/>
            </w:pPr>
            <w:r>
              <w:t>改善办公环境</w:t>
            </w:r>
          </w:p>
        </w:tc>
        <w:tc>
          <w:tcPr>
            <w:tcW w:w="2268" w:type="dxa"/>
            <w:vAlign w:val="center"/>
          </w:tcPr>
          <w:p>
            <w:pPr>
              <w:pStyle w:val="15"/>
            </w:pPr>
            <w:r>
              <w:t>有效改善</w:t>
            </w:r>
          </w:p>
        </w:tc>
        <w:tc>
          <w:tcPr>
            <w:tcW w:w="1276" w:type="dxa"/>
            <w:vAlign w:val="center"/>
          </w:tcPr>
          <w:p>
            <w:pPr>
              <w:pStyle w:val="15"/>
            </w:pPr>
            <w:r>
              <w:t>调查问询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办公设备使用年限</w:t>
            </w:r>
          </w:p>
        </w:tc>
        <w:tc>
          <w:tcPr>
            <w:tcW w:w="5386" w:type="dxa"/>
            <w:vAlign w:val="center"/>
          </w:tcPr>
          <w:p>
            <w:pPr>
              <w:pStyle w:val="15"/>
            </w:pPr>
            <w:r>
              <w:t>办公设备使用年限</w:t>
            </w:r>
          </w:p>
        </w:tc>
        <w:tc>
          <w:tcPr>
            <w:tcW w:w="2268" w:type="dxa"/>
            <w:vAlign w:val="center"/>
          </w:tcPr>
          <w:p>
            <w:pPr>
              <w:pStyle w:val="15"/>
            </w:pPr>
            <w:r>
              <w:t>≥6年</w:t>
            </w:r>
          </w:p>
        </w:tc>
        <w:tc>
          <w:tcPr>
            <w:tcW w:w="1276" w:type="dxa"/>
            <w:vAlign w:val="center"/>
          </w:tcPr>
          <w:p>
            <w:pPr>
              <w:pStyle w:val="15"/>
            </w:pPr>
            <w:r>
              <w:t>实际使用情况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满意人数占总人数的比例</w:t>
            </w:r>
          </w:p>
        </w:tc>
        <w:tc>
          <w:tcPr>
            <w:tcW w:w="2268" w:type="dxa"/>
            <w:vAlign w:val="center"/>
          </w:tcPr>
          <w:p>
            <w:pPr>
              <w:pStyle w:val="15"/>
            </w:pPr>
            <w:r>
              <w:t>≥95%</w:t>
            </w:r>
          </w:p>
        </w:tc>
        <w:tc>
          <w:tcPr>
            <w:tcW w:w="1276" w:type="dxa"/>
            <w:vAlign w:val="center"/>
          </w:tcPr>
          <w:p>
            <w:pPr>
              <w:pStyle w:val="15"/>
            </w:pPr>
            <w:r>
              <w:t>调查问询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3、政务服务管理经费绩效目标表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13100325P000026100195</w:t>
            </w:r>
          </w:p>
        </w:tc>
        <w:tc>
          <w:tcPr>
            <w:tcW w:w="2835" w:type="dxa"/>
            <w:vAlign w:val="center"/>
          </w:tcPr>
          <w:p>
            <w:pPr>
              <w:pStyle w:val="13"/>
            </w:pPr>
            <w:r>
              <w:t>项目名称</w:t>
            </w:r>
          </w:p>
        </w:tc>
        <w:tc>
          <w:tcPr>
            <w:tcW w:w="6095" w:type="dxa"/>
            <w:gridSpan w:val="3"/>
            <w:vAlign w:val="center"/>
          </w:tcPr>
          <w:p>
            <w:pPr>
              <w:pStyle w:val="15"/>
            </w:pPr>
            <w:r>
              <w:t>政务服务管理经费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150.00</w:t>
            </w:r>
          </w:p>
        </w:tc>
        <w:tc>
          <w:tcPr>
            <w:tcW w:w="2835" w:type="dxa"/>
            <w:vAlign w:val="center"/>
          </w:tcPr>
          <w:p>
            <w:pPr>
              <w:pStyle w:val="13"/>
            </w:pPr>
            <w:r>
              <w:t>其中：财政    资金</w:t>
            </w:r>
          </w:p>
        </w:tc>
        <w:tc>
          <w:tcPr>
            <w:tcW w:w="2551" w:type="dxa"/>
            <w:vAlign w:val="center"/>
          </w:tcPr>
          <w:p>
            <w:pPr>
              <w:pStyle w:val="15"/>
            </w:pPr>
            <w:r>
              <w:t>150.00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主要用于日常购置各项办公设备、办公用品、办公耗材、办公设备维修、办公设备硬件更换、电脑系统维护、办公楼及其附属设施维修维护、印刷费、网络维护费、报刊订阅费等各项日常办公保障费用。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1.通过项目的开展满足工作所需经费开支，保障区政府办工作有序进行，保障广阳区人民政府办公室完成上级布置的各项工作，加大管理力度，维护社会稳定。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业务保障人数</w:t>
            </w:r>
          </w:p>
        </w:tc>
        <w:tc>
          <w:tcPr>
            <w:tcW w:w="5386" w:type="dxa"/>
            <w:vAlign w:val="center"/>
          </w:tcPr>
          <w:p>
            <w:pPr>
              <w:pStyle w:val="15"/>
            </w:pPr>
            <w:r>
              <w:t>采购业务保障人数</w:t>
            </w:r>
          </w:p>
        </w:tc>
        <w:tc>
          <w:tcPr>
            <w:tcW w:w="2268" w:type="dxa"/>
            <w:vAlign w:val="center"/>
          </w:tcPr>
          <w:p>
            <w:pPr>
              <w:pStyle w:val="15"/>
            </w:pPr>
            <w:r>
              <w:t>≥200人</w:t>
            </w:r>
          </w:p>
        </w:tc>
        <w:tc>
          <w:tcPr>
            <w:tcW w:w="1276" w:type="dxa"/>
            <w:vAlign w:val="center"/>
          </w:tcPr>
          <w:p>
            <w:pPr>
              <w:pStyle w:val="15"/>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采购质量合格率</w:t>
            </w:r>
          </w:p>
        </w:tc>
        <w:tc>
          <w:tcPr>
            <w:tcW w:w="5386" w:type="dxa"/>
            <w:vAlign w:val="center"/>
          </w:tcPr>
          <w:p>
            <w:pPr>
              <w:pStyle w:val="15"/>
            </w:pPr>
            <w:r>
              <w:t>合格数量占总数量的比例</w:t>
            </w:r>
          </w:p>
        </w:tc>
        <w:tc>
          <w:tcPr>
            <w:tcW w:w="2268" w:type="dxa"/>
            <w:vAlign w:val="center"/>
          </w:tcPr>
          <w:p>
            <w:pPr>
              <w:pStyle w:val="15"/>
            </w:pPr>
            <w:r>
              <w:t>≥95%</w:t>
            </w:r>
          </w:p>
        </w:tc>
        <w:tc>
          <w:tcPr>
            <w:tcW w:w="1276" w:type="dxa"/>
            <w:vAlign w:val="center"/>
          </w:tcPr>
          <w:p>
            <w:pPr>
              <w:pStyle w:val="15"/>
            </w:pPr>
            <w:r>
              <w:t>采购验收单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采购完成时间</w:t>
            </w:r>
          </w:p>
        </w:tc>
        <w:tc>
          <w:tcPr>
            <w:tcW w:w="5386" w:type="dxa"/>
            <w:vAlign w:val="center"/>
          </w:tcPr>
          <w:p>
            <w:pPr>
              <w:pStyle w:val="15"/>
            </w:pPr>
            <w:r>
              <w:t>采购完成时间</w:t>
            </w:r>
          </w:p>
        </w:tc>
        <w:tc>
          <w:tcPr>
            <w:tcW w:w="2268" w:type="dxa"/>
            <w:vAlign w:val="center"/>
          </w:tcPr>
          <w:p>
            <w:pPr>
              <w:pStyle w:val="15"/>
            </w:pPr>
            <w:r>
              <w:t>每季度支出</w:t>
            </w:r>
          </w:p>
        </w:tc>
        <w:tc>
          <w:tcPr>
            <w:tcW w:w="1276" w:type="dxa"/>
            <w:vAlign w:val="center"/>
          </w:tcPr>
          <w:p>
            <w:pPr>
              <w:pStyle w:val="15"/>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不超预算成本</w:t>
            </w:r>
          </w:p>
        </w:tc>
        <w:tc>
          <w:tcPr>
            <w:tcW w:w="5386" w:type="dxa"/>
            <w:vAlign w:val="center"/>
          </w:tcPr>
          <w:p>
            <w:pPr>
              <w:pStyle w:val="15"/>
            </w:pPr>
            <w:r>
              <w:t>不超预算成本</w:t>
            </w:r>
          </w:p>
        </w:tc>
        <w:tc>
          <w:tcPr>
            <w:tcW w:w="2268" w:type="dxa"/>
            <w:vAlign w:val="center"/>
          </w:tcPr>
          <w:p>
            <w:pPr>
              <w:pStyle w:val="15"/>
            </w:pPr>
            <w:r>
              <w:t>≤150万元</w:t>
            </w:r>
          </w:p>
        </w:tc>
        <w:tc>
          <w:tcPr>
            <w:tcW w:w="1276" w:type="dxa"/>
            <w:vAlign w:val="center"/>
          </w:tcPr>
          <w:p>
            <w:pPr>
              <w:pStyle w:val="15"/>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业务保障能力提升情况</w:t>
            </w:r>
          </w:p>
        </w:tc>
        <w:tc>
          <w:tcPr>
            <w:tcW w:w="5386" w:type="dxa"/>
            <w:vAlign w:val="center"/>
          </w:tcPr>
          <w:p>
            <w:pPr>
              <w:pStyle w:val="15"/>
            </w:pPr>
            <w:r>
              <w:t>购置对业务保障能力的提升情况</w:t>
            </w:r>
          </w:p>
        </w:tc>
        <w:tc>
          <w:tcPr>
            <w:tcW w:w="2268" w:type="dxa"/>
            <w:vAlign w:val="center"/>
          </w:tcPr>
          <w:p>
            <w:pPr>
              <w:pStyle w:val="15"/>
            </w:pPr>
            <w:r>
              <w:t>有效提升</w:t>
            </w:r>
          </w:p>
        </w:tc>
        <w:tc>
          <w:tcPr>
            <w:tcW w:w="1276" w:type="dxa"/>
            <w:vAlign w:val="center"/>
          </w:tcPr>
          <w:p>
            <w:pPr>
              <w:pStyle w:val="15"/>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满意人数占总人数的比例</w:t>
            </w:r>
          </w:p>
        </w:tc>
        <w:tc>
          <w:tcPr>
            <w:tcW w:w="2268" w:type="dxa"/>
            <w:vAlign w:val="center"/>
          </w:tcPr>
          <w:p>
            <w:pPr>
              <w:pStyle w:val="15"/>
            </w:pPr>
            <w:r>
              <w:t>≥95%</w:t>
            </w:r>
          </w:p>
        </w:tc>
        <w:tc>
          <w:tcPr>
            <w:tcW w:w="1276" w:type="dxa"/>
            <w:vAlign w:val="center"/>
          </w:tcPr>
          <w:p>
            <w:pPr>
              <w:pStyle w:val="15"/>
            </w:pPr>
            <w:r>
              <w:t>调查问询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4、大气污染综合管控服务经费绩效目标表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13100325P00006510011F</w:t>
            </w:r>
          </w:p>
        </w:tc>
        <w:tc>
          <w:tcPr>
            <w:tcW w:w="2835" w:type="dxa"/>
            <w:vAlign w:val="center"/>
          </w:tcPr>
          <w:p>
            <w:pPr>
              <w:pStyle w:val="13"/>
            </w:pPr>
            <w:r>
              <w:t>项目名称</w:t>
            </w:r>
          </w:p>
        </w:tc>
        <w:tc>
          <w:tcPr>
            <w:tcW w:w="6095" w:type="dxa"/>
            <w:gridSpan w:val="3"/>
            <w:vAlign w:val="center"/>
          </w:tcPr>
          <w:p>
            <w:pPr>
              <w:pStyle w:val="15"/>
            </w:pPr>
            <w:r>
              <w:t>大气污染综合管控服务经费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410.00</w:t>
            </w:r>
          </w:p>
        </w:tc>
        <w:tc>
          <w:tcPr>
            <w:tcW w:w="2835" w:type="dxa"/>
            <w:vAlign w:val="center"/>
          </w:tcPr>
          <w:p>
            <w:pPr>
              <w:pStyle w:val="13"/>
            </w:pPr>
            <w:r>
              <w:t>其中：财政    资金</w:t>
            </w:r>
          </w:p>
        </w:tc>
        <w:tc>
          <w:tcPr>
            <w:tcW w:w="2551" w:type="dxa"/>
            <w:vAlign w:val="center"/>
          </w:tcPr>
          <w:p>
            <w:pPr>
              <w:pStyle w:val="15"/>
            </w:pPr>
            <w:r>
              <w:t>410.00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预算资金410万元，其中财政资金410万元，主要用于广阳区大气污染综合管控服务。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50%</w:t>
            </w:r>
          </w:p>
        </w:tc>
        <w:tc>
          <w:tcPr>
            <w:tcW w:w="2835" w:type="dxa"/>
            <w:vAlign w:val="center"/>
          </w:tcPr>
          <w:p>
            <w:pPr>
              <w:pStyle w:val="16"/>
            </w:pPr>
            <w:r>
              <w:t>50%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     通过项目的开展实现广阳区大气污染综合管控服务，实时调度管控、智能研判分析、污染专项溯源、考核调度及目标分解服务、培训服务、辅助激光雷达服务，保障大气污染防治精准科学目标的达成。</w:t>
            </w:r>
          </w:p>
          <w:p>
            <w:pPr>
              <w:pStyle w:val="15"/>
            </w:pPr>
            <w:r>
              <w:t>通过项目的开展完成实时调度信息数量≥1000条，智能研判分析报告数量≥450份，污染专项溯源≥300天，积尘走航监测服务次数＝12次，VOC走航监测服务次数＝4次,考核调度及目标分解服务≥12次，培训服务≥2次；报告质量≥85%，报告时效≤0.5倍周期（天），项目总投资≤410万元，实现污染及时上报和污染分析指导。反映各项污染物生成原因分析与污染物的削减、空气质量持续改善、辅助提高环境改善效率情况、被服务对象满意度均≥90%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实时调度信息</w:t>
            </w:r>
          </w:p>
        </w:tc>
        <w:tc>
          <w:tcPr>
            <w:tcW w:w="5386" w:type="dxa"/>
            <w:vAlign w:val="center"/>
          </w:tcPr>
          <w:p>
            <w:pPr>
              <w:pStyle w:val="15"/>
            </w:pPr>
            <w:r>
              <w:t>实时调度信息</w:t>
            </w:r>
          </w:p>
        </w:tc>
        <w:tc>
          <w:tcPr>
            <w:tcW w:w="2268" w:type="dxa"/>
            <w:vAlign w:val="center"/>
          </w:tcPr>
          <w:p>
            <w:pPr>
              <w:pStyle w:val="15"/>
            </w:pPr>
            <w:r>
              <w:t>≥1000条</w:t>
            </w:r>
          </w:p>
        </w:tc>
        <w:tc>
          <w:tcPr>
            <w:tcW w:w="1276" w:type="dxa"/>
            <w:vAlign w:val="center"/>
          </w:tcPr>
          <w:p>
            <w:pPr>
              <w:pStyle w:val="15"/>
            </w:pPr>
            <w:r>
              <w:t>依据区空气质量情况及往年数量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智能研判分析报告</w:t>
            </w:r>
          </w:p>
        </w:tc>
        <w:tc>
          <w:tcPr>
            <w:tcW w:w="5386" w:type="dxa"/>
            <w:vAlign w:val="center"/>
          </w:tcPr>
          <w:p>
            <w:pPr>
              <w:pStyle w:val="15"/>
            </w:pPr>
            <w:r>
              <w:t>智能研判分析报告</w:t>
            </w:r>
          </w:p>
        </w:tc>
        <w:tc>
          <w:tcPr>
            <w:tcW w:w="2268" w:type="dxa"/>
            <w:vAlign w:val="center"/>
          </w:tcPr>
          <w:p>
            <w:pPr>
              <w:pStyle w:val="15"/>
            </w:pPr>
            <w:r>
              <w:t>≥450份</w:t>
            </w:r>
          </w:p>
        </w:tc>
        <w:tc>
          <w:tcPr>
            <w:tcW w:w="1276" w:type="dxa"/>
            <w:vAlign w:val="center"/>
          </w:tcPr>
          <w:p>
            <w:pPr>
              <w:pStyle w:val="15"/>
            </w:pPr>
            <w:r>
              <w:t>依据区空气质量情况及往年数量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污染专项溯源</w:t>
            </w:r>
          </w:p>
        </w:tc>
        <w:tc>
          <w:tcPr>
            <w:tcW w:w="5386" w:type="dxa"/>
            <w:vAlign w:val="center"/>
          </w:tcPr>
          <w:p>
            <w:pPr>
              <w:pStyle w:val="15"/>
            </w:pPr>
            <w:r>
              <w:t>反映日常巡查服务天数情况</w:t>
            </w:r>
          </w:p>
        </w:tc>
        <w:tc>
          <w:tcPr>
            <w:tcW w:w="2268" w:type="dxa"/>
            <w:vAlign w:val="center"/>
          </w:tcPr>
          <w:p>
            <w:pPr>
              <w:pStyle w:val="15"/>
            </w:pPr>
            <w:r>
              <w:t>≥300天</w:t>
            </w:r>
          </w:p>
        </w:tc>
        <w:tc>
          <w:tcPr>
            <w:tcW w:w="1276" w:type="dxa"/>
            <w:vAlign w:val="center"/>
          </w:tcPr>
          <w:p>
            <w:pPr>
              <w:pStyle w:val="15"/>
            </w:pPr>
            <w:r>
              <w:t>依据区空气质量情况及往年数量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积尘走航监测</w:t>
            </w:r>
          </w:p>
        </w:tc>
        <w:tc>
          <w:tcPr>
            <w:tcW w:w="5386" w:type="dxa"/>
            <w:vAlign w:val="center"/>
          </w:tcPr>
          <w:p>
            <w:pPr>
              <w:pStyle w:val="15"/>
            </w:pPr>
            <w:r>
              <w:t>反应道路积尘报告数量情况</w:t>
            </w:r>
          </w:p>
        </w:tc>
        <w:tc>
          <w:tcPr>
            <w:tcW w:w="2268" w:type="dxa"/>
            <w:vAlign w:val="center"/>
          </w:tcPr>
          <w:p>
            <w:pPr>
              <w:pStyle w:val="15"/>
            </w:pPr>
            <w:r>
              <w:t>12次</w:t>
            </w:r>
          </w:p>
        </w:tc>
        <w:tc>
          <w:tcPr>
            <w:tcW w:w="1276" w:type="dxa"/>
            <w:vAlign w:val="center"/>
          </w:tcPr>
          <w:p>
            <w:pPr>
              <w:pStyle w:val="15"/>
            </w:pPr>
            <w:r>
              <w:t>依据区空气质量情况及往年数量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VOC走航监测服务</w:t>
            </w:r>
          </w:p>
        </w:tc>
        <w:tc>
          <w:tcPr>
            <w:tcW w:w="5386" w:type="dxa"/>
            <w:vAlign w:val="center"/>
          </w:tcPr>
          <w:p>
            <w:pPr>
              <w:pStyle w:val="15"/>
            </w:pPr>
            <w:r>
              <w:t>反应VOC走航报告数量情况</w:t>
            </w:r>
          </w:p>
        </w:tc>
        <w:tc>
          <w:tcPr>
            <w:tcW w:w="2268" w:type="dxa"/>
            <w:vAlign w:val="center"/>
          </w:tcPr>
          <w:p>
            <w:pPr>
              <w:pStyle w:val="15"/>
            </w:pPr>
            <w:r>
              <w:t>4次</w:t>
            </w:r>
          </w:p>
        </w:tc>
        <w:tc>
          <w:tcPr>
            <w:tcW w:w="1276" w:type="dxa"/>
            <w:vAlign w:val="center"/>
          </w:tcPr>
          <w:p>
            <w:pPr>
              <w:pStyle w:val="15"/>
            </w:pPr>
            <w:r>
              <w:t>依据区空气质量情况及往年数量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考核调度及目标分解服务</w:t>
            </w:r>
          </w:p>
        </w:tc>
        <w:tc>
          <w:tcPr>
            <w:tcW w:w="5386" w:type="dxa"/>
            <w:vAlign w:val="center"/>
          </w:tcPr>
          <w:p>
            <w:pPr>
              <w:pStyle w:val="15"/>
            </w:pPr>
            <w:r>
              <w:t>考核调度及目标分解服务数量</w:t>
            </w:r>
          </w:p>
        </w:tc>
        <w:tc>
          <w:tcPr>
            <w:tcW w:w="2268" w:type="dxa"/>
            <w:vAlign w:val="center"/>
          </w:tcPr>
          <w:p>
            <w:pPr>
              <w:pStyle w:val="15"/>
            </w:pPr>
            <w:r>
              <w:t>≥12次</w:t>
            </w:r>
          </w:p>
        </w:tc>
        <w:tc>
          <w:tcPr>
            <w:tcW w:w="1276" w:type="dxa"/>
            <w:vAlign w:val="center"/>
          </w:tcPr>
          <w:p>
            <w:pPr>
              <w:pStyle w:val="15"/>
            </w:pPr>
            <w:r>
              <w:t>依据区空气质量情况及往年数量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培训服务</w:t>
            </w:r>
          </w:p>
        </w:tc>
        <w:tc>
          <w:tcPr>
            <w:tcW w:w="5386" w:type="dxa"/>
            <w:vAlign w:val="center"/>
          </w:tcPr>
          <w:p>
            <w:pPr>
              <w:pStyle w:val="15"/>
            </w:pPr>
            <w:r>
              <w:t>培训服务</w:t>
            </w:r>
          </w:p>
        </w:tc>
        <w:tc>
          <w:tcPr>
            <w:tcW w:w="2268" w:type="dxa"/>
            <w:vAlign w:val="center"/>
          </w:tcPr>
          <w:p>
            <w:pPr>
              <w:pStyle w:val="15"/>
            </w:pPr>
            <w:r>
              <w:t>2次</w:t>
            </w:r>
          </w:p>
        </w:tc>
        <w:tc>
          <w:tcPr>
            <w:tcW w:w="1276" w:type="dxa"/>
            <w:vAlign w:val="center"/>
          </w:tcPr>
          <w:p>
            <w:pPr>
              <w:pStyle w:val="15"/>
            </w:pPr>
            <w:r>
              <w:t>依据区空气质量情况及往年数量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报告质量</w:t>
            </w:r>
          </w:p>
        </w:tc>
        <w:tc>
          <w:tcPr>
            <w:tcW w:w="5386" w:type="dxa"/>
            <w:vAlign w:val="center"/>
          </w:tcPr>
          <w:p>
            <w:pPr>
              <w:pStyle w:val="15"/>
            </w:pPr>
            <w:r>
              <w:t>反映报告质量情况</w:t>
            </w:r>
          </w:p>
        </w:tc>
        <w:tc>
          <w:tcPr>
            <w:tcW w:w="2268" w:type="dxa"/>
            <w:vAlign w:val="center"/>
          </w:tcPr>
          <w:p>
            <w:pPr>
              <w:pStyle w:val="15"/>
            </w:pPr>
            <w:r>
              <w:t>≥85%</w:t>
            </w:r>
          </w:p>
        </w:tc>
        <w:tc>
          <w:tcPr>
            <w:tcW w:w="1276" w:type="dxa"/>
            <w:vAlign w:val="center"/>
          </w:tcPr>
          <w:p>
            <w:pPr>
              <w:pStyle w:val="15"/>
            </w:pPr>
            <w:r>
              <w:t>依据往年报告质量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报告时效</w:t>
            </w:r>
          </w:p>
        </w:tc>
        <w:tc>
          <w:tcPr>
            <w:tcW w:w="5386" w:type="dxa"/>
            <w:vAlign w:val="center"/>
          </w:tcPr>
          <w:p>
            <w:pPr>
              <w:pStyle w:val="15"/>
            </w:pPr>
            <w:r>
              <w:t>反映报告时效情况</w:t>
            </w:r>
          </w:p>
        </w:tc>
        <w:tc>
          <w:tcPr>
            <w:tcW w:w="2268" w:type="dxa"/>
            <w:vAlign w:val="center"/>
          </w:tcPr>
          <w:p>
            <w:pPr>
              <w:pStyle w:val="15"/>
            </w:pPr>
            <w:r>
              <w:t>≤0.50.5倍周期/天</w:t>
            </w:r>
          </w:p>
        </w:tc>
        <w:tc>
          <w:tcPr>
            <w:tcW w:w="1276" w:type="dxa"/>
            <w:vAlign w:val="center"/>
          </w:tcPr>
          <w:p>
            <w:pPr>
              <w:pStyle w:val="15"/>
            </w:pPr>
            <w:r>
              <w:t>依据往年报告时效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项目总投资410万元</w:t>
            </w:r>
          </w:p>
        </w:tc>
        <w:tc>
          <w:tcPr>
            <w:tcW w:w="5386" w:type="dxa"/>
            <w:vAlign w:val="center"/>
          </w:tcPr>
          <w:p>
            <w:pPr>
              <w:pStyle w:val="15"/>
            </w:pPr>
            <w:r>
              <w:t>反映项目总投资情况</w:t>
            </w:r>
          </w:p>
        </w:tc>
        <w:tc>
          <w:tcPr>
            <w:tcW w:w="2268" w:type="dxa"/>
            <w:vAlign w:val="center"/>
          </w:tcPr>
          <w:p>
            <w:pPr>
              <w:pStyle w:val="15"/>
            </w:pPr>
            <w:r>
              <w:t>≤410万元</w:t>
            </w:r>
          </w:p>
        </w:tc>
        <w:tc>
          <w:tcPr>
            <w:tcW w:w="1276" w:type="dxa"/>
            <w:vAlign w:val="center"/>
          </w:tcPr>
          <w:p>
            <w:pPr>
              <w:pStyle w:val="15"/>
            </w:pPr>
            <w:r>
              <w:t>市场询价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对各项污染物生成原因分析与污染物的治理</w:t>
            </w:r>
          </w:p>
        </w:tc>
        <w:tc>
          <w:tcPr>
            <w:tcW w:w="5386" w:type="dxa"/>
            <w:vAlign w:val="center"/>
          </w:tcPr>
          <w:p>
            <w:pPr>
              <w:pStyle w:val="15"/>
            </w:pPr>
            <w:r>
              <w:t>反映对各项污染物生成原因分析与污染物的治理情况</w:t>
            </w:r>
          </w:p>
        </w:tc>
        <w:tc>
          <w:tcPr>
            <w:tcW w:w="2268" w:type="dxa"/>
            <w:vAlign w:val="center"/>
          </w:tcPr>
          <w:p>
            <w:pPr>
              <w:pStyle w:val="15"/>
            </w:pPr>
            <w:r>
              <w:t>≥90%</w:t>
            </w:r>
          </w:p>
        </w:tc>
        <w:tc>
          <w:tcPr>
            <w:tcW w:w="1276" w:type="dxa"/>
            <w:vAlign w:val="center"/>
          </w:tcPr>
          <w:p>
            <w:pPr>
              <w:pStyle w:val="15"/>
            </w:pPr>
            <w:r>
              <w:t>项目预期效果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空气质量改善</w:t>
            </w:r>
          </w:p>
        </w:tc>
        <w:tc>
          <w:tcPr>
            <w:tcW w:w="5386" w:type="dxa"/>
            <w:vAlign w:val="center"/>
          </w:tcPr>
          <w:p>
            <w:pPr>
              <w:pStyle w:val="15"/>
            </w:pPr>
            <w:r>
              <w:t>颗粒物、臭氧等污染物削减，空气质量持续改善</w:t>
            </w:r>
          </w:p>
        </w:tc>
        <w:tc>
          <w:tcPr>
            <w:tcW w:w="2268" w:type="dxa"/>
            <w:vAlign w:val="center"/>
          </w:tcPr>
          <w:p>
            <w:pPr>
              <w:pStyle w:val="15"/>
            </w:pPr>
            <w:r>
              <w:t>≥90%</w:t>
            </w:r>
          </w:p>
        </w:tc>
        <w:tc>
          <w:tcPr>
            <w:tcW w:w="1276" w:type="dxa"/>
            <w:vAlign w:val="center"/>
          </w:tcPr>
          <w:p>
            <w:pPr>
              <w:pStyle w:val="15"/>
            </w:pPr>
            <w:r>
              <w:t>项目预期效果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辅助提高环境改善效率</w:t>
            </w:r>
          </w:p>
        </w:tc>
        <w:tc>
          <w:tcPr>
            <w:tcW w:w="5386" w:type="dxa"/>
            <w:vAlign w:val="center"/>
          </w:tcPr>
          <w:p>
            <w:pPr>
              <w:pStyle w:val="15"/>
            </w:pPr>
            <w:r>
              <w:t>反映辅助提高环境改善效率情况</w:t>
            </w:r>
          </w:p>
        </w:tc>
        <w:tc>
          <w:tcPr>
            <w:tcW w:w="2268" w:type="dxa"/>
            <w:vAlign w:val="center"/>
          </w:tcPr>
          <w:p>
            <w:pPr>
              <w:pStyle w:val="15"/>
            </w:pPr>
            <w:r>
              <w:t>≥90%</w:t>
            </w:r>
          </w:p>
        </w:tc>
        <w:tc>
          <w:tcPr>
            <w:tcW w:w="1276" w:type="dxa"/>
            <w:vAlign w:val="center"/>
          </w:tcPr>
          <w:p>
            <w:pPr>
              <w:pStyle w:val="15"/>
            </w:pPr>
            <w:r>
              <w:t>项目预期效果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被服务对象满意度</w:t>
            </w:r>
          </w:p>
        </w:tc>
        <w:tc>
          <w:tcPr>
            <w:tcW w:w="5386" w:type="dxa"/>
            <w:vAlign w:val="center"/>
          </w:tcPr>
          <w:p>
            <w:pPr>
              <w:pStyle w:val="15"/>
            </w:pPr>
            <w:r>
              <w:t>反映被服务对象满意度</w:t>
            </w:r>
          </w:p>
        </w:tc>
        <w:tc>
          <w:tcPr>
            <w:tcW w:w="2268" w:type="dxa"/>
            <w:vAlign w:val="center"/>
          </w:tcPr>
          <w:p>
            <w:pPr>
              <w:pStyle w:val="15"/>
            </w:pPr>
            <w:r>
              <w:t>≥90%</w:t>
            </w:r>
          </w:p>
        </w:tc>
        <w:tc>
          <w:tcPr>
            <w:tcW w:w="1276" w:type="dxa"/>
            <w:vAlign w:val="center"/>
          </w:tcPr>
          <w:p>
            <w:pPr>
              <w:pStyle w:val="15"/>
            </w:pPr>
            <w:r>
              <w:t>项目预期效果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5、一招人员经费绩效目标表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13100325P00002410007N</w:t>
            </w:r>
          </w:p>
        </w:tc>
        <w:tc>
          <w:tcPr>
            <w:tcW w:w="2835" w:type="dxa"/>
            <w:vAlign w:val="center"/>
          </w:tcPr>
          <w:p>
            <w:pPr>
              <w:pStyle w:val="13"/>
            </w:pPr>
            <w:r>
              <w:t>项目名称</w:t>
            </w:r>
          </w:p>
        </w:tc>
        <w:tc>
          <w:tcPr>
            <w:tcW w:w="6095" w:type="dxa"/>
            <w:gridSpan w:val="3"/>
            <w:vAlign w:val="center"/>
          </w:tcPr>
          <w:p>
            <w:pPr>
              <w:pStyle w:val="15"/>
            </w:pPr>
            <w:r>
              <w:t>一招人员经费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70.00</w:t>
            </w:r>
          </w:p>
        </w:tc>
        <w:tc>
          <w:tcPr>
            <w:tcW w:w="2835" w:type="dxa"/>
            <w:vAlign w:val="center"/>
          </w:tcPr>
          <w:p>
            <w:pPr>
              <w:pStyle w:val="13"/>
            </w:pPr>
            <w:r>
              <w:t>其中：财政    资金</w:t>
            </w:r>
          </w:p>
        </w:tc>
        <w:tc>
          <w:tcPr>
            <w:tcW w:w="2551" w:type="dxa"/>
            <w:vAlign w:val="center"/>
          </w:tcPr>
          <w:p>
            <w:pPr>
              <w:pStyle w:val="15"/>
            </w:pPr>
            <w:r>
              <w:t>70.00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拨付给第一招待所用于发放工资保险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1.通过项目的开展保证区政府办一招人员待遇落实到位，满足经费需求，保障职工队伍稳定。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发放人员数量</w:t>
            </w:r>
          </w:p>
        </w:tc>
        <w:tc>
          <w:tcPr>
            <w:tcW w:w="5386" w:type="dxa"/>
            <w:vAlign w:val="center"/>
          </w:tcPr>
          <w:p>
            <w:pPr>
              <w:pStyle w:val="15"/>
            </w:pPr>
            <w:r>
              <w:t>发放人员数量</w:t>
            </w:r>
          </w:p>
        </w:tc>
        <w:tc>
          <w:tcPr>
            <w:tcW w:w="2268" w:type="dxa"/>
            <w:vAlign w:val="center"/>
          </w:tcPr>
          <w:p>
            <w:pPr>
              <w:pStyle w:val="15"/>
            </w:pPr>
            <w:r>
              <w:t>69人次</w:t>
            </w:r>
          </w:p>
        </w:tc>
        <w:tc>
          <w:tcPr>
            <w:tcW w:w="1276" w:type="dxa"/>
            <w:vAlign w:val="center"/>
          </w:tcPr>
          <w:p>
            <w:pPr>
              <w:pStyle w:val="15"/>
            </w:pPr>
            <w:r>
              <w:t>实有人数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发放标准准确率</w:t>
            </w:r>
          </w:p>
        </w:tc>
        <w:tc>
          <w:tcPr>
            <w:tcW w:w="5386" w:type="dxa"/>
            <w:vAlign w:val="center"/>
          </w:tcPr>
          <w:p>
            <w:pPr>
              <w:pStyle w:val="15"/>
            </w:pPr>
            <w:r>
              <w:t>发放标准占计划标准的比例</w:t>
            </w:r>
          </w:p>
        </w:tc>
        <w:tc>
          <w:tcPr>
            <w:tcW w:w="2268" w:type="dxa"/>
            <w:vAlign w:val="center"/>
          </w:tcPr>
          <w:p>
            <w:pPr>
              <w:pStyle w:val="15"/>
            </w:pPr>
            <w:r>
              <w:t>≥95%</w:t>
            </w:r>
          </w:p>
        </w:tc>
        <w:tc>
          <w:tcPr>
            <w:tcW w:w="1276" w:type="dxa"/>
            <w:vAlign w:val="center"/>
          </w:tcPr>
          <w:p>
            <w:pPr>
              <w:pStyle w:val="15"/>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发放完成时间</w:t>
            </w:r>
          </w:p>
        </w:tc>
        <w:tc>
          <w:tcPr>
            <w:tcW w:w="5386" w:type="dxa"/>
            <w:vAlign w:val="center"/>
          </w:tcPr>
          <w:p>
            <w:pPr>
              <w:pStyle w:val="15"/>
            </w:pPr>
            <w:r>
              <w:t>发放完成时间</w:t>
            </w:r>
          </w:p>
        </w:tc>
        <w:tc>
          <w:tcPr>
            <w:tcW w:w="2268" w:type="dxa"/>
            <w:vAlign w:val="center"/>
          </w:tcPr>
          <w:p>
            <w:pPr>
              <w:pStyle w:val="15"/>
            </w:pPr>
            <w:r>
              <w:t>按月支付</w:t>
            </w:r>
          </w:p>
        </w:tc>
        <w:tc>
          <w:tcPr>
            <w:tcW w:w="1276" w:type="dxa"/>
            <w:vAlign w:val="center"/>
          </w:tcPr>
          <w:p>
            <w:pPr>
              <w:pStyle w:val="15"/>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项目成本控制</w:t>
            </w:r>
          </w:p>
        </w:tc>
        <w:tc>
          <w:tcPr>
            <w:tcW w:w="5386" w:type="dxa"/>
            <w:vAlign w:val="center"/>
          </w:tcPr>
          <w:p>
            <w:pPr>
              <w:pStyle w:val="15"/>
            </w:pPr>
            <w:r>
              <w:t>按照具体规定不超标</w:t>
            </w:r>
          </w:p>
        </w:tc>
        <w:tc>
          <w:tcPr>
            <w:tcW w:w="2268" w:type="dxa"/>
            <w:vAlign w:val="center"/>
          </w:tcPr>
          <w:p>
            <w:pPr>
              <w:pStyle w:val="15"/>
            </w:pPr>
            <w:r>
              <w:t>≤70万元</w:t>
            </w:r>
          </w:p>
        </w:tc>
        <w:tc>
          <w:tcPr>
            <w:tcW w:w="1276" w:type="dxa"/>
            <w:vAlign w:val="center"/>
          </w:tcPr>
          <w:p>
            <w:pPr>
              <w:pStyle w:val="15"/>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保障人员生活需求</w:t>
            </w:r>
          </w:p>
        </w:tc>
        <w:tc>
          <w:tcPr>
            <w:tcW w:w="5386" w:type="dxa"/>
            <w:vAlign w:val="center"/>
          </w:tcPr>
          <w:p>
            <w:pPr>
              <w:pStyle w:val="15"/>
            </w:pPr>
            <w:r>
              <w:t>保障人员生活需求</w:t>
            </w:r>
          </w:p>
        </w:tc>
        <w:tc>
          <w:tcPr>
            <w:tcW w:w="2268" w:type="dxa"/>
            <w:vAlign w:val="center"/>
          </w:tcPr>
          <w:p>
            <w:pPr>
              <w:pStyle w:val="15"/>
            </w:pPr>
            <w:r>
              <w:t>有效保障</w:t>
            </w:r>
          </w:p>
        </w:tc>
        <w:tc>
          <w:tcPr>
            <w:tcW w:w="1276" w:type="dxa"/>
            <w:vAlign w:val="center"/>
          </w:tcPr>
          <w:p>
            <w:pPr>
              <w:pStyle w:val="15"/>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保持职工队伍稳定</w:t>
            </w:r>
          </w:p>
        </w:tc>
        <w:tc>
          <w:tcPr>
            <w:tcW w:w="5386" w:type="dxa"/>
            <w:vAlign w:val="center"/>
          </w:tcPr>
          <w:p>
            <w:pPr>
              <w:pStyle w:val="15"/>
            </w:pPr>
            <w:r>
              <w:t>保持职工队伍稳定</w:t>
            </w:r>
          </w:p>
        </w:tc>
        <w:tc>
          <w:tcPr>
            <w:tcW w:w="2268" w:type="dxa"/>
            <w:vAlign w:val="center"/>
          </w:tcPr>
          <w:p>
            <w:pPr>
              <w:pStyle w:val="15"/>
            </w:pPr>
            <w:r>
              <w:t>有效保持</w:t>
            </w:r>
          </w:p>
        </w:tc>
        <w:tc>
          <w:tcPr>
            <w:tcW w:w="1276" w:type="dxa"/>
            <w:vAlign w:val="center"/>
          </w:tcPr>
          <w:p>
            <w:pPr>
              <w:pStyle w:val="15"/>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一招人员满意人数占全部人数的比例</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6、政务系统上云工作服务经费绩效目标表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13100325P000090100034</w:t>
            </w:r>
          </w:p>
        </w:tc>
        <w:tc>
          <w:tcPr>
            <w:tcW w:w="2835" w:type="dxa"/>
            <w:vAlign w:val="center"/>
          </w:tcPr>
          <w:p>
            <w:pPr>
              <w:pStyle w:val="13"/>
            </w:pPr>
            <w:r>
              <w:t>项目名称</w:t>
            </w:r>
          </w:p>
        </w:tc>
        <w:tc>
          <w:tcPr>
            <w:tcW w:w="6095" w:type="dxa"/>
            <w:gridSpan w:val="3"/>
            <w:vAlign w:val="center"/>
          </w:tcPr>
          <w:p>
            <w:pPr>
              <w:pStyle w:val="15"/>
            </w:pPr>
            <w:r>
              <w:t>政务系统上云工作服务经费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14.32</w:t>
            </w:r>
          </w:p>
        </w:tc>
        <w:tc>
          <w:tcPr>
            <w:tcW w:w="2835" w:type="dxa"/>
            <w:vAlign w:val="center"/>
          </w:tcPr>
          <w:p>
            <w:pPr>
              <w:pStyle w:val="13"/>
            </w:pPr>
            <w:r>
              <w:t>其中：财政    资金</w:t>
            </w:r>
          </w:p>
        </w:tc>
        <w:tc>
          <w:tcPr>
            <w:tcW w:w="2551" w:type="dxa"/>
            <w:vAlign w:val="center"/>
          </w:tcPr>
          <w:p>
            <w:pPr>
              <w:pStyle w:val="15"/>
            </w:pPr>
            <w:r>
              <w:t>14.32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主要用于将广阳区政府办建设运维的政务系统迁移部署到政务云，以达到数字河北、数字廊坊的相关要求，使区考核达标。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1.通过项目的开展，确保我区数字河北、数字廊坊考核中“数字政府”建设达标，确保系统上云平稳有序，进一步提高云资源使用效率。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上云系统数量</w:t>
            </w:r>
          </w:p>
        </w:tc>
        <w:tc>
          <w:tcPr>
            <w:tcW w:w="5386" w:type="dxa"/>
            <w:vAlign w:val="center"/>
          </w:tcPr>
          <w:p>
            <w:pPr>
              <w:pStyle w:val="15"/>
            </w:pPr>
            <w:r>
              <w:t>上云系统数量</w:t>
            </w:r>
          </w:p>
        </w:tc>
        <w:tc>
          <w:tcPr>
            <w:tcW w:w="2268" w:type="dxa"/>
            <w:vAlign w:val="center"/>
          </w:tcPr>
          <w:p>
            <w:pPr>
              <w:pStyle w:val="15"/>
            </w:pPr>
            <w:r>
              <w:t>2个</w:t>
            </w:r>
          </w:p>
        </w:tc>
        <w:tc>
          <w:tcPr>
            <w:tcW w:w="1276" w:type="dxa"/>
            <w:vAlign w:val="center"/>
          </w:tcPr>
          <w:p>
            <w:pPr>
              <w:pStyle w:val="15"/>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政务云平台服务质量达标率</w:t>
            </w:r>
          </w:p>
        </w:tc>
        <w:tc>
          <w:tcPr>
            <w:tcW w:w="5386" w:type="dxa"/>
            <w:vAlign w:val="center"/>
          </w:tcPr>
          <w:p>
            <w:pPr>
              <w:pStyle w:val="15"/>
            </w:pPr>
            <w:r>
              <w:t>政务云平台服务质量达标率</w:t>
            </w:r>
          </w:p>
        </w:tc>
        <w:tc>
          <w:tcPr>
            <w:tcW w:w="2268" w:type="dxa"/>
            <w:vAlign w:val="center"/>
          </w:tcPr>
          <w:p>
            <w:pPr>
              <w:pStyle w:val="15"/>
            </w:pPr>
            <w:r>
              <w:t>100%</w:t>
            </w:r>
          </w:p>
        </w:tc>
        <w:tc>
          <w:tcPr>
            <w:tcW w:w="1276" w:type="dxa"/>
            <w:vAlign w:val="center"/>
          </w:tcPr>
          <w:p>
            <w:pPr>
              <w:pStyle w:val="15"/>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项目进度计划完成率</w:t>
            </w:r>
          </w:p>
        </w:tc>
        <w:tc>
          <w:tcPr>
            <w:tcW w:w="5386" w:type="dxa"/>
            <w:vAlign w:val="center"/>
          </w:tcPr>
          <w:p>
            <w:pPr>
              <w:pStyle w:val="15"/>
            </w:pPr>
            <w:r>
              <w:t>项目进度计划完成率</w:t>
            </w:r>
          </w:p>
        </w:tc>
        <w:tc>
          <w:tcPr>
            <w:tcW w:w="2268" w:type="dxa"/>
            <w:vAlign w:val="center"/>
          </w:tcPr>
          <w:p>
            <w:pPr>
              <w:pStyle w:val="15"/>
            </w:pPr>
            <w:r>
              <w:t>100%</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不超预算成本</w:t>
            </w:r>
          </w:p>
        </w:tc>
        <w:tc>
          <w:tcPr>
            <w:tcW w:w="5386" w:type="dxa"/>
            <w:vAlign w:val="center"/>
          </w:tcPr>
          <w:p>
            <w:pPr>
              <w:pStyle w:val="15"/>
            </w:pPr>
            <w:r>
              <w:t>不超预算成本</w:t>
            </w:r>
          </w:p>
        </w:tc>
        <w:tc>
          <w:tcPr>
            <w:tcW w:w="2268" w:type="dxa"/>
            <w:vAlign w:val="center"/>
          </w:tcPr>
          <w:p>
            <w:pPr>
              <w:pStyle w:val="15"/>
            </w:pPr>
            <w:r>
              <w:t>≤14.32万元</w:t>
            </w:r>
          </w:p>
        </w:tc>
        <w:tc>
          <w:tcPr>
            <w:tcW w:w="1276" w:type="dxa"/>
            <w:vAlign w:val="center"/>
          </w:tcPr>
          <w:p>
            <w:pPr>
              <w:pStyle w:val="15"/>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提高云资源使用效率</w:t>
            </w:r>
          </w:p>
        </w:tc>
        <w:tc>
          <w:tcPr>
            <w:tcW w:w="5386" w:type="dxa"/>
            <w:vAlign w:val="center"/>
          </w:tcPr>
          <w:p>
            <w:pPr>
              <w:pStyle w:val="15"/>
            </w:pPr>
            <w:r>
              <w:t>提高云资源使用效率</w:t>
            </w:r>
          </w:p>
        </w:tc>
        <w:tc>
          <w:tcPr>
            <w:tcW w:w="2268" w:type="dxa"/>
            <w:vAlign w:val="center"/>
          </w:tcPr>
          <w:p>
            <w:pPr>
              <w:pStyle w:val="15"/>
            </w:pPr>
            <w:r>
              <w:t>有效提高</w:t>
            </w:r>
          </w:p>
        </w:tc>
        <w:tc>
          <w:tcPr>
            <w:tcW w:w="1276" w:type="dxa"/>
            <w:vAlign w:val="center"/>
          </w:tcPr>
          <w:p>
            <w:pPr>
              <w:pStyle w:val="15"/>
            </w:pPr>
            <w:r>
              <w:t>调查问询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满意人数占总人数的比例</w:t>
            </w:r>
          </w:p>
        </w:tc>
        <w:tc>
          <w:tcPr>
            <w:tcW w:w="2268" w:type="dxa"/>
            <w:vAlign w:val="center"/>
          </w:tcPr>
          <w:p>
            <w:pPr>
              <w:pStyle w:val="15"/>
            </w:pPr>
            <w:r>
              <w:t>≥95%</w:t>
            </w:r>
          </w:p>
        </w:tc>
        <w:tc>
          <w:tcPr>
            <w:tcW w:w="1276" w:type="dxa"/>
            <w:vAlign w:val="center"/>
          </w:tcPr>
          <w:p>
            <w:pPr>
              <w:pStyle w:val="15"/>
            </w:pPr>
            <w:r>
              <w:t>调查问询</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151001廊坊市广阳区人民政府办公室本级</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75.00</w:t>
            </w:r>
          </w:p>
        </w:tc>
        <w:tc>
          <w:tcPr>
            <w:tcW w:w="964" w:type="dxa"/>
            <w:vAlign w:val="center"/>
          </w:tcPr>
          <w:p>
            <w:pPr>
              <w:pStyle w:val="18"/>
            </w:pPr>
            <w:r>
              <w:t>75.00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7"/>
            </w:pPr>
            <w:r>
              <w:t>廊坊市广阳区人民政府办公室本级小计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75.00</w:t>
            </w:r>
          </w:p>
        </w:tc>
        <w:tc>
          <w:tcPr>
            <w:tcW w:w="964" w:type="dxa"/>
            <w:vAlign w:val="center"/>
          </w:tcPr>
          <w:p>
            <w:pPr>
              <w:pStyle w:val="18"/>
            </w:pPr>
            <w:r>
              <w:t>75.00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pPr>
            <w:r>
              <w:t>政务服务管理经费</w:t>
            </w:r>
          </w:p>
        </w:tc>
        <w:tc>
          <w:tcPr>
            <w:tcW w:w="964" w:type="dxa"/>
            <w:vAlign w:val="center"/>
          </w:tcPr>
          <w:p>
            <w:pPr>
              <w:pStyle w:val="14"/>
            </w:pPr>
            <w:r>
              <w:t>150.00</w:t>
            </w:r>
          </w:p>
        </w:tc>
        <w:tc>
          <w:tcPr>
            <w:tcW w:w="1134" w:type="dxa"/>
            <w:vAlign w:val="center"/>
          </w:tcPr>
          <w:p>
            <w:pPr>
              <w:pStyle w:val="15"/>
            </w:pPr>
            <w:r>
              <w:t>其他服务</w:t>
            </w:r>
          </w:p>
        </w:tc>
        <w:tc>
          <w:tcPr>
            <w:tcW w:w="1134" w:type="dxa"/>
            <w:vAlign w:val="center"/>
          </w:tcPr>
          <w:p>
            <w:pPr>
              <w:pStyle w:val="15"/>
            </w:pPr>
            <w:r>
              <w:t>C99000000</w:t>
            </w:r>
          </w:p>
        </w:tc>
        <w:tc>
          <w:tcPr>
            <w:tcW w:w="709" w:type="dxa"/>
            <w:vAlign w:val="center"/>
          </w:tcPr>
          <w:p>
            <w:pPr>
              <w:pStyle w:val="16"/>
            </w:pPr>
            <w:r>
              <w:t>批</w:t>
            </w:r>
          </w:p>
        </w:tc>
        <w:tc>
          <w:tcPr>
            <w:tcW w:w="850" w:type="dxa"/>
            <w:vAlign w:val="center"/>
          </w:tcPr>
          <w:p>
            <w:pPr>
              <w:pStyle w:val="14"/>
            </w:pPr>
            <w:r>
              <w:t>1</w:t>
            </w:r>
          </w:p>
        </w:tc>
        <w:tc>
          <w:tcPr>
            <w:tcW w:w="850" w:type="dxa"/>
            <w:vAlign w:val="center"/>
          </w:tcPr>
          <w:p>
            <w:pPr>
              <w:pStyle w:val="14"/>
            </w:pPr>
            <w:r>
              <w:t>75.00</w:t>
            </w:r>
          </w:p>
        </w:tc>
        <w:tc>
          <w:tcPr>
            <w:tcW w:w="964" w:type="dxa"/>
            <w:vAlign w:val="center"/>
          </w:tcPr>
          <w:p>
            <w:pPr>
              <w:pStyle w:val="14"/>
            </w:pPr>
            <w:r>
              <w:t>75.00</w:t>
            </w:r>
          </w:p>
        </w:tc>
        <w:tc>
          <w:tcPr>
            <w:tcW w:w="964" w:type="dxa"/>
            <w:vAlign w:val="center"/>
          </w:tcPr>
          <w:p>
            <w:pPr>
              <w:pStyle w:val="14"/>
            </w:pPr>
            <w:r>
              <w:t>75.00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75.00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olor w:val="000000"/>
          <w:sz w:val="28"/>
        </w:rPr>
        <w:t>廊坊市广阳区人民政府办公室本级上年末固定资产金额为947.28万元（详见下表）。本年度拟购置固定资产总额为0.00万元，已按要求列入政府采购预算，详见政府采购预算表。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151001廊坊市广阳区人民政府办公室本级</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947.28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2、车辆（台、辆）</w:t>
            </w:r>
          </w:p>
        </w:tc>
        <w:tc>
          <w:tcPr>
            <w:tcW w:w="2835" w:type="dxa"/>
            <w:vAlign w:val="center"/>
          </w:tcPr>
          <w:p>
            <w:pPr>
              <w:pStyle w:val="16"/>
            </w:pPr>
            <w:r>
              <w:t>7</w:t>
            </w:r>
          </w:p>
        </w:tc>
        <w:tc>
          <w:tcPr>
            <w:tcW w:w="2835" w:type="dxa"/>
            <w:vAlign w:val="center"/>
          </w:tcPr>
          <w:p>
            <w:pPr>
              <w:pStyle w:val="14"/>
            </w:pPr>
            <w:r>
              <w:t>177.47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4、其他固定资产</w:t>
            </w:r>
          </w:p>
        </w:tc>
        <w:tc>
          <w:tcPr>
            <w:tcW w:w="2835" w:type="dxa"/>
            <w:vAlign w:val="center"/>
          </w:tcPr>
          <w:p>
            <w:pPr>
              <w:pStyle w:val="16"/>
            </w:pPr>
            <w:r>
              <w:t>1099</w:t>
            </w:r>
          </w:p>
        </w:tc>
        <w:tc>
          <w:tcPr>
            <w:tcW w:w="2835" w:type="dxa"/>
            <w:vAlign w:val="center"/>
          </w:tcPr>
          <w:p>
            <w:pPr>
              <w:pStyle w:val="14"/>
            </w:pPr>
            <w:r>
              <w:t>769.81</w:t>
            </w:r>
          </w:p>
        </w:tc>
      </w:tr>
    </w:tbl>
    <w:p>
      <w:pPr>
        <w:ind w:firstLine="640"/>
      </w:pPr>
      <w:r>
        <w:rPr>
          <w:rFonts w:eastAsia="方正仿宋_GBK"/>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27C4B"/>
    <w:rsid w:val="0022714C"/>
    <w:rsid w:val="00327C4B"/>
    <w:rsid w:val="00357479"/>
    <w:rsid w:val="003D504C"/>
    <w:rsid w:val="0065475F"/>
    <w:rsid w:val="6A2711B6"/>
    <w:rsid w:val="6CC074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pPr>
    <w:rPr>
      <w:sz w:val="18"/>
      <w:szCs w:val="18"/>
    </w:rPr>
  </w:style>
  <w:style w:type="paragraph" w:styleId="3">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uiPriority w:val="99"/>
    <w:rPr>
      <w:rFonts w:eastAsia="Times New Roman"/>
      <w:sz w:val="18"/>
      <w:szCs w:val="18"/>
      <w:lang w:eastAsia="uk-UA"/>
    </w:rPr>
  </w:style>
  <w:style w:type="character" w:customStyle="1" w:styleId="26">
    <w:name w:val="页脚 Char"/>
    <w:basedOn w:val="8"/>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2068</Words>
  <Characters>11790</Characters>
  <Lines>98</Lines>
  <Paragraphs>27</Paragraphs>
  <TotalTime>0</TotalTime>
  <ScaleCrop>false</ScaleCrop>
  <LinksUpToDate>false</LinksUpToDate>
  <CharactersWithSpaces>13831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2025-03-03T14:24:00Z</dcterms:created>
  <dc:creator>lenovo001</dc:creator>
  <cp:lastModifiedBy>lenovo001</cp:lastModifiedBy>
  <dcterms:modified xsi:type="dcterms:W3CDTF">2025-03-07T06:28:40Z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21AFF7F153A64EE4B4C3D5EA409AFE1F</vt:lpwstr>
  </property>
</Properties>
</file>