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7694C1">
      <w:pPr>
        <w:widowControl/>
        <w:spacing w:line="1200" w:lineRule="exact"/>
        <w:jc w:val="center"/>
        <w:rPr>
          <w:rFonts w:ascii="黑体" w:eastAsia="黑体"/>
          <w:color w:val="000000"/>
          <w:sz w:val="96"/>
          <w:szCs w:val="96"/>
        </w:rPr>
      </w:pPr>
    </w:p>
    <w:p w14:paraId="6E95A13C">
      <w:pPr>
        <w:widowControl/>
        <w:spacing w:line="1200" w:lineRule="exact"/>
        <w:jc w:val="center"/>
        <w:rPr>
          <w:rFonts w:ascii="黑体" w:eastAsia="黑体"/>
          <w:color w:val="000000"/>
          <w:sz w:val="96"/>
          <w:szCs w:val="96"/>
        </w:rPr>
      </w:pPr>
    </w:p>
    <w:p w14:paraId="6D8944F5">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14:paraId="11ECC4FF">
      <w:pPr>
        <w:widowControl/>
        <w:jc w:val="center"/>
        <w:rPr>
          <w:rFonts w:ascii="黑体" w:eastAsia="黑体"/>
          <w:color w:val="002060"/>
          <w:sz w:val="72"/>
          <w:szCs w:val="72"/>
        </w:rPr>
      </w:pPr>
    </w:p>
    <w:p w14:paraId="4C5CB5A8">
      <w:pPr>
        <w:widowControl/>
        <w:jc w:val="center"/>
        <w:rPr>
          <w:rFonts w:ascii="黑体" w:eastAsia="黑体"/>
          <w:b/>
          <w:sz w:val="72"/>
          <w:szCs w:val="72"/>
        </w:rPr>
      </w:pPr>
    </w:p>
    <w:p w14:paraId="0E9C3C23">
      <w:pPr>
        <w:widowControl/>
        <w:jc w:val="center"/>
        <w:rPr>
          <w:rFonts w:ascii="黑体" w:eastAsia="黑体"/>
          <w:b/>
          <w:sz w:val="72"/>
          <w:szCs w:val="72"/>
        </w:rPr>
      </w:pPr>
    </w:p>
    <w:p w14:paraId="72FAD223">
      <w:pPr>
        <w:widowControl/>
        <w:jc w:val="center"/>
        <w:rPr>
          <w:rFonts w:ascii="黑体" w:eastAsia="黑体"/>
          <w:b/>
          <w:sz w:val="72"/>
          <w:szCs w:val="72"/>
        </w:rPr>
      </w:pPr>
    </w:p>
    <w:p w14:paraId="6A17B93D">
      <w:pPr>
        <w:widowControl/>
        <w:jc w:val="center"/>
        <w:rPr>
          <w:rFonts w:ascii="黑体" w:eastAsia="黑体"/>
          <w:b/>
          <w:sz w:val="72"/>
          <w:szCs w:val="72"/>
        </w:rPr>
      </w:pPr>
    </w:p>
    <w:p w14:paraId="309C70B1">
      <w:pPr>
        <w:widowControl/>
        <w:jc w:val="center"/>
        <w:rPr>
          <w:rFonts w:ascii="黑体" w:eastAsia="黑体"/>
          <w:b/>
          <w:sz w:val="72"/>
          <w:szCs w:val="72"/>
        </w:rPr>
      </w:pPr>
    </w:p>
    <w:p w14:paraId="5C310E66">
      <w:pPr>
        <w:jc w:val="center"/>
      </w:pPr>
      <w:bookmarkStart w:id="0" w:name="_GoBack"/>
      <w:r>
        <w:rPr>
          <w:rFonts w:hint="eastAsia"/>
          <w:b/>
          <w:sz w:val="44"/>
          <w:szCs w:val="44"/>
        </w:rPr>
        <w:t>中国人民政治协商会议廊坊市广阳区委员会</w:t>
      </w:r>
      <w:bookmarkEnd w:id="0"/>
    </w:p>
    <w:p w14:paraId="12C32F82"/>
    <w:p w14:paraId="673F197C"/>
    <w:p w14:paraId="62B1B6C9"/>
    <w:p w14:paraId="4CDBED57"/>
    <w:p w14:paraId="58FC4A2F">
      <w:pPr>
        <w:widowControl/>
        <w:jc w:val="center"/>
        <w:rPr>
          <w:color w:val="000000"/>
          <w:sz w:val="72"/>
          <w:szCs w:val="72"/>
        </w:rPr>
      </w:pPr>
      <w:r>
        <w:rPr>
          <w:rFonts w:hint="eastAsia" w:ascii="黑体" w:eastAsia="黑体"/>
          <w:color w:val="000000"/>
          <w:sz w:val="72"/>
          <w:szCs w:val="72"/>
        </w:rPr>
        <w:t>第一部分  部门概况</w:t>
      </w:r>
    </w:p>
    <w:p w14:paraId="1E31E2FA"/>
    <w:p w14:paraId="65BEB08E"/>
    <w:p w14:paraId="5536DAF5"/>
    <w:p w14:paraId="74FDECC4"/>
    <w:p w14:paraId="0F230271"/>
    <w:p w14:paraId="3728A1DB"/>
    <w:p w14:paraId="054A902D"/>
    <w:p w14:paraId="519C7FF1"/>
    <w:p w14:paraId="71EA9FA4"/>
    <w:p w14:paraId="528C4DA2"/>
    <w:p w14:paraId="7C72BAA4">
      <w:pPr>
        <w:rPr>
          <w:rFonts w:hint="eastAsia"/>
        </w:rPr>
      </w:pPr>
    </w:p>
    <w:p w14:paraId="57069814"/>
    <w:p w14:paraId="707803A7"/>
    <w:p w14:paraId="58ECA7C2">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4E5C89DC">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（一）按照中国人民政治协商会议章程进行工作。</w:t>
      </w:r>
    </w:p>
    <w:p w14:paraId="67F0FE3D">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（二）主要职能是政治协商和民主监督，组织参加本会的各党派、团体和各族各界人士参政议政。</w:t>
      </w:r>
    </w:p>
    <w:p w14:paraId="1F342B47">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（三）宣传和贯彻执行国家的宪法法律和各项方针、政策，推动社会力量积极参加物质文明和社会主义精神文明建设，协助国家机关打击经济领域和其他领域内破坏社会主义的犯罪活动。</w:t>
      </w:r>
    </w:p>
    <w:p w14:paraId="6B0043EB">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14:paraId="7DC9EF4B">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（五）调整和处理统一战线各方面的关系和人民政协内部合作的重要事项。</w:t>
      </w:r>
    </w:p>
    <w:p w14:paraId="0941013A">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（六）通过各种形式，积极传播先进思想，开展爱祖国、爱人民、爱劳动、爱科学、爱社会主义的公德及革命的理想、道德和纪律的宣传教育工作。</w:t>
      </w:r>
    </w:p>
    <w:p w14:paraId="0EA7452F">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14:paraId="5E8FB728">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（八）组织委员视察、参观和调查，了解情况，就各项事业和群众生活的重要问题进行研究，通过建议案、提案和其他形式向党委、政府和其他有关组织提出建议和批评。</w:t>
      </w:r>
    </w:p>
    <w:p w14:paraId="2F313645">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（九）推动委员在自愿的基础上学习马克思列宁主义、毛泽东思想和邓小平理论，学习时事政治、学习和交流业务和科学技术知识，增强为祖国服务的才能。</w:t>
      </w:r>
    </w:p>
    <w:p w14:paraId="0C2A2F6E">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（十）宣传和参与贯彻执行国家关于统一祖国的方针政策，积极开展同台湾同胞和各界人士的联系，促进祖国统一大业的实现。</w:t>
      </w:r>
    </w:p>
    <w:p w14:paraId="7B9525B0">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（十一）宣传和协助贯彻执行国家的知识分子政策，以利于充分发挥知识分子在社会主义现代化建设中的作用。</w:t>
      </w:r>
    </w:p>
    <w:p w14:paraId="3C8D5A8E">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14:paraId="0D94EB27">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（十三）宣传和协助贯彻执行国家的宗教政策，团结宗教界爱国人士和宗教信仰者为祖国的建设和统一贡献力量。</w:t>
      </w:r>
    </w:p>
    <w:p w14:paraId="1CB28A73">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（十四）宣传和协助贯彻执行国家的侨务政策。加强同国外侨胞的联系和团结，鼓励他们为祖国的建设事业和统一祖国的大业作出贡献。</w:t>
      </w:r>
    </w:p>
    <w:p w14:paraId="6CD1EDE0">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（十五）根据统一战线组织的特点进行关于地方近代、现代史料的征集研究和出版工作。</w:t>
      </w:r>
    </w:p>
    <w:p w14:paraId="68EE3842">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14:paraId="4793D823">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0891A1E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6206269E">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69AE5323">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10216E34">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72F17C3E">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262C8CC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985" w:type="dxa"/>
          </w:tcPr>
          <w:p w14:paraId="207B9A4F">
            <w:pPr>
              <w:spacing w:after="0" w:line="560" w:lineRule="exact"/>
              <w:jc w:val="center"/>
              <w:rPr>
                <w:rFonts w:ascii="仿宋_GB2312" w:eastAsia="仿宋_GB2312" w:cs="仿宋_GB2312"/>
                <w:sz w:val="32"/>
                <w:szCs w:val="32"/>
              </w:rPr>
            </w:pPr>
            <w:r>
              <w:rPr>
                <w:rFonts w:hint="eastAsia" w:ascii="仿宋_GB2312" w:eastAsia="仿宋_GB2312" w:cs="仿宋_GB2312"/>
                <w:sz w:val="32"/>
                <w:szCs w:val="32"/>
              </w:rPr>
              <w:t>1</w:t>
            </w:r>
          </w:p>
        </w:tc>
        <w:tc>
          <w:tcPr>
            <w:tcW w:w="3485" w:type="dxa"/>
            <w:vAlign w:val="center"/>
          </w:tcPr>
          <w:p w14:paraId="1FA20445">
            <w:pPr>
              <w:spacing w:after="0" w:line="300" w:lineRule="exact"/>
              <w:jc w:val="center"/>
              <w:rPr>
                <w:rFonts w:ascii="仿宋_GB2312" w:eastAsia="仿宋_GB2312" w:cs="仿宋_GB2312"/>
                <w:sz w:val="32"/>
                <w:szCs w:val="32"/>
              </w:rPr>
            </w:pPr>
            <w:r>
              <w:rPr>
                <w:rFonts w:hint="eastAsia" w:ascii="仿宋_GB2312" w:eastAsia="仿宋_GB2312" w:cs="仿宋_GB2312"/>
                <w:sz w:val="32"/>
                <w:szCs w:val="32"/>
              </w:rPr>
              <w:t>中国人民政治协商会议廊坊市广阳区委员会(本级)</w:t>
            </w:r>
          </w:p>
        </w:tc>
        <w:tc>
          <w:tcPr>
            <w:tcW w:w="2445" w:type="dxa"/>
            <w:vAlign w:val="center"/>
          </w:tcPr>
          <w:p w14:paraId="0D39F5B2">
            <w:pPr>
              <w:spacing w:after="0" w:line="560" w:lineRule="exact"/>
              <w:jc w:val="center"/>
              <w:rPr>
                <w:rFonts w:ascii="仿宋_GB2312" w:eastAsia="仿宋_GB2312" w:cs="仿宋_GB2312"/>
                <w:sz w:val="32"/>
                <w:szCs w:val="32"/>
              </w:rPr>
            </w:pPr>
            <w:r>
              <w:rPr>
                <w:rFonts w:hint="eastAsia" w:ascii="仿宋_GB2312" w:eastAsia="仿宋_GB2312" w:cs="仿宋_GB2312"/>
                <w:sz w:val="32"/>
                <w:szCs w:val="32"/>
              </w:rPr>
              <w:t>行政单位</w:t>
            </w:r>
          </w:p>
        </w:tc>
        <w:tc>
          <w:tcPr>
            <w:tcW w:w="2665" w:type="dxa"/>
            <w:vAlign w:val="center"/>
          </w:tcPr>
          <w:p w14:paraId="650E55DA">
            <w:pPr>
              <w:spacing w:after="0" w:line="560" w:lineRule="exact"/>
              <w:jc w:val="center"/>
              <w:rPr>
                <w:rFonts w:ascii="仿宋_GB2312" w:eastAsia="仿宋_GB2312" w:cs="仿宋_GB2312"/>
                <w:sz w:val="32"/>
                <w:szCs w:val="32"/>
              </w:rPr>
            </w:pPr>
            <w:r>
              <w:rPr>
                <w:rFonts w:hint="eastAsia" w:ascii="仿宋_GB2312" w:eastAsia="仿宋_GB2312" w:cs="仿宋_GB2312"/>
                <w:sz w:val="32"/>
                <w:szCs w:val="32"/>
              </w:rPr>
              <w:t>财政拨款</w:t>
            </w:r>
          </w:p>
        </w:tc>
      </w:tr>
      <w:tr w14:paraId="1771D28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3FD0C381">
            <w:pPr>
              <w:spacing w:after="0" w:line="400" w:lineRule="exact"/>
              <w:ind w:firstLine="560" w:firstLineChars="200"/>
              <w:jc w:val="left"/>
              <w:rPr>
                <w:rFonts w:ascii="仿宋_GB2312" w:eastAsia="仿宋_GB2312" w:cs="ArialUnicodeMS"/>
                <w:kern w:val="0"/>
                <w:sz w:val="28"/>
                <w:szCs w:val="28"/>
              </w:rPr>
            </w:pPr>
          </w:p>
          <w:p w14:paraId="62F7F3B0">
            <w:pPr>
              <w:spacing w:after="0" w:line="400" w:lineRule="exact"/>
              <w:ind w:firstLine="560" w:firstLineChars="200"/>
              <w:jc w:val="left"/>
              <w:rPr>
                <w:rFonts w:ascii="仿宋_GB2312" w:eastAsia="仿宋_GB2312" w:cs="ArialUnicodeMS"/>
                <w:kern w:val="0"/>
                <w:sz w:val="28"/>
                <w:szCs w:val="28"/>
              </w:rPr>
            </w:pPr>
          </w:p>
          <w:p w14:paraId="1507A50B">
            <w:pPr>
              <w:spacing w:after="0" w:line="400" w:lineRule="exact"/>
              <w:ind w:firstLine="560" w:firstLineChars="200"/>
              <w:jc w:val="left"/>
              <w:rPr>
                <w:rFonts w:ascii="仿宋_GB2312" w:eastAsia="仿宋_GB2312" w:cs="ArialUnicodeMS"/>
                <w:kern w:val="0"/>
                <w:sz w:val="28"/>
                <w:szCs w:val="28"/>
              </w:rPr>
            </w:pPr>
          </w:p>
        </w:tc>
      </w:tr>
    </w:tbl>
    <w:p w14:paraId="28DC8DCB">
      <w:pPr>
        <w:widowControl/>
        <w:spacing w:line="1200" w:lineRule="exact"/>
        <w:jc w:val="center"/>
        <w:rPr>
          <w:rFonts w:ascii="黑体" w:eastAsia="黑体"/>
          <w:color w:val="000000"/>
          <w:sz w:val="72"/>
          <w:szCs w:val="96"/>
        </w:rPr>
      </w:pPr>
    </w:p>
    <w:p w14:paraId="67D2EF33">
      <w:pPr>
        <w:widowControl/>
        <w:spacing w:line="1200" w:lineRule="exact"/>
        <w:jc w:val="center"/>
        <w:rPr>
          <w:rFonts w:ascii="黑体" w:eastAsia="黑体"/>
          <w:color w:val="000000"/>
          <w:sz w:val="72"/>
          <w:szCs w:val="96"/>
        </w:rPr>
      </w:pPr>
    </w:p>
    <w:p w14:paraId="1A7FB3C0">
      <w:pPr>
        <w:widowControl/>
        <w:spacing w:line="1200" w:lineRule="exact"/>
        <w:jc w:val="center"/>
        <w:rPr>
          <w:rFonts w:ascii="黑体" w:eastAsia="黑体"/>
          <w:color w:val="000000"/>
          <w:sz w:val="72"/>
          <w:szCs w:val="96"/>
        </w:rPr>
      </w:pPr>
    </w:p>
    <w:p w14:paraId="1DFC7CA1">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14:paraId="30330E23">
      <w:pPr>
        <w:widowControl/>
        <w:spacing w:line="1200" w:lineRule="exact"/>
        <w:jc w:val="center"/>
        <w:rPr>
          <w:color w:val="000000"/>
          <w:sz w:val="72"/>
          <w:szCs w:val="96"/>
        </w:rPr>
      </w:pPr>
      <w:r>
        <w:rPr>
          <w:rFonts w:hint="eastAsia" w:ascii="黑体" w:eastAsia="黑体"/>
          <w:color w:val="000000"/>
          <w:sz w:val="72"/>
          <w:szCs w:val="96"/>
        </w:rPr>
        <w:t>2018年度部门决算报表</w:t>
      </w:r>
    </w:p>
    <w:p w14:paraId="4DE5BF1C">
      <w:pPr>
        <w:widowControl/>
        <w:spacing w:line="560" w:lineRule="exact"/>
        <w:jc w:val="center"/>
        <w:rPr>
          <w:rFonts w:ascii="黑体" w:eastAsia="黑体" w:cs="MS-UIGothic,Bold"/>
          <w:bCs/>
          <w:kern w:val="0"/>
          <w:sz w:val="52"/>
          <w:szCs w:val="52"/>
        </w:rPr>
      </w:pPr>
    </w:p>
    <w:p w14:paraId="254BF724">
      <w:pPr>
        <w:widowControl/>
        <w:spacing w:line="560" w:lineRule="exact"/>
        <w:jc w:val="center"/>
        <w:rPr>
          <w:rFonts w:ascii="黑体" w:eastAsia="黑体" w:cs="MS-UIGothic,Bold"/>
          <w:bCs/>
          <w:kern w:val="0"/>
          <w:sz w:val="52"/>
          <w:szCs w:val="52"/>
        </w:rPr>
      </w:pPr>
    </w:p>
    <w:p w14:paraId="5CB6530E">
      <w:pPr>
        <w:widowControl/>
        <w:spacing w:line="560" w:lineRule="exact"/>
        <w:jc w:val="center"/>
        <w:rPr>
          <w:rFonts w:ascii="黑体" w:eastAsia="黑体" w:cs="MS-UIGothic,Bold"/>
          <w:bCs/>
          <w:kern w:val="0"/>
          <w:sz w:val="52"/>
          <w:szCs w:val="52"/>
        </w:rPr>
      </w:pPr>
    </w:p>
    <w:p w14:paraId="68EEC56F">
      <w:pPr>
        <w:widowControl/>
        <w:spacing w:line="560" w:lineRule="exact"/>
        <w:jc w:val="center"/>
        <w:rPr>
          <w:rFonts w:ascii="黑体" w:eastAsia="黑体" w:cs="MS-UIGothic,Bold"/>
          <w:bCs/>
          <w:kern w:val="0"/>
          <w:sz w:val="52"/>
          <w:szCs w:val="52"/>
        </w:rPr>
      </w:pPr>
    </w:p>
    <w:p w14:paraId="2FE45723">
      <w:pPr>
        <w:widowControl/>
        <w:spacing w:line="560" w:lineRule="exact"/>
        <w:jc w:val="center"/>
        <w:rPr>
          <w:rFonts w:ascii="黑体" w:eastAsia="黑体" w:cs="MS-UIGothic,Bold"/>
          <w:bCs/>
          <w:kern w:val="0"/>
          <w:sz w:val="52"/>
          <w:szCs w:val="52"/>
        </w:rPr>
      </w:pPr>
    </w:p>
    <w:p w14:paraId="72AD0518">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2FBEB3E7">
      <w:pPr>
        <w:pStyle w:val="20"/>
        <w:widowControl/>
        <w:numPr>
          <w:ilvl w:val="0"/>
          <w:numId w:val="1"/>
        </w:numPr>
        <w:spacing w:line="580" w:lineRule="exact"/>
        <w:ind w:left="640" w:firstLine="640" w:firstLineChars="0"/>
        <w:rPr>
          <w:rFonts w:eastAsia="仿宋_GB2312"/>
          <w:sz w:val="32"/>
          <w:szCs w:val="32"/>
        </w:rPr>
      </w:pPr>
      <w:r>
        <w:rPr>
          <w:rFonts w:eastAsia="仿宋_GB2312"/>
          <w:sz w:val="32"/>
          <w:szCs w:val="32"/>
        </w:rPr>
        <w:t>收入支出决算总表</w:t>
      </w:r>
    </w:p>
    <w:p w14:paraId="7A65A0E8">
      <w:pPr>
        <w:widowControl/>
        <w:spacing w:line="580" w:lineRule="exact"/>
        <w:ind w:left="640" w:firstLine="640" w:firstLineChars="200"/>
        <w:rPr>
          <w:rFonts w:eastAsia="仿宋_GB2312"/>
          <w:sz w:val="32"/>
          <w:szCs w:val="32"/>
        </w:rPr>
      </w:pPr>
      <w:r>
        <w:rPr>
          <w:rFonts w:eastAsia="仿宋_GB2312"/>
          <w:sz w:val="32"/>
          <w:szCs w:val="32"/>
        </w:rPr>
        <w:t>二、收入决算表</w:t>
      </w:r>
    </w:p>
    <w:p w14:paraId="75757C6E">
      <w:pPr>
        <w:widowControl/>
        <w:spacing w:line="580" w:lineRule="exact"/>
        <w:ind w:left="640" w:firstLine="640" w:firstLineChars="200"/>
        <w:rPr>
          <w:rFonts w:eastAsia="仿宋_GB2312"/>
          <w:sz w:val="32"/>
          <w:szCs w:val="32"/>
        </w:rPr>
      </w:pPr>
      <w:r>
        <w:rPr>
          <w:rFonts w:eastAsia="仿宋_GB2312"/>
          <w:sz w:val="32"/>
          <w:szCs w:val="32"/>
        </w:rPr>
        <w:t>三、支出决算表</w:t>
      </w:r>
    </w:p>
    <w:p w14:paraId="4463AC57">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14:paraId="73844D1E">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14:paraId="4651D8AF">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14:paraId="30B98CBD">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7B9BFAD7">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59545D2C">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14:paraId="4CC8ED80">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14:paraId="2F1BA20F">
      <w:pPr>
        <w:rPr>
          <w:rFonts w:ascii="宋体" w:cs="ArialUnicodeMS"/>
          <w:color w:val="000000"/>
          <w:kern w:val="0"/>
        </w:rPr>
      </w:pPr>
    </w:p>
    <w:p w14:paraId="44759822">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14:paraId="0DC439FF">
      <w:pPr>
        <w:widowControl/>
        <w:spacing w:line="1200" w:lineRule="exact"/>
        <w:jc w:val="center"/>
        <w:rPr>
          <w:rFonts w:ascii="黑体" w:eastAsia="黑体"/>
          <w:color w:val="000000"/>
          <w:sz w:val="96"/>
          <w:szCs w:val="96"/>
        </w:rPr>
      </w:pPr>
    </w:p>
    <w:p w14:paraId="2D58E6F2">
      <w:pPr>
        <w:widowControl/>
        <w:spacing w:line="1200" w:lineRule="exact"/>
        <w:jc w:val="center"/>
        <w:rPr>
          <w:rFonts w:ascii="黑体" w:eastAsia="黑体"/>
          <w:color w:val="000000"/>
          <w:sz w:val="96"/>
          <w:szCs w:val="96"/>
        </w:rPr>
      </w:pPr>
    </w:p>
    <w:p w14:paraId="6957AA89">
      <w:pPr>
        <w:widowControl/>
        <w:spacing w:line="1200" w:lineRule="exact"/>
        <w:jc w:val="center"/>
        <w:rPr>
          <w:rFonts w:ascii="黑体" w:eastAsia="黑体"/>
          <w:color w:val="000000"/>
          <w:sz w:val="96"/>
          <w:szCs w:val="96"/>
        </w:rPr>
      </w:pPr>
    </w:p>
    <w:p w14:paraId="4AAEFFE2">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14:paraId="4E8B2B11">
      <w:pPr>
        <w:widowControl/>
        <w:spacing w:line="1200" w:lineRule="exact"/>
        <w:jc w:val="center"/>
        <w:rPr>
          <w:color w:val="000000"/>
          <w:sz w:val="72"/>
          <w:szCs w:val="72"/>
        </w:rPr>
      </w:pPr>
      <w:r>
        <w:rPr>
          <w:rFonts w:hint="eastAsia" w:ascii="黑体" w:eastAsia="黑体"/>
          <w:color w:val="000000"/>
          <w:sz w:val="72"/>
          <w:szCs w:val="72"/>
        </w:rPr>
        <w:t>部门决算情况说明</w:t>
      </w:r>
    </w:p>
    <w:p w14:paraId="24E91697">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1831E917">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14:paraId="2A27D373">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本部门2018年度收入总计（含结转和结余）855.04万元</w:t>
      </w:r>
      <w:r>
        <w:rPr>
          <w:rFonts w:hint="eastAsia" w:ascii="宋体" w:cs="宋体"/>
          <w:sz w:val="32"/>
          <w:szCs w:val="32"/>
        </w:rPr>
        <w:t>，</w:t>
      </w:r>
      <w:r>
        <w:rPr>
          <w:rFonts w:hint="eastAsia" w:ascii="仿宋_GB2312" w:eastAsia="仿宋_GB2312" w:cs="DengXian-Regular"/>
          <w:sz w:val="32"/>
          <w:szCs w:val="32"/>
        </w:rPr>
        <w:t>支出总计（含结转和结余）861.58万元。与2017年度决算相比，收入增加314.16万元，增长36.7%，主要原因是人员工资调待、养老保险清算和培训费的增加。支出增加320.72万元，增长37.2%，主要原因同样是人员工资调待、养老保险清算和培训费的增加。</w:t>
      </w:r>
    </w:p>
    <w:p w14:paraId="37F85F71">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1D88FDF5">
      <w:pPr>
        <w:adjustRightInd w:val="0"/>
        <w:snapToGrid w:val="0"/>
        <w:spacing w:after="0" w:line="580" w:lineRule="exact"/>
        <w:ind w:firstLine="640" w:firstLineChars="200"/>
      </w:pPr>
      <w:r>
        <w:rPr>
          <w:rFonts w:hint="eastAsia" w:ascii="仿宋_GB2312" w:eastAsia="仿宋_GB2312" w:cs="DengXian-Regular"/>
          <w:sz w:val="32"/>
          <w:szCs w:val="32"/>
        </w:rPr>
        <w:t>本部门2018年度本年收入合计855.04万元，其中：财政拨款收入770.55万元，占90.1%；事业收入0.00万元，占0.0%；经营收入0.00万元，占0.0%；其他收入84.49万元，占9.9%。</w:t>
      </w:r>
    </w:p>
    <w:p w14:paraId="6575EA88">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422277D2">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本部门2018年度本年支出合计861.58万元，其中：基本支出861.58万元，占100.0%；项目支出0.00万元，占0.0%；经营支出0.00万元，占0.0%。</w:t>
      </w:r>
    </w:p>
    <w:p w14:paraId="018B38B5">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14:paraId="1C18EDF0">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14:paraId="4D672384">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770.55万元,比2017年度增加266.67万元，增长34.6%，主要原因是人员工资调待、养老保险清算和培训费的增加。；本年支出777.09万元，比2017年度增加273.23万元，增长35.2%，主要原因同样是人员工资调待、养老保险清算和培训费的增加。</w:t>
      </w:r>
    </w:p>
    <w:p w14:paraId="5B36D613">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5598FF82">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770.55万元，完成年初预算的1.04%,比年初预算增加30.63万元，决算数大于预算数，主要原因是人员工资调待、养老保险清算和培训费的增加；本年支出777.09万元，完成年初预算的100.8%,比年初预算增加37.17万元，决算数大于预算数，主要原因是人员工资调待、养老保险清算和培训费的增加。</w:t>
      </w:r>
    </w:p>
    <w:p w14:paraId="76BE8902">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79720C7D">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年度财政拨款支出861</w:t>
      </w:r>
      <w:r>
        <w:rPr>
          <w:rFonts w:hint="eastAsia" w:ascii="宋体" w:cs="宋体"/>
          <w:sz w:val="32"/>
          <w:szCs w:val="32"/>
        </w:rPr>
        <w:t>.</w:t>
      </w:r>
      <w:r>
        <w:rPr>
          <w:rFonts w:hint="eastAsia" w:ascii="仿宋_GB2312" w:eastAsia="仿宋_GB2312" w:cs="宋体"/>
          <w:sz w:val="32"/>
          <w:szCs w:val="32"/>
        </w:rPr>
        <w:t>58</w:t>
      </w:r>
      <w:r>
        <w:rPr>
          <w:rFonts w:hint="eastAsia" w:ascii="仿宋_GB2312" w:eastAsia="仿宋_GB2312" w:cs="DengXian-Regular"/>
          <w:sz w:val="32"/>
          <w:szCs w:val="32"/>
        </w:rPr>
        <w:t>万元，主要用于以下方面：一般公共服务（类）支出664.39万元，占77.1%；社会保障和就业（类）支出152.62万元，占17.7%；医疗卫生与计划生育支出16.61万元，占1.9%；住房保障（类）支出27.96万元，占3.2%。</w:t>
      </w:r>
    </w:p>
    <w:p w14:paraId="0D154DB1">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14:paraId="7606AA03">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770.09万元，其中：人员经费629.42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147.68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35326E1B">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14:paraId="3DC6E001">
      <w:pPr>
        <w:adjustRightInd w:val="0"/>
        <w:snapToGrid w:val="0"/>
        <w:spacing w:line="584" w:lineRule="exact"/>
        <w:ind w:firstLine="640" w:firstLineChars="200"/>
        <w:rPr>
          <w:rFonts w:eastAsia="仿宋_GB2312"/>
          <w:sz w:val="32"/>
          <w:szCs w:val="32"/>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rPr>
        <w:t>6.43</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rPr>
        <w:t>32.77</w:t>
      </w:r>
      <w:r>
        <w:rPr>
          <w:rFonts w:eastAsia="仿宋_GB2312"/>
          <w:sz w:val="32"/>
          <w:szCs w:val="32"/>
        </w:rPr>
        <w:t>万元，降低</w:t>
      </w:r>
      <w:r>
        <w:rPr>
          <w:rFonts w:hint="eastAsia" w:eastAsia="仿宋_GB2312"/>
          <w:sz w:val="32"/>
          <w:szCs w:val="32"/>
        </w:rPr>
        <w:t>83.6</w:t>
      </w:r>
      <w:r>
        <w:rPr>
          <w:rFonts w:eastAsia="仿宋_GB2312"/>
          <w:sz w:val="32"/>
          <w:szCs w:val="32"/>
        </w:rPr>
        <w:t>%，主要</w:t>
      </w:r>
      <w:r>
        <w:rPr>
          <w:rFonts w:hint="eastAsia" w:eastAsia="仿宋_GB2312"/>
          <w:sz w:val="32"/>
          <w:szCs w:val="32"/>
        </w:rPr>
        <w:t>原因</w:t>
      </w:r>
      <w:r>
        <w:rPr>
          <w:rFonts w:eastAsia="仿宋_GB2312"/>
          <w:sz w:val="32"/>
          <w:szCs w:val="32"/>
        </w:rPr>
        <w:t>是</w:t>
      </w:r>
      <w:r>
        <w:rPr>
          <w:rFonts w:hint="eastAsia" w:eastAsia="仿宋_GB2312"/>
          <w:color w:val="000000"/>
          <w:kern w:val="0"/>
          <w:sz w:val="32"/>
          <w:szCs w:val="32"/>
        </w:rPr>
        <w:t>认真落实中央</w:t>
      </w:r>
      <w:r>
        <w:rPr>
          <w:rFonts w:hint="eastAsia" w:eastAsia="仿宋_GB2312"/>
          <w:color w:val="000000"/>
          <w:kern w:val="0"/>
          <w:sz w:val="32"/>
          <w:szCs w:val="32"/>
          <w:lang w:eastAsia="zh-CN"/>
        </w:rPr>
        <w:t>八项规定</w:t>
      </w:r>
      <w:r>
        <w:rPr>
          <w:rFonts w:hint="eastAsia" w:eastAsia="仿宋_GB2312"/>
          <w:color w:val="000000"/>
          <w:kern w:val="0"/>
          <w:sz w:val="32"/>
          <w:szCs w:val="32"/>
        </w:rPr>
        <w:t>精神，厉行节约</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1.89</w:t>
      </w:r>
      <w:r>
        <w:rPr>
          <w:rFonts w:eastAsia="仿宋_GB2312"/>
          <w:sz w:val="32"/>
          <w:szCs w:val="32"/>
        </w:rPr>
        <w:t>万元，降低</w:t>
      </w:r>
      <w:r>
        <w:rPr>
          <w:rFonts w:hint="eastAsia" w:eastAsia="仿宋_GB2312"/>
          <w:sz w:val="32"/>
          <w:szCs w:val="32"/>
        </w:rPr>
        <w:t>22.7</w:t>
      </w:r>
      <w:r>
        <w:rPr>
          <w:rFonts w:eastAsia="仿宋_GB2312"/>
          <w:sz w:val="32"/>
          <w:szCs w:val="32"/>
        </w:rPr>
        <w:t>%，主要</w:t>
      </w:r>
      <w:r>
        <w:rPr>
          <w:rFonts w:hint="eastAsia" w:eastAsia="仿宋_GB2312"/>
          <w:sz w:val="32"/>
          <w:szCs w:val="32"/>
        </w:rPr>
        <w:t>原因</w:t>
      </w:r>
      <w:r>
        <w:rPr>
          <w:rFonts w:eastAsia="仿宋_GB2312"/>
          <w:sz w:val="32"/>
          <w:szCs w:val="32"/>
        </w:rPr>
        <w:t>是</w:t>
      </w:r>
      <w:r>
        <w:rPr>
          <w:rFonts w:hint="eastAsia" w:eastAsia="仿宋_GB2312"/>
          <w:color w:val="000000"/>
          <w:kern w:val="0"/>
          <w:sz w:val="32"/>
          <w:szCs w:val="32"/>
        </w:rPr>
        <w:t>，完善管理制度，</w:t>
      </w:r>
      <w:r>
        <w:rPr>
          <w:rFonts w:hint="eastAsia" w:eastAsia="仿宋_GB2312"/>
          <w:sz w:val="32"/>
          <w:szCs w:val="32"/>
        </w:rPr>
        <w:t>压缩不必要的开支</w:t>
      </w:r>
      <w:r>
        <w:rPr>
          <w:rFonts w:eastAsia="仿宋_GB2312"/>
          <w:sz w:val="32"/>
          <w:szCs w:val="32"/>
        </w:rPr>
        <w:t>。具体情况如下：</w:t>
      </w:r>
    </w:p>
    <w:p w14:paraId="0918CFD1">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14:paraId="1F25F680">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6.43</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2.77</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30.1</w:t>
      </w:r>
      <w:r>
        <w:rPr>
          <w:rFonts w:eastAsia="仿宋_GB2312"/>
          <w:sz w:val="32"/>
          <w:szCs w:val="32"/>
        </w:rPr>
        <w:t>%</w:t>
      </w:r>
      <w:r>
        <w:rPr>
          <w:rFonts w:hint="eastAsia" w:ascii="仿宋_GB2312" w:eastAsia="仿宋_GB2312" w:cs="DengXian-Regular"/>
          <w:sz w:val="32"/>
          <w:szCs w:val="32"/>
        </w:rPr>
        <w:t>,主要原因是</w:t>
      </w:r>
      <w:r>
        <w:rPr>
          <w:rFonts w:hint="eastAsia" w:eastAsia="仿宋_GB2312"/>
          <w:color w:val="000000"/>
          <w:kern w:val="0"/>
          <w:sz w:val="32"/>
          <w:szCs w:val="32"/>
        </w:rPr>
        <w:t>压缩公务用车费用支出</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1.89</w:t>
      </w:r>
      <w:r>
        <w:rPr>
          <w:rFonts w:eastAsia="仿宋_GB2312"/>
          <w:sz w:val="32"/>
          <w:szCs w:val="32"/>
        </w:rPr>
        <w:t>万元，降低</w:t>
      </w:r>
      <w:r>
        <w:rPr>
          <w:rFonts w:hint="eastAsia" w:eastAsia="仿宋_GB2312"/>
          <w:sz w:val="32"/>
          <w:szCs w:val="32"/>
        </w:rPr>
        <w:t>22.7</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相应减少公务用车运行费用支出</w:t>
      </w:r>
      <w:r>
        <w:rPr>
          <w:rFonts w:eastAsia="仿宋_GB2312"/>
          <w:sz w:val="32"/>
          <w:szCs w:val="32"/>
        </w:rPr>
        <w:t>。</w:t>
      </w:r>
      <w:r>
        <w:rPr>
          <w:rFonts w:eastAsia="仿宋_GB2312"/>
          <w:b/>
          <w:bCs/>
          <w:sz w:val="32"/>
          <w:szCs w:val="32"/>
        </w:rPr>
        <w:t>其中：</w:t>
      </w:r>
    </w:p>
    <w:p w14:paraId="6C2806A4">
      <w:pPr>
        <w:adjustRightInd w:val="0"/>
        <w:snapToGrid w:val="0"/>
        <w:spacing w:line="584" w:lineRule="exact"/>
        <w:ind w:firstLine="643" w:firstLineChars="200"/>
        <w:rPr>
          <w:rFonts w:eastAsia="仿宋_GB2312"/>
          <w:b/>
          <w:sz w:val="32"/>
          <w:szCs w:val="32"/>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hint="eastAsia" w:eastAsia="仿宋_GB2312"/>
          <w:b/>
          <w:sz w:val="32"/>
          <w:szCs w:val="32"/>
        </w:rPr>
        <w:t>未购置公务用车。</w:t>
      </w:r>
    </w:p>
    <w:p w14:paraId="35D077F9">
      <w:pPr>
        <w:adjustRightInd w:val="0"/>
        <w:snapToGrid w:val="0"/>
        <w:spacing w:line="584" w:lineRule="exact"/>
        <w:ind w:firstLine="643" w:firstLineChars="200"/>
        <w:rPr>
          <w:rFonts w:eastAsia="仿宋_GB2312"/>
          <w:sz w:val="32"/>
          <w:szCs w:val="32"/>
        </w:rPr>
      </w:pPr>
      <w:r>
        <w:rPr>
          <w:rFonts w:eastAsia="仿宋_GB2312"/>
          <w:b/>
          <w:sz w:val="32"/>
          <w:szCs w:val="32"/>
        </w:rPr>
        <w:t>公务用车运行维护费支出</w:t>
      </w:r>
      <w:r>
        <w:rPr>
          <w:rFonts w:hint="eastAsia" w:eastAsia="仿宋_GB2312"/>
          <w:b/>
          <w:sz w:val="32"/>
          <w:szCs w:val="32"/>
        </w:rPr>
        <w:t>6.43</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4</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w:t>
      </w:r>
      <w:r>
        <w:rPr>
          <w:rFonts w:hint="eastAsia" w:eastAsia="仿宋_GB2312"/>
          <w:sz w:val="32"/>
          <w:szCs w:val="32"/>
        </w:rPr>
        <w:t>减少2.77万元，</w:t>
      </w:r>
      <w:r>
        <w:rPr>
          <w:rFonts w:eastAsia="仿宋_GB2312"/>
          <w:sz w:val="32"/>
          <w:szCs w:val="32"/>
        </w:rPr>
        <w:t>降低</w:t>
      </w:r>
      <w:r>
        <w:rPr>
          <w:rFonts w:hint="eastAsia" w:eastAsia="仿宋_GB2312"/>
          <w:sz w:val="32"/>
          <w:szCs w:val="32"/>
        </w:rPr>
        <w:t>30.1</w:t>
      </w:r>
      <w:r>
        <w:rPr>
          <w:rFonts w:eastAsia="仿宋_GB2312"/>
          <w:sz w:val="32"/>
          <w:szCs w:val="32"/>
        </w:rPr>
        <w:t>%，主要</w:t>
      </w:r>
      <w:r>
        <w:rPr>
          <w:rFonts w:hint="eastAsia" w:eastAsia="仿宋_GB2312"/>
          <w:sz w:val="32"/>
          <w:szCs w:val="32"/>
        </w:rPr>
        <w:t>原因</w:t>
      </w:r>
      <w:r>
        <w:rPr>
          <w:rFonts w:eastAsia="仿宋_GB2312"/>
          <w:sz w:val="32"/>
          <w:szCs w:val="32"/>
        </w:rPr>
        <w:t>是</w:t>
      </w:r>
      <w:r>
        <w:rPr>
          <w:rFonts w:hint="eastAsia" w:eastAsia="仿宋_GB2312"/>
          <w:sz w:val="32"/>
          <w:szCs w:val="32"/>
        </w:rPr>
        <w:t>压缩公务用车费用支出</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1.89</w:t>
      </w:r>
      <w:r>
        <w:rPr>
          <w:rFonts w:eastAsia="仿宋_GB2312"/>
          <w:sz w:val="32"/>
          <w:szCs w:val="32"/>
        </w:rPr>
        <w:t>万元，降低</w:t>
      </w:r>
      <w:r>
        <w:rPr>
          <w:rFonts w:hint="eastAsia" w:eastAsia="仿宋_GB2312"/>
          <w:sz w:val="32"/>
          <w:szCs w:val="32"/>
        </w:rPr>
        <w:t>22.7</w:t>
      </w:r>
      <w:r>
        <w:rPr>
          <w:rFonts w:eastAsia="仿宋_GB2312"/>
          <w:sz w:val="32"/>
          <w:szCs w:val="32"/>
        </w:rPr>
        <w:t>%，主要</w:t>
      </w:r>
      <w:r>
        <w:rPr>
          <w:rFonts w:hint="eastAsia" w:eastAsia="仿宋_GB2312"/>
          <w:sz w:val="32"/>
          <w:szCs w:val="32"/>
        </w:rPr>
        <w:t>原因</w:t>
      </w:r>
      <w:r>
        <w:rPr>
          <w:rFonts w:eastAsia="仿宋_GB2312"/>
          <w:sz w:val="32"/>
          <w:szCs w:val="32"/>
        </w:rPr>
        <w:t>是</w:t>
      </w:r>
      <w:r>
        <w:rPr>
          <w:rFonts w:hint="eastAsia" w:eastAsia="仿宋_GB2312"/>
          <w:sz w:val="32"/>
          <w:szCs w:val="32"/>
        </w:rPr>
        <w:t>相应减少公务用车运行费用支出</w:t>
      </w:r>
      <w:r>
        <w:rPr>
          <w:rFonts w:eastAsia="仿宋_GB2312"/>
          <w:sz w:val="32"/>
          <w:szCs w:val="32"/>
        </w:rPr>
        <w:t>。</w:t>
      </w:r>
    </w:p>
    <w:p w14:paraId="2E37615F">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14:paraId="13E7B506">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14:paraId="10E3C117">
      <w:pPr>
        <w:adjustRightInd w:val="0"/>
        <w:snapToGrid w:val="0"/>
        <w:spacing w:after="0" w:line="580" w:lineRule="exact"/>
        <w:ind w:firstLine="640" w:firstLineChars="200"/>
        <w:rPr>
          <w:rFonts w:eastAsia="仿宋_GB2312"/>
          <w:color w:val="000000"/>
          <w:kern w:val="0"/>
          <w:sz w:val="32"/>
          <w:szCs w:val="32"/>
        </w:rPr>
      </w:pPr>
      <w:r>
        <w:rPr>
          <w:rFonts w:hint="eastAsia" w:ascii="仿宋_GB2312" w:eastAsia="仿宋_GB2312" w:cs="DengXian-Regular"/>
          <w:sz w:val="32"/>
          <w:szCs w:val="32"/>
        </w:rPr>
        <w:t>（一）预算绩效管理工作开展情况。</w:t>
      </w:r>
      <w:r>
        <w:rPr>
          <w:rFonts w:hint="eastAsia" w:eastAsia="仿宋_GB2312"/>
          <w:color w:val="000000"/>
          <w:kern w:val="0"/>
          <w:sz w:val="32"/>
          <w:szCs w:val="32"/>
        </w:rPr>
        <w:t>根据预算绩效管理要求，我部门所有预算项目均按照“部门职责—工作活动目录”相关内容加以分类，清晰描述预算项目开支范围，确定预算项目绩效目标和指标体系，为预算绩效控制、绩效评价打下良好的基础。</w:t>
      </w:r>
    </w:p>
    <w:p w14:paraId="24032808">
      <w:pPr>
        <w:spacing w:line="580" w:lineRule="exact"/>
        <w:ind w:firstLine="640" w:firstLineChars="200"/>
        <w:rPr>
          <w:rFonts w:ascii="仿宋_GB2312" w:eastAsia="仿宋_GB2312"/>
          <w:sz w:val="32"/>
          <w:szCs w:val="32"/>
        </w:rPr>
      </w:pPr>
      <w:r>
        <w:rPr>
          <w:rFonts w:hint="eastAsia" w:ascii="仿宋_GB2312" w:eastAsia="仿宋_GB2312"/>
          <w:sz w:val="32"/>
          <w:szCs w:val="32"/>
        </w:rPr>
        <w:t>本部门对政协《章程》规定所承担的工作职能进行具化、量化，以实现目标考核的目的。</w:t>
      </w:r>
    </w:p>
    <w:p w14:paraId="6FAF9B3B">
      <w:pPr>
        <w:spacing w:line="580" w:lineRule="exact"/>
        <w:ind w:firstLine="720" w:firstLineChars="225"/>
        <w:rPr>
          <w:rFonts w:ascii="仿宋_GB2312" w:eastAsia="仿宋_GB2312"/>
          <w:sz w:val="32"/>
          <w:szCs w:val="32"/>
        </w:rPr>
      </w:pPr>
      <w:r>
        <w:rPr>
          <w:rFonts w:hint="eastAsia" w:ascii="仿宋_GB2312" w:eastAsia="仿宋_GB2312"/>
          <w:sz w:val="32"/>
          <w:szCs w:val="32"/>
        </w:rPr>
        <w:t>第一、政治协商：就大政方针及重要问题在决策之前进行协商和就决策执行过程中的重要问题进行协商。目标：完善各项会议制度，规范会议程序，提高会议质量，提高政治协商水平。</w:t>
      </w:r>
    </w:p>
    <w:p w14:paraId="47725C88">
      <w:pPr>
        <w:spacing w:line="580" w:lineRule="exact"/>
        <w:ind w:firstLine="720" w:firstLineChars="225"/>
        <w:rPr>
          <w:rFonts w:ascii="仿宋_GB2312" w:eastAsia="仿宋_GB2312"/>
          <w:sz w:val="32"/>
          <w:szCs w:val="32"/>
        </w:rPr>
      </w:pPr>
      <w:r>
        <w:rPr>
          <w:rFonts w:hint="eastAsia" w:ascii="仿宋_GB2312" w:eastAsia="仿宋_GB2312"/>
          <w:sz w:val="32"/>
          <w:szCs w:val="32"/>
        </w:rPr>
        <w:t>第二、民主监督：有效履行民主监督职责。通过意见、建议、批评的方式对国家法律法规的实施、重大方针政策的贯彻执行、</w:t>
      </w:r>
      <w:r>
        <w:rPr>
          <w:rFonts w:hint="eastAsia" w:ascii="仿宋_GB2312" w:eastAsia="仿宋_GB2312"/>
          <w:sz w:val="32"/>
          <w:szCs w:val="32"/>
          <w:lang w:eastAsia="zh-CN"/>
        </w:rPr>
        <w:t>县委、县政府</w:t>
      </w:r>
      <w:r>
        <w:rPr>
          <w:rFonts w:hint="eastAsia" w:ascii="仿宋_GB2312" w:eastAsia="仿宋_GB2312"/>
          <w:sz w:val="32"/>
          <w:szCs w:val="32"/>
        </w:rPr>
        <w:t>的工作进行政治监督。目标：完善民主监督机制，畅通民主监督渠道，建立健全知情、沟通制度，将民主监督寓于委员提案、进行视察、参与工作检查等活动中，提高民主监督质量和成效。</w:t>
      </w:r>
    </w:p>
    <w:p w14:paraId="146D9EC2">
      <w:pPr>
        <w:spacing w:line="580" w:lineRule="exact"/>
        <w:ind w:firstLine="720" w:firstLineChars="225"/>
        <w:rPr>
          <w:rFonts w:ascii="仿宋_GB2312" w:eastAsia="仿宋_GB2312"/>
          <w:sz w:val="32"/>
          <w:szCs w:val="32"/>
        </w:rPr>
      </w:pPr>
      <w:r>
        <w:rPr>
          <w:rFonts w:hint="eastAsia" w:ascii="仿宋_GB2312" w:eastAsia="仿宋_GB2312"/>
          <w:sz w:val="32"/>
          <w:szCs w:val="32"/>
        </w:rPr>
        <w:t>第三、参政议政：通过对重大问题以及人民群众普遍关心的问题，开展调查研究，向区委、区政府提出意见和建议。目标：发挥政协作为扩大社会各界有序参与的重要渠道作用，探索开展活动的新方法淅途径，充分调动委员参政议政积极，向区委、区政府提出高质量的建议案。</w:t>
      </w:r>
    </w:p>
    <w:p w14:paraId="05E15024">
      <w:pPr>
        <w:spacing w:line="580" w:lineRule="exact"/>
        <w:ind w:firstLine="720" w:firstLineChars="225"/>
        <w:rPr>
          <w:rFonts w:ascii="仿宋_GB2312" w:eastAsia="仿宋_GB2312"/>
          <w:sz w:val="32"/>
          <w:szCs w:val="32"/>
        </w:rPr>
      </w:pPr>
      <w:r>
        <w:rPr>
          <w:rFonts w:hint="eastAsia" w:ascii="仿宋_GB2312" w:eastAsia="仿宋_GB2312"/>
          <w:sz w:val="32"/>
          <w:szCs w:val="32"/>
        </w:rPr>
        <w:t>第四、政协事务管理：区政协自身建设、宣传工作，与有关单位的联系协调；负责机关外事工作，机构编制、人事任免、人员培训、考核奖惩、工资福利，后勤保障、经费资产管理、基建和审计，接待、离退休人员服务，承办政协主席、副主席、秘书长交办的其他事项。目标：机关自身建设、服务保障能力进一步提升。</w:t>
      </w:r>
    </w:p>
    <w:p w14:paraId="3688FC3A">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hint="eastAsia" w:eastAsia="仿宋_GB2312"/>
          <w:color w:val="000000"/>
          <w:kern w:val="0"/>
          <w:sz w:val="32"/>
          <w:szCs w:val="32"/>
        </w:rPr>
        <w:t>我们按照相关工作对项目资金进行绩效评价，切实提高财政资金使用绩效，保障各项民生等资金落实到位。</w:t>
      </w:r>
    </w:p>
    <w:p w14:paraId="449147EE">
      <w:pPr>
        <w:spacing w:line="580" w:lineRule="exact"/>
        <w:ind w:firstLine="560"/>
        <w:rPr>
          <w:rFonts w:ascii="仿宋_GB2312" w:eastAsia="仿宋_GB2312"/>
          <w:sz w:val="32"/>
          <w:szCs w:val="32"/>
        </w:rPr>
      </w:pPr>
      <w:r>
        <w:rPr>
          <w:rFonts w:hint="eastAsia" w:ascii="仿宋_GB2312" w:eastAsia="仿宋_GB2312" w:cs="DengXian-Regular"/>
          <w:sz w:val="32"/>
          <w:szCs w:val="32"/>
        </w:rPr>
        <w:t>（三）重点项目绩效评价结果。</w:t>
      </w:r>
      <w:r>
        <w:rPr>
          <w:rFonts w:hint="eastAsia" w:eastAsia="仿宋_GB2312"/>
          <w:color w:val="000000"/>
          <w:kern w:val="0"/>
          <w:sz w:val="32"/>
          <w:szCs w:val="32"/>
        </w:rPr>
        <w:t>我们对相关资金进行了绩效评价，对发现的问题通知相关单位进行纠正，从评价结果看，专项资金的使用基本达到了既定目标，保证了各项民生政策的落实。此项目绩效评价结果为良好。</w:t>
      </w:r>
    </w:p>
    <w:p w14:paraId="7E64A702">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14:paraId="641C4EFA">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1C17CCD4">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本部门2018年度机关运行经费支出147.68万元，比年初预算数增加63.55万元，增长75.5 %。主要原因是日常办公支出增加。较2017年度决算增加78.68万元，增长114.0%，主要原因是2018年度增加委员培训等支出。</w:t>
      </w:r>
    </w:p>
    <w:p w14:paraId="281D6AED">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4F498776">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2.89万元，从采购类型来看，政府采购货物支出2.89万元、政府采购工程支出0万元、政府采购服务支出0.00万元。授予中小企业合同金2.89万元，占政府采购支出总额的100.0%，其中授予小微企业合同金额0.00万元，占政府采购支出总额的0.0%。</w:t>
      </w:r>
    </w:p>
    <w:p w14:paraId="10E6FC97">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14:paraId="3E956700">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4辆，比上年无增加（减少）。其中，副部（省）级及以上领导用车0辆，主要领导干部用车0辆，机要通信用车4辆，应急保障用车0辆，执法执勤用车0辆，特种专业技术用车0辆，离退休干部用车0辆，其他用车0辆，无其他用车；单位价值50万元以上通用设备0台（套），单位价值100万元以上专用设备0台（套）。</w:t>
      </w:r>
    </w:p>
    <w:p w14:paraId="75AB6C7A">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14:paraId="691ADC60">
      <w:pPr>
        <w:widowControl/>
        <w:spacing w:line="580" w:lineRule="exact"/>
        <w:ind w:firstLine="640" w:firstLineChars="200"/>
        <w:rPr>
          <w:rFonts w:eastAsia="仿宋_GB2312"/>
          <w:color w:val="000000"/>
          <w:kern w:val="0"/>
          <w:sz w:val="32"/>
          <w:szCs w:val="32"/>
        </w:rPr>
      </w:pPr>
      <w:r>
        <w:rPr>
          <w:rFonts w:hint="eastAsia" w:ascii="仿宋_GB2312" w:eastAsia="仿宋_GB2312" w:cs="DengXian-Regular"/>
          <w:sz w:val="32"/>
          <w:szCs w:val="32"/>
        </w:rPr>
        <w:t>1、本部门2018年度</w:t>
      </w:r>
      <w:r>
        <w:rPr>
          <w:rFonts w:hint="eastAsia" w:eastAsia="仿宋_GB2312"/>
          <w:color w:val="000000"/>
          <w:kern w:val="0"/>
          <w:sz w:val="32"/>
          <w:szCs w:val="32"/>
        </w:rPr>
        <w:t>未发生政府性基金预算财政拨款收支、国有资本经营预算财政拨款收支，故《政府性基金预算财政拨款收支表》、《国有资本经营预算财政拨款收支表》空表列示。</w:t>
      </w:r>
    </w:p>
    <w:p w14:paraId="61702025">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14:paraId="154FECF8">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14:paraId="28674CD5">
      <w:pPr>
        <w:widowControl/>
        <w:spacing w:line="1200" w:lineRule="exact"/>
        <w:jc w:val="center"/>
        <w:rPr>
          <w:rFonts w:ascii="黑体" w:eastAsia="黑体"/>
          <w:color w:val="000000"/>
          <w:sz w:val="96"/>
          <w:szCs w:val="96"/>
        </w:rPr>
      </w:pPr>
    </w:p>
    <w:p w14:paraId="1466F6BC">
      <w:pPr>
        <w:widowControl/>
        <w:spacing w:line="1200" w:lineRule="exact"/>
        <w:jc w:val="center"/>
        <w:rPr>
          <w:rFonts w:ascii="黑体" w:eastAsia="黑体"/>
          <w:color w:val="000000"/>
          <w:sz w:val="96"/>
          <w:szCs w:val="96"/>
        </w:rPr>
      </w:pPr>
    </w:p>
    <w:p w14:paraId="39E87EC8">
      <w:pPr>
        <w:widowControl/>
        <w:spacing w:line="1200" w:lineRule="exact"/>
        <w:jc w:val="center"/>
        <w:rPr>
          <w:rFonts w:ascii="黑体" w:eastAsia="黑体"/>
          <w:color w:val="000000"/>
          <w:sz w:val="96"/>
          <w:szCs w:val="96"/>
        </w:rPr>
      </w:pPr>
    </w:p>
    <w:p w14:paraId="5A03D98A">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677554E8">
      <w:pPr>
        <w:widowControl/>
        <w:spacing w:line="1200" w:lineRule="exact"/>
        <w:jc w:val="center"/>
        <w:rPr>
          <w:color w:val="000000"/>
          <w:sz w:val="96"/>
          <w:szCs w:val="96"/>
        </w:rPr>
      </w:pPr>
      <w:r>
        <w:rPr>
          <w:rFonts w:hint="eastAsia" w:ascii="黑体" w:eastAsia="黑体"/>
          <w:color w:val="000000"/>
          <w:sz w:val="96"/>
          <w:szCs w:val="96"/>
        </w:rPr>
        <w:t>名词解释</w:t>
      </w:r>
    </w:p>
    <w:p w14:paraId="2DE1A242">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1E3D028D">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14:paraId="764DF327">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14:paraId="6F29E22B">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14:paraId="192B8FAD">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24FEED0">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14:paraId="1A99332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14:paraId="71E6D26C">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14:paraId="06B5EE50">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14:paraId="5B28A12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14:paraId="68F74B33">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14:paraId="5307766D">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14:paraId="0FB4C3AD">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26B7D693">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14:paraId="78FD8C1D">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14:paraId="6B7CA935">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14:paraId="4B3918E5">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BAE5689">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14:paraId="41766DBF">
      <w:pPr>
        <w:widowControl/>
        <w:spacing w:after="0" w:line="560" w:lineRule="exact"/>
        <w:ind w:firstLine="640" w:firstLineChars="200"/>
        <w:rPr>
          <w:rFonts w:ascii="仿宋_GB2312" w:eastAsia="仿宋_GB2312" w:cs="ArialUnicodeMS"/>
          <w:kern w:val="0"/>
          <w:sz w:val="32"/>
          <w:szCs w:val="32"/>
        </w:rPr>
      </w:pPr>
    </w:p>
    <w:p w14:paraId="10A1977B">
      <w:pPr>
        <w:widowControl/>
        <w:spacing w:after="0" w:line="560" w:lineRule="exact"/>
        <w:ind w:firstLine="640" w:firstLineChars="200"/>
        <w:rPr>
          <w:rFonts w:ascii="仿宋_GB2312" w:eastAsia="仿宋_GB2312" w:cs="ArialUnicodeMS"/>
          <w:kern w:val="0"/>
          <w:sz w:val="32"/>
          <w:szCs w:val="32"/>
        </w:rPr>
      </w:pPr>
    </w:p>
    <w:p w14:paraId="0F484ED0">
      <w:pPr>
        <w:widowControl/>
        <w:spacing w:after="0" w:line="560" w:lineRule="exact"/>
        <w:ind w:firstLine="640" w:firstLineChars="200"/>
        <w:rPr>
          <w:rFonts w:ascii="仿宋_GB2312" w:eastAsia="仿宋_GB2312" w:cs="ArialUnicodeMS"/>
          <w:kern w:val="0"/>
          <w:sz w:val="32"/>
          <w:szCs w:val="32"/>
        </w:rPr>
      </w:pPr>
    </w:p>
    <w:p w14:paraId="7EF99796">
      <w:pPr>
        <w:widowControl/>
        <w:spacing w:after="0" w:line="560" w:lineRule="exact"/>
        <w:ind w:firstLine="640" w:firstLineChars="200"/>
        <w:rPr>
          <w:rFonts w:ascii="仿宋_GB2312" w:eastAsia="仿宋_GB2312" w:cs="ArialUnicodeMS"/>
          <w:kern w:val="0"/>
          <w:sz w:val="32"/>
          <w:szCs w:val="32"/>
        </w:rPr>
      </w:pPr>
    </w:p>
    <w:p w14:paraId="0AA62D64">
      <w:pPr>
        <w:widowControl/>
        <w:spacing w:after="0" w:line="560" w:lineRule="exact"/>
        <w:ind w:firstLine="640" w:firstLineChars="200"/>
        <w:rPr>
          <w:rFonts w:ascii="仿宋_GB2312" w:eastAsia="仿宋_GB2312" w:cs="ArialUnicodeMS"/>
          <w:kern w:val="0"/>
          <w:sz w:val="32"/>
          <w:szCs w:val="32"/>
        </w:rPr>
      </w:pPr>
    </w:p>
    <w:p w14:paraId="0272EEFC">
      <w:pPr>
        <w:widowControl/>
        <w:spacing w:after="0" w:line="560" w:lineRule="exact"/>
        <w:ind w:firstLine="640" w:firstLineChars="200"/>
        <w:rPr>
          <w:rFonts w:ascii="仿宋_GB2312" w:eastAsia="仿宋_GB2312" w:cs="ArialUnicodeMS"/>
          <w:kern w:val="0"/>
          <w:sz w:val="32"/>
          <w:szCs w:val="32"/>
        </w:rPr>
      </w:pPr>
    </w:p>
    <w:p w14:paraId="379B90C5">
      <w:pPr>
        <w:widowControl/>
        <w:spacing w:after="0" w:line="560" w:lineRule="exact"/>
        <w:ind w:firstLine="640" w:firstLineChars="200"/>
        <w:rPr>
          <w:rFonts w:ascii="仿宋_GB2312" w:eastAsia="仿宋_GB2312" w:cs="ArialUnicodeMS"/>
          <w:kern w:val="0"/>
          <w:sz w:val="32"/>
          <w:szCs w:val="32"/>
        </w:rPr>
      </w:pPr>
    </w:p>
    <w:p w14:paraId="2A0E6C41">
      <w:pPr>
        <w:widowControl/>
        <w:spacing w:after="0" w:line="560" w:lineRule="exact"/>
        <w:ind w:firstLine="640" w:firstLineChars="200"/>
        <w:rPr>
          <w:rFonts w:ascii="仿宋_GB2312" w:eastAsia="仿宋_GB2312" w:cs="ArialUnicodeMS"/>
          <w:kern w:val="0"/>
          <w:sz w:val="32"/>
          <w:szCs w:val="32"/>
        </w:rPr>
      </w:pPr>
    </w:p>
    <w:p w14:paraId="2D4F5482">
      <w:pPr>
        <w:widowControl/>
        <w:spacing w:after="0" w:line="560" w:lineRule="exact"/>
        <w:ind w:firstLine="640" w:firstLineChars="200"/>
        <w:rPr>
          <w:rFonts w:ascii="仿宋_GB2312" w:eastAsia="仿宋_GB2312" w:cs="ArialUnicodeMS"/>
          <w:kern w:val="0"/>
          <w:sz w:val="32"/>
          <w:szCs w:val="32"/>
        </w:rPr>
      </w:pPr>
    </w:p>
    <w:p w14:paraId="3FCC28B2">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505A8"/>
    <w:multiLevelType w:val="multilevel"/>
    <w:tmpl w:val="361505A8"/>
    <w:lvl w:ilvl="0" w:tentative="0">
      <w:start w:val="1"/>
      <w:numFmt w:val="japaneseCounting"/>
      <w:lvlText w:val="%1、"/>
      <w:lvlJc w:val="left"/>
      <w:pPr>
        <w:tabs>
          <w:tab w:val="left" w:pos="0"/>
        </w:tabs>
        <w:ind w:left="2000" w:hanging="720"/>
      </w:pPr>
      <w:rPr>
        <w:rFonts w:hint="default"/>
      </w:rPr>
    </w:lvl>
    <w:lvl w:ilvl="1" w:tentative="0">
      <w:start w:val="1"/>
      <w:numFmt w:val="lowerLetter"/>
      <w:lvlText w:val="%2)"/>
      <w:lvlJc w:val="left"/>
      <w:pPr>
        <w:tabs>
          <w:tab w:val="left" w:pos="0"/>
        </w:tabs>
        <w:ind w:left="2120" w:hanging="420"/>
      </w:pPr>
    </w:lvl>
    <w:lvl w:ilvl="2" w:tentative="0">
      <w:start w:val="1"/>
      <w:numFmt w:val="lowerRoman"/>
      <w:lvlText w:val="%3."/>
      <w:lvlJc w:val="right"/>
      <w:pPr>
        <w:tabs>
          <w:tab w:val="left" w:pos="0"/>
        </w:tabs>
        <w:ind w:left="2540" w:hanging="420"/>
      </w:pPr>
    </w:lvl>
    <w:lvl w:ilvl="3" w:tentative="0">
      <w:start w:val="1"/>
      <w:numFmt w:val="decimal"/>
      <w:lvlText w:val="%4."/>
      <w:lvlJc w:val="left"/>
      <w:pPr>
        <w:tabs>
          <w:tab w:val="left" w:pos="0"/>
        </w:tabs>
        <w:ind w:left="2960" w:hanging="420"/>
      </w:pPr>
    </w:lvl>
    <w:lvl w:ilvl="4" w:tentative="0">
      <w:start w:val="1"/>
      <w:numFmt w:val="lowerLetter"/>
      <w:lvlText w:val="%5)"/>
      <w:lvlJc w:val="left"/>
      <w:pPr>
        <w:tabs>
          <w:tab w:val="left" w:pos="0"/>
        </w:tabs>
        <w:ind w:left="3380" w:hanging="420"/>
      </w:pPr>
    </w:lvl>
    <w:lvl w:ilvl="5" w:tentative="0">
      <w:start w:val="1"/>
      <w:numFmt w:val="lowerRoman"/>
      <w:lvlText w:val="%6."/>
      <w:lvlJc w:val="right"/>
      <w:pPr>
        <w:tabs>
          <w:tab w:val="left" w:pos="0"/>
        </w:tabs>
        <w:ind w:left="3800" w:hanging="420"/>
      </w:pPr>
    </w:lvl>
    <w:lvl w:ilvl="6" w:tentative="0">
      <w:start w:val="1"/>
      <w:numFmt w:val="decimal"/>
      <w:lvlText w:val="%7."/>
      <w:lvlJc w:val="left"/>
      <w:pPr>
        <w:tabs>
          <w:tab w:val="left" w:pos="0"/>
        </w:tabs>
        <w:ind w:left="4220" w:hanging="420"/>
      </w:pPr>
    </w:lvl>
    <w:lvl w:ilvl="7" w:tentative="0">
      <w:start w:val="1"/>
      <w:numFmt w:val="lowerLetter"/>
      <w:lvlText w:val="%8)"/>
      <w:lvlJc w:val="left"/>
      <w:pPr>
        <w:tabs>
          <w:tab w:val="left" w:pos="0"/>
        </w:tabs>
        <w:ind w:left="4640" w:hanging="420"/>
      </w:pPr>
    </w:lvl>
    <w:lvl w:ilvl="8" w:tentative="0">
      <w:start w:val="1"/>
      <w:numFmt w:val="lowerRoman"/>
      <w:lvlText w:val="%9."/>
      <w:lvlJc w:val="right"/>
      <w:pPr>
        <w:tabs>
          <w:tab w:val="left" w:pos="0"/>
        </w:tabs>
        <w:ind w:left="5060" w:hanging="420"/>
      </w:pPr>
    </w:lvl>
  </w:abstractNum>
  <w:abstractNum w:abstractNumId="1">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000000"/>
    <w:rsid w:val="001B3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qFormat/>
    <w:uiPriority w:val="0"/>
    <w:rPr>
      <w:rFonts w:ascii="Cambria" w:hAnsi="Cambria" w:eastAsia="黑体" w:cs="Times New Roman"/>
      <w:sz w:val="22"/>
      <w:szCs w:val="22"/>
      <w:lang w:eastAsia="zh-CN"/>
    </w:rPr>
  </w:style>
  <w:style w:type="character" w:customStyle="1" w:styleId="16">
    <w:name w:val="Style2"/>
    <w:basedOn w:val="13"/>
    <w:qFormat/>
    <w:uiPriority w:val="0"/>
    <w:rPr>
      <w:rFonts w:ascii="Cambria" w:hAnsi="Cambria" w:eastAsia="黑体" w:cs="Times New Roman"/>
      <w:sz w:val="22"/>
      <w:szCs w:val="22"/>
      <w:lang w:eastAsia="zh-CN"/>
    </w:rPr>
  </w:style>
  <w:style w:type="character" w:customStyle="1" w:styleId="17">
    <w:name w:val="Style3"/>
    <w:basedOn w:val="13"/>
    <w:qFormat/>
    <w:uiPriority w:val="0"/>
    <w:rPr>
      <w:rFonts w:ascii="Cambria" w:hAnsi="Cambria" w:eastAsia="黑体" w:cs="Times New Roman"/>
      <w:szCs w:val="22"/>
      <w:lang w:eastAsia="zh-CN"/>
    </w:rPr>
  </w:style>
  <w:style w:type="character" w:customStyle="1" w:styleId="18">
    <w:name w:val="Style4"/>
    <w:basedOn w:val="13"/>
    <w:qFormat/>
    <w:uiPriority w:val="0"/>
    <w:rPr>
      <w:rFonts w:ascii="Cambria" w:hAnsi="Cambria" w:eastAsia="黑体" w:cs="Times New Roman"/>
      <w:szCs w:val="22"/>
      <w:lang w:eastAsia="zh-CN"/>
    </w:rPr>
  </w:style>
  <w:style w:type="character" w:customStyle="1" w:styleId="19">
    <w:name w:val="Style5"/>
    <w:basedOn w:val="13"/>
    <w:qFormat/>
    <w:uiPriority w:val="0"/>
    <w:rPr>
      <w:rFonts w:ascii="Cambria" w:hAnsi="Cambria" w:eastAsia="黑体" w:cs="Times New Roman"/>
      <w:sz w:val="22"/>
      <w:szCs w:val="22"/>
      <w:lang w:eastAsia="zh-CN"/>
    </w:rPr>
  </w:style>
  <w:style w:type="paragraph" w:customStyle="1" w:styleId="20">
    <w:name w:val="List Paragraph"/>
    <w:basedOn w:val="1"/>
    <w:qFormat/>
    <w:uiPriority w:val="0"/>
    <w:pPr>
      <w:ind w:firstLine="200" w:firstLineChars="200"/>
    </w:pPr>
  </w:style>
  <w:style w:type="paragraph" w:customStyle="1" w:styleId="21">
    <w:name w:val="普通(网站)1"/>
    <w:next w:val="8"/>
    <w:qFormat/>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18</Pages>
  <Words>5401</Words>
  <Characters>5793</Characters>
  <Lines>314</Lines>
  <Paragraphs>104</Paragraphs>
  <TotalTime>47</TotalTime>
  <ScaleCrop>false</ScaleCrop>
  <LinksUpToDate>false</LinksUpToDate>
  <CharactersWithSpaces>5805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上进兄</cp:lastModifiedBy>
  <cp:lastPrinted>2019-09-27T00:42:00Z</cp:lastPrinted>
  <dcterms:modified xsi:type="dcterms:W3CDTF">2024-07-19T09:56:39Z</dcterms:modified>
  <dc:subject>石家庄市xxx部门</dc:subject>
  <dc:title>2017年度部门决算</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B2619B7628FA4A3CA429139E61506E44_13</vt:lpwstr>
  </property>
</Properties>
</file>