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ED3A1">
      <w:pPr>
        <w:spacing w:line="600" w:lineRule="exact"/>
        <w:jc w:val="center"/>
        <w:rPr>
          <w:rFonts w:ascii="黑体" w:hAnsi="黑体"/>
          <w:sz w:val="44"/>
          <w:szCs w:val="44"/>
        </w:rPr>
      </w:pPr>
      <w:bookmarkStart w:id="0" w:name="_GoBack"/>
      <w:bookmarkEnd w:id="0"/>
      <w:r>
        <w:rPr>
          <w:rFonts w:ascii="黑体" w:hAnsi="黑体"/>
          <w:sz w:val="44"/>
          <w:szCs w:val="44"/>
        </w:rPr>
        <w:t>2018</w:t>
      </w:r>
      <w:r>
        <w:rPr>
          <w:sz w:val="44"/>
          <w:szCs w:val="44"/>
        </w:rPr>
        <w:t>年度广阳区</w:t>
      </w:r>
      <w:r>
        <w:rPr>
          <w:rFonts w:ascii="宋体" w:hAnsi="宋体"/>
          <w:b/>
          <w:sz w:val="44"/>
          <w:szCs w:val="44"/>
        </w:rPr>
        <w:t>决算公开有关事项的说明</w:t>
      </w:r>
    </w:p>
    <w:p w14:paraId="77F39CCC">
      <w:pPr>
        <w:ind w:firstLine="643"/>
        <w:rPr>
          <w:rFonts w:ascii="宋体" w:hAnsi="宋体"/>
          <w:b/>
          <w:sz w:val="32"/>
          <w:szCs w:val="32"/>
        </w:rPr>
      </w:pPr>
    </w:p>
    <w:p w14:paraId="49F333C9">
      <w:pPr>
        <w:ind w:firstLine="640"/>
        <w:rPr>
          <w:sz w:val="32"/>
          <w:szCs w:val="32"/>
        </w:rPr>
      </w:pPr>
      <w:r>
        <w:rPr>
          <w:sz w:val="32"/>
          <w:szCs w:val="32"/>
        </w:rPr>
        <w:t>根据决算公开要求，现将我区2018年其他需说明的情况如下：</w:t>
      </w:r>
    </w:p>
    <w:p w14:paraId="63E955C5">
      <w:pPr>
        <w:ind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一、三公经费情况的说明</w:t>
      </w:r>
    </w:p>
    <w:p w14:paraId="4C0F7AA8">
      <w:pPr>
        <w:spacing w:line="579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2018年度广阳区三公经费共支出582.92万元，较2017年增加310.56万元，同比增加114%。具体增减情况如下：</w:t>
      </w:r>
    </w:p>
    <w:p w14:paraId="46FE8F55">
      <w:pPr>
        <w:spacing w:line="579" w:lineRule="exact"/>
        <w:ind w:firstLine="640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2018年公务用车购置费支出202.33万元，2017年决算为0，较2017年增加202.33万元。增加的主要原因：一是我区政府办、检察院、工商局、运输管理站处置原有公车后，新购置公车发生的支出共计182.71万元；二是区行政审批为2018年新设立预算单位，按照《廊坊市广阳区党政机关公务用车制度改革实施方案》规定，发生新配置公车支出19.62万元。</w:t>
      </w:r>
    </w:p>
    <w:p w14:paraId="051079E9">
      <w:pPr>
        <w:spacing w:line="579" w:lineRule="exact"/>
        <w:ind w:firstLine="640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2018年公务用车运行维护费支出380.59万元，较2017年增加112.52万元，增加的主要原因是部分公车老化，维修、维护费增加明显。</w:t>
      </w:r>
    </w:p>
    <w:p w14:paraId="6D5F841F">
      <w:pPr>
        <w:spacing w:line="579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2018年度因公出国（境）费支出0万元，较2017年减少1.60万元。</w:t>
      </w:r>
    </w:p>
    <w:p w14:paraId="67000E8B">
      <w:pPr>
        <w:spacing w:line="579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2018年度公务接待费支出0万元，较2016年减少2.69万元。</w:t>
      </w:r>
    </w:p>
    <w:p w14:paraId="4BB9243E">
      <w:pPr>
        <w:ind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二、举借债务情况说明</w:t>
      </w:r>
    </w:p>
    <w:p w14:paraId="49F1D8D0">
      <w:pPr>
        <w:spacing w:line="580" w:lineRule="exact"/>
        <w:ind w:firstLine="641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2018年末，广阳区债务余额限额为172477.97万元，其中政府一般债务限额为19677.97亿元，政府专项债务余额为152800亿元。</w:t>
      </w:r>
    </w:p>
    <w:p w14:paraId="3BD09F1C">
      <w:pPr>
        <w:spacing w:line="580" w:lineRule="exact"/>
        <w:ind w:firstLine="641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2018年初，广阳区政府债务余额为164979.48万元。其中一般债务余额12179.48万元，专项债务余额152800万元。</w:t>
      </w:r>
    </w:p>
    <w:p w14:paraId="294EC17F">
      <w:pPr>
        <w:spacing w:line="580" w:lineRule="exact"/>
        <w:ind w:firstLine="641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当年新增一般债券1800万元，用于交通局采留线大修工程。新增置换债券743万元，用于偿还存量一般债务，当年总计偿还一般债务1476.62万元。</w:t>
      </w:r>
    </w:p>
    <w:p w14:paraId="388EA6E0">
      <w:pPr>
        <w:spacing w:line="580" w:lineRule="exact"/>
        <w:ind w:firstLine="641"/>
        <w:rPr>
          <w:rFonts w:ascii="仿宋" w:hAnsi="仿宋"/>
          <w:color w:val="000000"/>
          <w:sz w:val="32"/>
          <w:szCs w:val="32"/>
        </w:rPr>
      </w:pPr>
      <w:r>
        <w:rPr>
          <w:rFonts w:ascii="仿宋" w:hAnsi="仿宋"/>
          <w:color w:val="000000"/>
          <w:sz w:val="32"/>
          <w:szCs w:val="32"/>
        </w:rPr>
        <w:t>2018年末，广阳区政府债务余额为166045.71万元。其中一般债务余额13245.71万元，专项债务余额152800万元。</w:t>
      </w:r>
    </w:p>
    <w:p w14:paraId="1A2A2461">
      <w:pPr>
        <w:ind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三、转移支付情况说明</w:t>
      </w:r>
    </w:p>
    <w:p w14:paraId="4D0DABF0">
      <w:pPr>
        <w:pStyle w:val="16"/>
        <w:spacing w:line="58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（一）、上级对广阳区一般公共预算转移支付资金42044万元，同比减少54.59%，包括：返还性收入12848万元，其中：增值税返还3233万元、消费税返还22万元、所得税基数返还528万元、“营改增”税收返还8274万元、成品油价格和税费改革税收返还791万元；②专项转移支付资金41027万元；③一般性转移支付资金-11851万元，其中：体制补助收入500万元、均衡性转移支付5204万元、贫困地区转移支付41万元、县级基本财力保障机制奖补资金693万元、成品油价格和税费改革转移支付461万元、基层公检法司转移支付668万元、义务教育等转移支付2498万元、基本养老保险和低保等转移支付3752万元、城乡居民医疗保险转移支付4074万元、农村综合改革转移支付629万元、固定数额补助收入6766万元、其他一般性转移支付-11691万元、结算补助收入-26426万元。</w:t>
      </w:r>
    </w:p>
    <w:p w14:paraId="3058A83E">
      <w:pPr>
        <w:pStyle w:val="16"/>
        <w:spacing w:line="58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上级对广阳区政府性基金转移支付资金173723万元。</w:t>
      </w:r>
    </w:p>
    <w:p w14:paraId="41A1F3CD">
      <w:pPr>
        <w:pStyle w:val="16"/>
        <w:spacing w:line="58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（二）、转移支付执行情况：</w:t>
      </w:r>
    </w:p>
    <w:p w14:paraId="281C2A0A">
      <w:pPr>
        <w:pStyle w:val="16"/>
        <w:spacing w:line="58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2018年上级下达广阳区一般性转移支付、专项转移支付54819万元，用于公共服务支出、公共安全、教育支出、文化、社会保障和就业支出、医疗卫生与计划生育支出、节能环保支出、城乡社区支出、农林水支出等方面，当年安排支出46122万元，结转下年使用8697万元。</w:t>
      </w:r>
    </w:p>
    <w:p w14:paraId="3FA54C42">
      <w:pPr>
        <w:pStyle w:val="16"/>
        <w:spacing w:line="58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2018年广阳区一般性转移支付、专项转移支付上年结余9538万元，当年安排支出9538万元，结转下年使用0万元。</w:t>
      </w:r>
    </w:p>
    <w:p w14:paraId="3B3BF1FB">
      <w:pPr>
        <w:pStyle w:val="16"/>
        <w:spacing w:line="58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2018年广阳区政府性基金上年结余1582万元，社会保障和就业支出2万元，城乡社区支出549万元，其他支出1031万元。</w:t>
      </w:r>
    </w:p>
    <w:p w14:paraId="6BE59947">
      <w:pPr>
        <w:pStyle w:val="16"/>
        <w:spacing w:line="58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2018年上级下达广阳区政府性基金转移支付173723万元，文化体育与传媒支出244万元，社会保障和就业支出18万元，城乡社区支出172764万元，其他支出697万元。</w:t>
      </w:r>
    </w:p>
    <w:p w14:paraId="23A29346">
      <w:pPr>
        <w:ind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四、绩效预算开展情况</w:t>
      </w:r>
    </w:p>
    <w:p w14:paraId="19DCA2B3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为进一步加强我区财政预算绩效管理，强化支出责任，提高财政资金使用效益，今年以来，我局不断深化预算绩效管理改革，加强预算绩效制度建设，积极开展预算支出绩效管理，探索评价结果应用，稳步推进预算绩效管理工作。</w:t>
      </w:r>
    </w:p>
    <w:p w14:paraId="1EB9D8B3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（一）加强制度建设，提供有力保障</w:t>
      </w:r>
    </w:p>
    <w:p w14:paraId="1EF8E46B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为深化预算管理体制改革，完善部门预算，加强财政支出管理，根据预算管理的有关规定，我区财政局结合本区实际，制定了《廊坊市广阳区预算绩目标管理办法（试行）》和《廊坊市广阳区预算支出绩效评价管理办法》，在我区逐步树立“用钱必问效、问效必问责、问责效为先”的财政绩效管理理念。</w:t>
      </w:r>
    </w:p>
    <w:p w14:paraId="246288CD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（二）严格执行新《中华人民共和国预算法》，提高年初预算完整性</w:t>
      </w:r>
    </w:p>
    <w:p w14:paraId="0203389C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年初，我区按新《中华人民共和国预算法》要求，分别编制了一般公共预算、政府性基金预算、国有资本经营预算、社会保险基金预算四本预算。编制年初预算中，我区将上级税收返还、提前下达的上级转移支付与本级收入一并列入收入预算，确保年初预算的完整性。</w:t>
      </w:r>
    </w:p>
    <w:p w14:paraId="13DCDA9B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（三）全面落实部门预算，严格编制项目预算</w:t>
      </w:r>
    </w:p>
    <w:p w14:paraId="0811D2F8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我区除实行企业化管理的事业单位外，所有预算单位均独立编制部门预算，真正做到一个部门一本预算。预算单位的所有收入全部纳入部门预算，部门支出预算按基本支出、项目支出分别编制。各部门的项目支出全部于年初报入预算项目库软件，项目支出列名立项依据、执行单位、预算安排、绩效目标、分级次、分支出科目并细化到具体承担单位。</w:t>
      </w:r>
    </w:p>
    <w:p w14:paraId="11D90F9E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（四）强化预算的绩效约束，编制绩效预算</w:t>
      </w:r>
    </w:p>
    <w:p w14:paraId="06B8F766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为进一步强化预算部门“花钱问效”的绩效意识，完善预算绩效审核制度，明确审核程序。在部门预算编制环节上，我区要求各部门对本部门的发展性项目均编制项目绩效目标申报表，每个项目都要在预算中列明所需物资和劳务投入量、定额计算依据以及相应的绩效目标、绩效指标等，并细化到经济分类末级科目。为事后绩效跟踪评价提供必要的依据。</w:t>
      </w:r>
    </w:p>
    <w:p w14:paraId="6D5681AA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（五）开展业务培训，夯实人员基础</w:t>
      </w:r>
    </w:p>
    <w:p w14:paraId="33B7F0C3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预算绩效管理是一项全新的改革，加强业务培训，尽快提高相关人员的业务素质和技能是当务之急。培训不仅包括对财政系统工作人员的培训，也包括对预算部门和单位领导、财务人员的培训，还包括对参与预算绩效管理专家和中介机构人员的培训。培训从对绩效预算工作的认识和具体操作两个层面开展，把对理论依据的掌握和实际操作一并来抓。</w:t>
      </w:r>
    </w:p>
    <w:p w14:paraId="0BE02EEF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（六）突出重点，建立高效有序的绩效评价工作机制</w:t>
      </w:r>
    </w:p>
    <w:p w14:paraId="0FEDA35B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在开展绩效评价工作中，坚持有所为、有所不为的原则，紧紧围绕全区民生工程、重点项目及涉及农民利益经济的重点、热点问题、财政管理的重点领域和资金使用的重点部门，牢牢把握财政管理的薄弱环节，有的放矢开展工作。实行财政资金分配和使用的全过程绩效管理，加强预算执行的追踪问效，并将绩效评价结果作为下一年度预算编制安排的依据，初步建立预算编制有目标、预算执行有监控、预算完成有评价、评价结果有反馈、反馈结果有应用的全过程预算绩效管理机制，切实解决“重分配轻管理，重支出轻绩效”的问题，进一步提高财政管理水平，从而增强公共财政调控能力、保障能力，提高财政资金使用效益。在具体工作中，积累了工作经验，摸索出了行之有效的工作方法，为今后工作打下了坚实基础。</w:t>
      </w:r>
    </w:p>
    <w:p w14:paraId="169FABC9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通过向区委、区政府汇报此项工作，争取领导支持，把绩效预算改革和区委、区政府的整体工作部署相结合，通过领导讲话、下达文件、业务培训等手段，统一预算部门思想，提高部门认识。</w:t>
      </w:r>
    </w:p>
    <w:p w14:paraId="43CB3C59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今后财政预算绩效管理工作重点强化以下几个方面工作：一是加强预算绩效目标跟踪管理，加大专项资金项目预算绩效目标中期评价，及时反映纠正专项资金项目绩效偏差；二是强化绩效评价第三方参与工作，完善绩效评价社会中介等专家库管理，加大社会中介机构参与绩效评价力度；三是继续贯彻执行预算绩效管理暂行办法，加强绩效评价工作宣传力度，强化绩效目标、绩效跟踪、绩效评价、结果应用全程管理工作。</w:t>
      </w:r>
    </w:p>
    <w:p w14:paraId="0C8E0F0F">
      <w:pPr>
        <w:pStyle w:val="17"/>
        <w:spacing w:line="580" w:lineRule="exact"/>
        <w:ind w:firstLine="640"/>
        <w:jc w:val="both"/>
        <w:rPr>
          <w:rFonts w:ascii="黑体" w:hAnsi="黑体"/>
          <w:sz w:val="32"/>
          <w:szCs w:val="32"/>
        </w:rPr>
      </w:pPr>
      <w:r>
        <w:rPr>
          <w:rFonts w:ascii="黑体" w:hAnsi="黑体"/>
          <w:sz w:val="32"/>
          <w:szCs w:val="32"/>
        </w:rPr>
        <w:t>五、绩效评价工作开展情况说明</w:t>
      </w:r>
    </w:p>
    <w:p w14:paraId="2B9F8524">
      <w:pPr>
        <w:ind w:firstLine="640"/>
        <w:rPr>
          <w:rFonts w:ascii="黑体" w:hAnsi="黑体"/>
          <w:sz w:val="32"/>
          <w:szCs w:val="32"/>
        </w:rPr>
      </w:pPr>
      <w:r>
        <w:rPr>
          <w:rFonts w:ascii="黑体" w:hAnsi="黑体"/>
          <w:sz w:val="32"/>
          <w:szCs w:val="32"/>
        </w:rPr>
        <w:t>2018年中小学薄弱学校改造专项补助资金项目绩效评价结果</w:t>
      </w:r>
    </w:p>
    <w:p w14:paraId="19697CD0">
      <w:pPr>
        <w:spacing w:before="156" w:after="93" w:line="59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为了实现“为廊坊市第十二小学、万庄镇肖家务小学、万庄镇武家营小学、万庄镇李孙洼小学、白家务办事处火头营小学改善办学条件，新建校舍1478.98平方米。完成全区20条底线达标，为各学校购买仪器设备。为九州镇南务小学、万庄镇红华小学、白家务办事处兴隆场小学改善办学条件，新建校舍4228平方米。保障义务教育入学率100%。”的任务目标，廊坊市广阳区教育和体育局，认真筛选，确立了广阳区2018年薄改项目。广阳区2018年中小学薄弱学校改造项目资金来源分为二部分：省级及补助资金1007万元、市级财政资金400万元。</w:t>
      </w:r>
    </w:p>
    <w:p w14:paraId="2787CDC9">
      <w:pPr>
        <w:spacing w:line="59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经评价，通过对“广阳区2018年薄改项目”绩效评价，评价结果为“优”，得分90.525分。</w:t>
      </w:r>
    </w:p>
    <w:p w14:paraId="63AC89E7">
      <w:pPr>
        <w:spacing w:line="590" w:lineRule="exact"/>
        <w:ind w:firstLine="48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建议，针对财政专项拨款项目的实施加强管理，成立领导小组，指定专门人员，设定人员的岗位职责，确保项目实施的完整、有序、高效完成；加快项目工程建设，确保按时、高质的完成项目计划；对已购置的设备尽快安装验收，保障基础教学设施完备；严格执行有关规定，彻底消除超大班现象。</w:t>
      </w:r>
    </w:p>
    <w:p w14:paraId="26EE5506">
      <w:pPr>
        <w:ind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六、2018年政府采购情况说明</w:t>
      </w:r>
    </w:p>
    <w:p w14:paraId="0ACCF420">
      <w:pPr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2018年政府采购717次，采购预算金额22467万元，实际采购金额21749万元，（包括货物类采购12018万元、工程类采购7618万元、服务类采购2113万元），节约资金718万元，节约率3.2%。</w:t>
      </w:r>
    </w:p>
    <w:p w14:paraId="34FDFC21">
      <w:pPr>
        <w:spacing w:line="570" w:lineRule="exact"/>
        <w:ind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七、行政运行经费支出情况说明</w:t>
      </w:r>
    </w:p>
    <w:p w14:paraId="745738E9">
      <w:pPr>
        <w:spacing w:line="570" w:lineRule="exact"/>
        <w:ind w:firstLine="640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据2018年度区级部门决算汇总数据显示，2018年行政事业单位机关运行经费支出13547.81万元。</w:t>
      </w:r>
    </w:p>
    <w:p w14:paraId="146122E2">
      <w:pPr>
        <w:pStyle w:val="17"/>
        <w:spacing w:line="580" w:lineRule="exact"/>
        <w:ind w:firstLine="640"/>
        <w:jc w:val="both"/>
        <w:rPr>
          <w:rFonts w:ascii="黑体" w:hAnsi="黑体"/>
          <w:sz w:val="32"/>
          <w:szCs w:val="32"/>
        </w:rPr>
      </w:pPr>
      <w:r>
        <w:rPr>
          <w:rFonts w:ascii="黑体" w:hAnsi="黑体"/>
          <w:sz w:val="32"/>
          <w:szCs w:val="32"/>
        </w:rPr>
        <w:t>八、其他重要事项的解释说明</w:t>
      </w:r>
    </w:p>
    <w:p w14:paraId="6957775A">
      <w:pPr>
        <w:spacing w:line="580" w:lineRule="exact"/>
        <w:ind w:firstLine="640"/>
        <w:rPr>
          <w:rFonts w:ascii="仿宋_GB2312" w:hAnsi="仿宋"/>
          <w:sz w:val="32"/>
          <w:szCs w:val="32"/>
        </w:rPr>
      </w:pPr>
      <w:r>
        <w:rPr>
          <w:rFonts w:ascii="仿宋_GB2312" w:hAnsi="仿宋"/>
          <w:sz w:val="32"/>
          <w:szCs w:val="32"/>
        </w:rPr>
        <w:t>无</w:t>
      </w:r>
    </w:p>
    <w:p w14:paraId="68F2622A">
      <w:pPr>
        <w:spacing w:line="570" w:lineRule="exact"/>
        <w:rPr>
          <w:rFonts w:ascii="仿宋" w:hAnsi="仿宋"/>
          <w:sz w:val="32"/>
          <w:szCs w:val="32"/>
        </w:rPr>
      </w:pPr>
    </w:p>
    <w:p w14:paraId="78DF05AB">
      <w:pPr>
        <w:ind w:firstLine="63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</w:t>
      </w:r>
    </w:p>
    <w:p w14:paraId="0D8F8218">
      <w:pPr>
        <w:ind w:firstLine="640"/>
        <w:rPr>
          <w:sz w:val="32"/>
          <w:szCs w:val="32"/>
        </w:rPr>
      </w:pPr>
    </w:p>
    <w:sectPr>
      <w:headerReference r:id="rId3" w:type="default"/>
      <w:pgSz w:w="11906" w:h="16838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12B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E1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日期1"/>
    <w:basedOn w:val="9"/>
    <w:qFormat/>
    <w:uiPriority w:val="0"/>
    <w:pPr>
      <w:ind w:left="100"/>
    </w:pPr>
  </w:style>
  <w:style w:type="character" w:customStyle="1" w:styleId="13">
    <w:name w:val="日期 Char"/>
    <w:qFormat/>
    <w:uiPriority w:val="0"/>
    <w:rPr>
      <w:sz w:val="21"/>
      <w:szCs w:val="24"/>
    </w:rPr>
  </w:style>
  <w:style w:type="paragraph" w:customStyle="1" w:styleId="14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15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styleId="16">
    <w:name w:val="List Paragraph"/>
    <w:basedOn w:val="9"/>
    <w:qFormat/>
    <w:uiPriority w:val="0"/>
    <w:pPr>
      <w:ind w:firstLine="200"/>
    </w:pPr>
    <w:rPr>
      <w:rFonts w:ascii="Calibri" w:hAnsi="Calibri"/>
      <w:szCs w:val="22"/>
    </w:rPr>
  </w:style>
  <w:style w:type="paragraph" w:customStyle="1" w:styleId="17">
    <w:name w:val="Default"/>
    <w:qFormat/>
    <w:uiPriority w:val="0"/>
    <w:pPr>
      <w:ind w:firstLine="200"/>
    </w:pPr>
    <w:rPr>
      <w:rFonts w:ascii="FZXiaoBiaoSong-B05" w:hAnsi="Calibr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3300</Words>
  <Characters>3675</Characters>
  <Lines>0</Lines>
  <Paragraphs>0</Paragraphs>
  <TotalTime>0</TotalTime>
  <ScaleCrop>false</ScaleCrop>
  <LinksUpToDate>false</LinksUpToDate>
  <CharactersWithSpaces>3704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上进兄</dc:creator>
  <cp:lastModifiedBy>上进兄</cp:lastModifiedBy>
  <dcterms:modified xsi:type="dcterms:W3CDTF">2024-11-01T03:53:51Z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1F53DE8AE86A4358B0501180EF46290E_13</vt:lpwstr>
  </property>
</Properties>
</file>