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19EAAE">
      <w:pPr>
        <w:widowControl/>
        <w:spacing w:line="1200" w:lineRule="exact"/>
        <w:jc w:val="center"/>
        <w:rPr>
          <w:rFonts w:ascii="黑体" w:hAnsi="宋体" w:eastAsia="黑体"/>
          <w:color w:val="000000"/>
          <w:sz w:val="96"/>
          <w:szCs w:val="96"/>
        </w:rPr>
      </w:pPr>
    </w:p>
    <w:p w14:paraId="5618A937">
      <w:pPr>
        <w:widowControl/>
        <w:spacing w:line="1200" w:lineRule="exact"/>
        <w:jc w:val="center"/>
        <w:rPr>
          <w:rFonts w:ascii="黑体" w:hAnsi="宋体" w:eastAsia="黑体"/>
          <w:color w:val="000000"/>
          <w:sz w:val="96"/>
          <w:szCs w:val="96"/>
        </w:rPr>
      </w:pPr>
    </w:p>
    <w:p w14:paraId="2DD6D9CB">
      <w:pPr>
        <w:widowControl/>
        <w:spacing w:line="1200" w:lineRule="exact"/>
        <w:jc w:val="center"/>
        <w:rPr>
          <w:color w:val="000000"/>
          <w:sz w:val="96"/>
          <w:szCs w:val="96"/>
        </w:rPr>
      </w:pPr>
      <w:r>
        <w:rPr>
          <w:sz w:val="84"/>
          <w:szCs w:val="84"/>
        </w:rPr>
        <w:t>2018</w:t>
      </w:r>
      <w:r>
        <w:rPr>
          <w:rFonts w:hint="eastAsia"/>
          <w:sz w:val="84"/>
          <w:szCs w:val="84"/>
        </w:rPr>
        <w:t>年度部门决算公开</w:t>
      </w:r>
    </w:p>
    <w:p w14:paraId="5C39993F">
      <w:pPr>
        <w:widowControl/>
        <w:jc w:val="center"/>
        <w:rPr>
          <w:rFonts w:ascii="黑体" w:hAnsi="宋体" w:eastAsia="黑体"/>
          <w:color w:val="002060"/>
          <w:sz w:val="72"/>
          <w:szCs w:val="72"/>
        </w:rPr>
      </w:pPr>
    </w:p>
    <w:p w14:paraId="363C11E2">
      <w:pPr>
        <w:widowControl/>
        <w:jc w:val="center"/>
        <w:rPr>
          <w:rFonts w:ascii="黑体" w:hAnsi="黑体" w:eastAsia="黑体"/>
          <w:b/>
          <w:sz w:val="72"/>
          <w:szCs w:val="72"/>
        </w:rPr>
      </w:pPr>
    </w:p>
    <w:p w14:paraId="6481D25A">
      <w:pPr>
        <w:widowControl/>
        <w:jc w:val="center"/>
        <w:rPr>
          <w:rFonts w:ascii="黑体" w:hAnsi="黑体" w:eastAsia="黑体"/>
          <w:b/>
          <w:sz w:val="72"/>
          <w:szCs w:val="72"/>
        </w:rPr>
      </w:pPr>
    </w:p>
    <w:p w14:paraId="12F0A9B4">
      <w:pPr>
        <w:widowControl/>
        <w:jc w:val="center"/>
        <w:rPr>
          <w:rFonts w:ascii="黑体" w:hAnsi="黑体" w:eastAsia="黑体"/>
          <w:b/>
          <w:sz w:val="72"/>
          <w:szCs w:val="72"/>
        </w:rPr>
      </w:pPr>
    </w:p>
    <w:p w14:paraId="76E4B66A">
      <w:pPr>
        <w:widowControl/>
        <w:jc w:val="center"/>
        <w:rPr>
          <w:rFonts w:ascii="黑体" w:hAnsi="黑体" w:eastAsia="黑体"/>
          <w:b/>
          <w:sz w:val="72"/>
          <w:szCs w:val="72"/>
        </w:rPr>
      </w:pPr>
    </w:p>
    <w:p w14:paraId="327155FB">
      <w:pPr>
        <w:widowControl/>
        <w:jc w:val="center"/>
        <w:rPr>
          <w:rFonts w:ascii="黑体" w:hAnsi="黑体" w:eastAsia="黑体"/>
          <w:b/>
          <w:sz w:val="72"/>
          <w:szCs w:val="72"/>
        </w:rPr>
      </w:pPr>
    </w:p>
    <w:p w14:paraId="226EE19C">
      <w:pPr>
        <w:jc w:val="center"/>
      </w:pPr>
      <w:r>
        <w:rPr>
          <w:rFonts w:hint="eastAsia"/>
          <w:b/>
          <w:sz w:val="44"/>
          <w:szCs w:val="44"/>
        </w:rPr>
        <w:t>廊坊市</w:t>
      </w:r>
      <w:bookmarkStart w:id="0" w:name="_GoBack"/>
      <w:r>
        <w:rPr>
          <w:rFonts w:hint="eastAsia"/>
          <w:b/>
          <w:sz w:val="44"/>
          <w:szCs w:val="44"/>
        </w:rPr>
        <w:t>广阳区质量技术监督局</w:t>
      </w:r>
      <w:bookmarkEnd w:id="0"/>
    </w:p>
    <w:p w14:paraId="1969736F"/>
    <w:p w14:paraId="788BD18D"/>
    <w:p w14:paraId="0CF536F2"/>
    <w:p w14:paraId="7377C54D"/>
    <w:p w14:paraId="2DAFEC83"/>
    <w:p w14:paraId="1E24B231">
      <w:pPr>
        <w:widowControl/>
        <w:jc w:val="center"/>
        <w:rPr>
          <w:color w:val="000000"/>
          <w:sz w:val="72"/>
          <w:szCs w:val="72"/>
        </w:rPr>
      </w:pPr>
      <w:r>
        <w:rPr>
          <w:rFonts w:hint="eastAsia" w:ascii="黑体" w:hAnsi="宋体" w:eastAsia="黑体"/>
          <w:color w:val="000000"/>
          <w:sz w:val="72"/>
          <w:szCs w:val="72"/>
        </w:rPr>
        <w:t>第一部分</w:t>
      </w:r>
      <w:r>
        <w:rPr>
          <w:rFonts w:ascii="黑体" w:hAnsi="宋体" w:eastAsia="黑体"/>
          <w:color w:val="000000"/>
          <w:sz w:val="72"/>
          <w:szCs w:val="72"/>
        </w:rPr>
        <w:t xml:space="preserve">  </w:t>
      </w:r>
      <w:r>
        <w:rPr>
          <w:rFonts w:hint="eastAsia" w:ascii="黑体" w:hAnsi="宋体" w:eastAsia="黑体"/>
          <w:color w:val="000000"/>
          <w:sz w:val="72"/>
          <w:szCs w:val="72"/>
        </w:rPr>
        <w:t>部门概况</w:t>
      </w:r>
    </w:p>
    <w:p w14:paraId="7FF03256"/>
    <w:p w14:paraId="0109FDFC"/>
    <w:p w14:paraId="408C09FC"/>
    <w:p w14:paraId="748F1A7C"/>
    <w:p w14:paraId="6A3BB395"/>
    <w:p w14:paraId="5355527E"/>
    <w:p w14:paraId="77DA8FFB"/>
    <w:p w14:paraId="4BE295D6"/>
    <w:p w14:paraId="176574F0"/>
    <w:p w14:paraId="4AC04F2E"/>
    <w:p w14:paraId="3BC89708"/>
    <w:p w14:paraId="77EB0E1F">
      <w:pPr>
        <w:pStyle w:val="2"/>
        <w:spacing w:before="0" w:after="0" w:line="600" w:lineRule="exact"/>
        <w:ind w:firstLine="640" w:firstLineChars="200"/>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一、部门职责</w:t>
      </w:r>
    </w:p>
    <w:p w14:paraId="1B3D435A">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w:t>
      </w:r>
      <w:r>
        <w:rPr>
          <w:rFonts w:ascii="仿宋_GB2312" w:hAnsi="Cambria" w:eastAsia="仿宋_GB2312" w:cs="ArialUnicodeMS"/>
          <w:kern w:val="0"/>
          <w:sz w:val="32"/>
          <w:szCs w:val="32"/>
        </w:rPr>
        <w:t>1</w:t>
      </w:r>
      <w:r>
        <w:rPr>
          <w:rFonts w:hint="eastAsia" w:ascii="仿宋_GB2312" w:hAnsi="Cambria" w:eastAsia="仿宋_GB2312" w:cs="ArialUnicodeMS"/>
          <w:kern w:val="0"/>
          <w:sz w:val="32"/>
          <w:szCs w:val="32"/>
        </w:rPr>
        <w:t>）负责拟订提高本辖区质量水平的发展规划及政策措施并组织实施，负责与质量技术监督有关的技术规范工作。</w:t>
      </w:r>
    </w:p>
    <w:p w14:paraId="47186AD9">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w:t>
      </w:r>
      <w:r>
        <w:rPr>
          <w:rFonts w:ascii="仿宋_GB2312" w:hAnsi="Cambria" w:eastAsia="仿宋_GB2312" w:cs="ArialUnicodeMS"/>
          <w:kern w:val="0"/>
          <w:sz w:val="32"/>
          <w:szCs w:val="32"/>
        </w:rPr>
        <w:t>2</w:t>
      </w:r>
      <w:r>
        <w:rPr>
          <w:rFonts w:hint="eastAsia" w:ascii="仿宋_GB2312" w:hAnsi="Cambria" w:eastAsia="仿宋_GB2312" w:cs="ArialUnicodeMS"/>
          <w:kern w:val="0"/>
          <w:sz w:val="32"/>
          <w:szCs w:val="32"/>
        </w:rPr>
        <w:t>）负责本辖区内质量宏观管理工作，拟订并组织实施当地质量发展规划，推进名牌发展战略，承担本辖区产品质量诚信体系建设工作。</w:t>
      </w:r>
    </w:p>
    <w:p w14:paraId="1E73716B">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w:t>
      </w:r>
      <w:r>
        <w:rPr>
          <w:rFonts w:ascii="仿宋_GB2312" w:hAnsi="Cambria" w:eastAsia="仿宋_GB2312" w:cs="ArialUnicodeMS"/>
          <w:kern w:val="0"/>
          <w:sz w:val="32"/>
          <w:szCs w:val="32"/>
        </w:rPr>
        <w:t>3</w:t>
      </w:r>
      <w:r>
        <w:rPr>
          <w:rFonts w:hint="eastAsia" w:ascii="仿宋_GB2312" w:hAnsi="Cambria" w:eastAsia="仿宋_GB2312" w:cs="ArialUnicodeMS"/>
          <w:kern w:val="0"/>
          <w:sz w:val="32"/>
          <w:szCs w:val="32"/>
        </w:rPr>
        <w:t>）负责本辖区产品质量监督工作</w:t>
      </w:r>
      <w:r>
        <w:rPr>
          <w:rFonts w:ascii="仿宋_GB2312" w:hAnsi="Cambria" w:eastAsia="仿宋_GB2312" w:cs="ArialUnicodeMS"/>
          <w:kern w:val="0"/>
          <w:sz w:val="32"/>
          <w:szCs w:val="32"/>
        </w:rPr>
        <w:t>,</w:t>
      </w:r>
      <w:r>
        <w:rPr>
          <w:rFonts w:hint="eastAsia" w:ascii="仿宋_GB2312" w:hAnsi="Cambria" w:eastAsia="仿宋_GB2312" w:cs="ArialUnicodeMS"/>
          <w:kern w:val="0"/>
          <w:sz w:val="32"/>
          <w:szCs w:val="32"/>
        </w:rPr>
        <w:t>组织开展本辖区内产品质量安全强制检验、监督抽查等工作，负责本辖区内工业产品生产许可证管理和纤维产品质量监督检验工作，监督管理产品质量仲裁检验、鉴定，管理机动车安全技术检验机构认定；组织开展产品质量安全专项整治工作，依法查处产品质量违法行为，按分工打击假冒伪劣违法活动。</w:t>
      </w:r>
    </w:p>
    <w:p w14:paraId="4D74EC13">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rPr>
      </w:pPr>
      <w:r>
        <w:rPr>
          <w:rFonts w:ascii="仿宋_GB2312" w:hAnsi="Cambria" w:eastAsia="仿宋_GB2312" w:cs="ArialUnicodeMS"/>
          <w:kern w:val="0"/>
          <w:sz w:val="32"/>
          <w:szCs w:val="32"/>
        </w:rPr>
        <w:t>(4)</w:t>
      </w:r>
      <w:r>
        <w:rPr>
          <w:rFonts w:ascii="仿宋_GB2312" w:hAnsi="Cambria" w:eastAsia="黑体" w:cs="ArialUnicodeMS"/>
          <w:kern w:val="0"/>
          <w:sz w:val="32"/>
          <w:szCs w:val="32"/>
        </w:rPr>
        <w:t xml:space="preserve"> </w:t>
      </w:r>
      <w:r>
        <w:rPr>
          <w:rFonts w:hint="eastAsia" w:ascii="仿宋_GB2312" w:hAnsi="Cambria" w:eastAsia="仿宋_GB2312" w:cs="ArialUnicodeMS"/>
          <w:kern w:val="0"/>
          <w:sz w:val="32"/>
          <w:szCs w:val="32"/>
        </w:rPr>
        <w:t>统一监督管理本辖区标准化工作，贯彻国家、省、市标准化工作的法律、法规、方针、政策，并制定本辖区的具体实施办法；制定本辖区标准化工作的规划、计划；指导本辖区有关行政主管部门的标准化工作；组织制定有关地方标准；在本辖区内确定实施标准并进行监督；管理企业产品标准备案，监督企业按标准组织生产；管理辖区内组织机构代码和商品条码工作。</w:t>
      </w:r>
    </w:p>
    <w:p w14:paraId="56E5D2E9">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w:t>
      </w:r>
      <w:r>
        <w:rPr>
          <w:rFonts w:ascii="仿宋_GB2312" w:hAnsi="Cambria" w:eastAsia="仿宋_GB2312" w:cs="ArialUnicodeMS"/>
          <w:kern w:val="0"/>
          <w:sz w:val="32"/>
          <w:szCs w:val="32"/>
        </w:rPr>
        <w:t>5</w:t>
      </w:r>
      <w:r>
        <w:rPr>
          <w:rFonts w:hint="eastAsia" w:ascii="仿宋_GB2312" w:hAnsi="Cambria" w:eastAsia="仿宋_GB2312" w:cs="ArialUnicodeMS"/>
          <w:kern w:val="0"/>
          <w:sz w:val="32"/>
          <w:szCs w:val="32"/>
        </w:rPr>
        <w:t>）负责统一管理本辖区计量工作，推行法定计量单位和国家计量制度，管理和监督地方计量标准和标准物质，依法管理计量器具，组织本地量值传递和比对工作，监督管理商品量、市场计量行为和计量仲裁检定。</w:t>
      </w:r>
    </w:p>
    <w:p w14:paraId="37B9B84D">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w:t>
      </w:r>
      <w:r>
        <w:rPr>
          <w:rFonts w:ascii="仿宋_GB2312" w:hAnsi="Cambria" w:eastAsia="仿宋_GB2312" w:cs="ArialUnicodeMS"/>
          <w:kern w:val="0"/>
          <w:sz w:val="32"/>
          <w:szCs w:val="32"/>
        </w:rPr>
        <w:t>6</w:t>
      </w:r>
      <w:r>
        <w:rPr>
          <w:rFonts w:hint="eastAsia" w:ascii="仿宋_GB2312" w:hAnsi="Cambria" w:eastAsia="仿宋_GB2312" w:cs="ArialUnicodeMS"/>
          <w:kern w:val="0"/>
          <w:sz w:val="32"/>
          <w:szCs w:val="32"/>
        </w:rPr>
        <w:t>）负责统一监督管理和综合协调本辖区认证认可工作，依法对本辖区内验定和检查机构进行监督管理，对认证认可相关的社会中介服务机构实施资格认可和监督管理，协调和监督强制性认证和自愿性认证工作，引导企业按国际惯例进行各种认证。</w:t>
      </w:r>
    </w:p>
    <w:p w14:paraId="31BFC297">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w:t>
      </w:r>
      <w:r>
        <w:rPr>
          <w:rFonts w:ascii="仿宋_GB2312" w:hAnsi="Cambria" w:eastAsia="仿宋_GB2312" w:cs="ArialUnicodeMS"/>
          <w:kern w:val="0"/>
          <w:sz w:val="32"/>
          <w:szCs w:val="32"/>
        </w:rPr>
        <w:t>7</w:t>
      </w:r>
      <w:r>
        <w:rPr>
          <w:rFonts w:hint="eastAsia" w:ascii="仿宋_GB2312" w:hAnsi="Cambria" w:eastAsia="仿宋_GB2312" w:cs="ArialUnicodeMS"/>
          <w:kern w:val="0"/>
          <w:sz w:val="32"/>
          <w:szCs w:val="32"/>
        </w:rPr>
        <w:t>）承担本辖区食品包装材料、容器、食品生产经营工具等食品相关产品生产加工的质量安全监管及市场准入有关工作；按规定权限组织调查处理相关质量安全事故。</w:t>
      </w:r>
    </w:p>
    <w:p w14:paraId="1DC82940">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w:t>
      </w:r>
      <w:r>
        <w:rPr>
          <w:rFonts w:ascii="仿宋_GB2312" w:hAnsi="Cambria" w:eastAsia="仿宋_GB2312" w:cs="ArialUnicodeMS"/>
          <w:kern w:val="0"/>
          <w:sz w:val="32"/>
          <w:szCs w:val="32"/>
        </w:rPr>
        <w:t>8</w:t>
      </w:r>
      <w:r>
        <w:rPr>
          <w:rFonts w:hint="eastAsia" w:ascii="仿宋_GB2312" w:hAnsi="Cambria" w:eastAsia="仿宋_GB2312" w:cs="ArialUnicodeMS"/>
          <w:kern w:val="0"/>
          <w:sz w:val="32"/>
          <w:szCs w:val="32"/>
        </w:rPr>
        <w:t>）承担综合管理本辖区锅炉、压力容器、压力管道、电梯、起重机械、客运索道、游乐设施、场（厂）内专用机动车辆等特种设备安全监察、监督工作的责任，监督检查高耗能特种设备节能标准的执行情况。</w:t>
      </w:r>
      <w:r>
        <w:rPr>
          <w:rFonts w:ascii="仿宋_GB2312" w:hAnsi="Cambria" w:eastAsia="仿宋_GB2312" w:cs="ArialUnicodeMS"/>
          <w:kern w:val="0"/>
          <w:sz w:val="32"/>
          <w:szCs w:val="32"/>
        </w:rPr>
        <w:t xml:space="preserve"> </w:t>
      </w:r>
    </w:p>
    <w:p w14:paraId="22572DFD">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w:t>
      </w:r>
      <w:r>
        <w:rPr>
          <w:rFonts w:ascii="仿宋_GB2312" w:hAnsi="Cambria" w:eastAsia="仿宋_GB2312" w:cs="ArialUnicodeMS"/>
          <w:kern w:val="0"/>
          <w:sz w:val="32"/>
          <w:szCs w:val="32"/>
        </w:rPr>
        <w:t>9</w:t>
      </w:r>
      <w:r>
        <w:rPr>
          <w:rFonts w:hint="eastAsia" w:ascii="仿宋_GB2312" w:hAnsi="Cambria" w:eastAsia="仿宋_GB2312" w:cs="ArialUnicodeMS"/>
          <w:kern w:val="0"/>
          <w:sz w:val="32"/>
          <w:szCs w:val="32"/>
        </w:rPr>
        <w:t>）制定并组织实施本辖区质量技术监督事业发展、科技发展和技术机构建设规划，组织有关科研和技术引进工作。</w:t>
      </w:r>
    </w:p>
    <w:p w14:paraId="622A9115">
      <w:pPr>
        <w:autoSpaceDE w:val="0"/>
        <w:autoSpaceDN w:val="0"/>
        <w:adjustRightInd w:val="0"/>
        <w:spacing w:after="0" w:line="560" w:lineRule="exact"/>
        <w:ind w:firstLine="640" w:firstLineChars="200"/>
        <w:jc w:val="left"/>
        <w:rPr>
          <w:rFonts w:ascii="仿宋_GB2312" w:hAnsi="Cambria" w:eastAsia="仿宋_GB2312" w:cs="ArialUnicodeMS"/>
          <w:kern w:val="0"/>
          <w:sz w:val="32"/>
          <w:szCs w:val="32"/>
          <w:highlight w:val="yellow"/>
        </w:rPr>
      </w:pPr>
      <w:r>
        <w:rPr>
          <w:rFonts w:hint="eastAsia" w:ascii="仿宋_GB2312" w:hAnsi="Cambria" w:eastAsia="仿宋_GB2312" w:cs="ArialUnicodeMS"/>
          <w:kern w:val="0"/>
          <w:sz w:val="32"/>
          <w:szCs w:val="32"/>
        </w:rPr>
        <w:t>（</w:t>
      </w:r>
      <w:r>
        <w:rPr>
          <w:rFonts w:ascii="仿宋_GB2312" w:hAnsi="Cambria" w:eastAsia="仿宋_GB2312" w:cs="ArialUnicodeMS"/>
          <w:kern w:val="0"/>
          <w:sz w:val="32"/>
          <w:szCs w:val="32"/>
        </w:rPr>
        <w:t>10</w:t>
      </w:r>
      <w:r>
        <w:rPr>
          <w:rFonts w:hint="eastAsia" w:ascii="仿宋_GB2312" w:hAnsi="Cambria" w:eastAsia="仿宋_GB2312" w:cs="ArialUnicodeMS"/>
          <w:kern w:val="0"/>
          <w:sz w:val="32"/>
          <w:szCs w:val="32"/>
        </w:rPr>
        <w:t>）承办区政府和市质量技术监督局交办的其他事项。</w:t>
      </w:r>
    </w:p>
    <w:p w14:paraId="528880B2">
      <w:pPr>
        <w:pStyle w:val="2"/>
        <w:spacing w:before="0" w:after="0" w:line="600" w:lineRule="exact"/>
        <w:ind w:firstLine="640" w:firstLineChars="200"/>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14:paraId="67069FE0">
      <w:pPr>
        <w:spacing w:after="0" w:line="560" w:lineRule="exact"/>
        <w:ind w:firstLine="640" w:firstLineChars="200"/>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w:t>
      </w:r>
      <w:r>
        <w:rPr>
          <w:rFonts w:ascii="仿宋_GB2312" w:hAnsi="Cambria" w:eastAsia="仿宋_GB2312" w:cs="ArialUnicodeMS"/>
          <w:kern w:val="0"/>
          <w:sz w:val="32"/>
          <w:szCs w:val="32"/>
        </w:rPr>
        <w:t xml:space="preserve">2018 </w:t>
      </w:r>
      <w:r>
        <w:rPr>
          <w:rFonts w:hint="eastAsia" w:ascii="仿宋_GB2312" w:hAnsi="Cambria" w:eastAsia="仿宋_GB2312" w:cs="ArialUnicodeMS"/>
          <w:kern w:val="0"/>
          <w:sz w:val="32"/>
          <w:szCs w:val="32"/>
        </w:rPr>
        <w:t>年度本部门决算汇编范围的独立核算单位（以下简称“单位”）共</w:t>
      </w:r>
      <w:r>
        <w:rPr>
          <w:rFonts w:ascii="仿宋_GB2312" w:hAnsi="Cambria" w:eastAsia="仿宋_GB2312" w:cs="ArialUnicodeMS"/>
          <w:kern w:val="0"/>
          <w:sz w:val="32"/>
          <w:szCs w:val="32"/>
        </w:rPr>
        <w:t>1</w:t>
      </w:r>
      <w:r>
        <w:rPr>
          <w:rFonts w:hint="eastAsia" w:ascii="仿宋_GB2312" w:hAnsi="Cambria" w:eastAsia="仿宋_GB2312" w:cs="ArialUnicodeMS"/>
          <w:kern w:val="0"/>
          <w:sz w:val="32"/>
          <w:szCs w:val="32"/>
        </w:rPr>
        <w:t>个，具体情况如下：</w:t>
      </w:r>
    </w:p>
    <w:tbl>
      <w:tblPr>
        <w:tblStyle w:val="14"/>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1688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059DB144">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485" w:type="dxa"/>
            <w:vAlign w:val="center"/>
          </w:tcPr>
          <w:p w14:paraId="68BCDEFD">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445" w:type="dxa"/>
            <w:vAlign w:val="center"/>
          </w:tcPr>
          <w:p w14:paraId="611A7D2A">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vAlign w:val="center"/>
          </w:tcPr>
          <w:p w14:paraId="6BE94CDA">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14:paraId="47FB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D2D3A37">
            <w:pPr>
              <w:spacing w:after="0" w:line="560" w:lineRule="exact"/>
              <w:jc w:val="center"/>
              <w:rPr>
                <w:rFonts w:ascii="仿宋_GB2312" w:hAnsi="Cambria" w:eastAsia="仿宋_GB2312" w:cs="ArialUnicodeMS"/>
                <w:kern w:val="0"/>
                <w:sz w:val="28"/>
                <w:szCs w:val="28"/>
              </w:rPr>
            </w:pPr>
            <w:r>
              <w:rPr>
                <w:rFonts w:ascii="仿宋_GB2312" w:hAnsi="Cambria" w:eastAsia="仿宋_GB2312" w:cs="ArialUnicodeMS"/>
                <w:kern w:val="0"/>
                <w:sz w:val="28"/>
                <w:szCs w:val="28"/>
              </w:rPr>
              <w:t>1</w:t>
            </w:r>
          </w:p>
        </w:tc>
        <w:tc>
          <w:tcPr>
            <w:tcW w:w="3485" w:type="dxa"/>
          </w:tcPr>
          <w:p w14:paraId="51FD1FCD">
            <w:pPr>
              <w:spacing w:after="0"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廊坊市广阳区质量技术监督局</w:t>
            </w:r>
            <w:r>
              <w:rPr>
                <w:rFonts w:ascii="仿宋_GB2312" w:hAnsi="Cambria" w:eastAsia="仿宋_GB2312" w:cs="ArialUnicodeMS"/>
                <w:kern w:val="0"/>
                <w:sz w:val="28"/>
                <w:szCs w:val="28"/>
              </w:rPr>
              <w:t>(</w:t>
            </w:r>
            <w:r>
              <w:rPr>
                <w:rFonts w:hint="eastAsia" w:ascii="仿宋_GB2312" w:hAnsi="Cambria" w:eastAsia="仿宋_GB2312" w:cs="ArialUnicodeMS"/>
                <w:kern w:val="0"/>
                <w:sz w:val="28"/>
                <w:szCs w:val="28"/>
              </w:rPr>
              <w:t>本级</w:t>
            </w:r>
            <w:r>
              <w:rPr>
                <w:rFonts w:ascii="仿宋_GB2312" w:hAnsi="Cambria" w:eastAsia="仿宋_GB2312" w:cs="ArialUnicodeMS"/>
                <w:kern w:val="0"/>
                <w:sz w:val="28"/>
                <w:szCs w:val="28"/>
              </w:rPr>
              <w:t>)</w:t>
            </w:r>
          </w:p>
        </w:tc>
        <w:tc>
          <w:tcPr>
            <w:tcW w:w="2445" w:type="dxa"/>
          </w:tcPr>
          <w:p w14:paraId="47A2CF92">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行政单位</w:t>
            </w:r>
          </w:p>
        </w:tc>
        <w:tc>
          <w:tcPr>
            <w:tcW w:w="2665" w:type="dxa"/>
          </w:tcPr>
          <w:p w14:paraId="4CB041B7">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财政拨款</w:t>
            </w:r>
          </w:p>
        </w:tc>
      </w:tr>
      <w:tr w14:paraId="481A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left w:val="nil"/>
              <w:bottom w:val="nil"/>
              <w:right w:val="nil"/>
            </w:tcBorders>
          </w:tcPr>
          <w:p w14:paraId="5DFCA2A1">
            <w:pPr>
              <w:spacing w:after="0" w:line="560" w:lineRule="exact"/>
              <w:ind w:firstLine="560" w:firstLineChars="200"/>
              <w:jc w:val="left"/>
              <w:rPr>
                <w:rFonts w:ascii="仿宋_GB2312" w:hAnsi="Cambria" w:eastAsia="仿宋_GB2312" w:cs="ArialUnicodeMS"/>
                <w:kern w:val="0"/>
                <w:sz w:val="28"/>
                <w:szCs w:val="28"/>
              </w:rPr>
            </w:pPr>
          </w:p>
        </w:tc>
      </w:tr>
    </w:tbl>
    <w:p w14:paraId="12860C1D">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0" w:num="1"/>
          <w:docGrid w:type="lines" w:linePitch="312" w:charSpace="0"/>
        </w:sectPr>
      </w:pPr>
    </w:p>
    <w:p w14:paraId="16BC4868">
      <w:pPr>
        <w:widowControl/>
        <w:spacing w:line="1200" w:lineRule="exact"/>
        <w:jc w:val="center"/>
        <w:rPr>
          <w:rFonts w:ascii="黑体" w:hAnsi="宋体" w:eastAsia="黑体"/>
          <w:color w:val="000000"/>
          <w:sz w:val="72"/>
          <w:szCs w:val="96"/>
        </w:rPr>
      </w:pPr>
    </w:p>
    <w:p w14:paraId="6488B79B">
      <w:pPr>
        <w:widowControl/>
        <w:spacing w:line="1200" w:lineRule="exact"/>
        <w:jc w:val="center"/>
        <w:rPr>
          <w:rFonts w:ascii="黑体" w:hAnsi="宋体" w:eastAsia="黑体"/>
          <w:color w:val="000000"/>
          <w:sz w:val="72"/>
          <w:szCs w:val="96"/>
        </w:rPr>
      </w:pPr>
    </w:p>
    <w:p w14:paraId="4C081295">
      <w:pPr>
        <w:widowControl/>
        <w:spacing w:line="1200" w:lineRule="exact"/>
        <w:jc w:val="center"/>
        <w:rPr>
          <w:rFonts w:ascii="黑体" w:hAnsi="宋体" w:eastAsia="黑体"/>
          <w:color w:val="000000"/>
          <w:sz w:val="72"/>
          <w:szCs w:val="96"/>
        </w:rPr>
      </w:pPr>
    </w:p>
    <w:p w14:paraId="2A571A80">
      <w:pPr>
        <w:widowControl/>
        <w:spacing w:line="1200" w:lineRule="exact"/>
        <w:jc w:val="center"/>
        <w:rPr>
          <w:rFonts w:ascii="黑体" w:hAnsi="宋体" w:eastAsia="黑体"/>
          <w:color w:val="000000"/>
          <w:sz w:val="72"/>
          <w:szCs w:val="96"/>
        </w:rPr>
      </w:pPr>
      <w:r>
        <w:rPr>
          <w:rFonts w:hint="eastAsia" w:ascii="黑体" w:hAnsi="宋体" w:eastAsia="黑体"/>
          <w:color w:val="000000"/>
          <w:sz w:val="72"/>
          <w:szCs w:val="96"/>
        </w:rPr>
        <w:t>第二部分</w:t>
      </w:r>
    </w:p>
    <w:p w14:paraId="252A27A8">
      <w:pPr>
        <w:widowControl/>
        <w:spacing w:line="1200" w:lineRule="exact"/>
        <w:jc w:val="center"/>
        <w:rPr>
          <w:color w:val="000000"/>
          <w:sz w:val="72"/>
          <w:szCs w:val="96"/>
        </w:rPr>
      </w:pPr>
      <w:r>
        <w:rPr>
          <w:rFonts w:ascii="黑体" w:hAnsi="宋体" w:eastAsia="黑体"/>
          <w:color w:val="000000"/>
          <w:sz w:val="72"/>
          <w:szCs w:val="96"/>
        </w:rPr>
        <w:t>2018</w:t>
      </w:r>
      <w:r>
        <w:rPr>
          <w:rFonts w:hint="eastAsia" w:ascii="黑体" w:hAnsi="宋体" w:eastAsia="黑体"/>
          <w:color w:val="000000"/>
          <w:sz w:val="72"/>
          <w:szCs w:val="96"/>
        </w:rPr>
        <w:t>年度部门决算报表</w:t>
      </w:r>
    </w:p>
    <w:p w14:paraId="634DD0DD">
      <w:pPr>
        <w:widowControl/>
        <w:spacing w:line="560" w:lineRule="exact"/>
        <w:jc w:val="center"/>
        <w:rPr>
          <w:rFonts w:ascii="黑体" w:hAnsi="Cambria" w:eastAsia="黑体" w:cs="MS-UIGothic,Bold"/>
          <w:bCs/>
          <w:kern w:val="0"/>
          <w:sz w:val="52"/>
          <w:szCs w:val="52"/>
        </w:rPr>
      </w:pPr>
    </w:p>
    <w:p w14:paraId="11F6ED3A">
      <w:pPr>
        <w:widowControl/>
        <w:spacing w:line="560" w:lineRule="exact"/>
        <w:jc w:val="center"/>
        <w:rPr>
          <w:rFonts w:ascii="黑体" w:hAnsi="Cambria" w:eastAsia="黑体" w:cs="MS-UIGothic,Bold"/>
          <w:bCs/>
          <w:kern w:val="0"/>
          <w:sz w:val="52"/>
          <w:szCs w:val="52"/>
        </w:rPr>
      </w:pPr>
    </w:p>
    <w:p w14:paraId="74A7A53D">
      <w:pPr>
        <w:widowControl/>
        <w:spacing w:line="560" w:lineRule="exact"/>
        <w:jc w:val="center"/>
        <w:rPr>
          <w:rFonts w:ascii="黑体" w:hAnsi="Cambria" w:eastAsia="黑体" w:cs="MS-UIGothic,Bold"/>
          <w:bCs/>
          <w:kern w:val="0"/>
          <w:sz w:val="52"/>
          <w:szCs w:val="52"/>
        </w:rPr>
      </w:pPr>
    </w:p>
    <w:p w14:paraId="2C6687C4">
      <w:pPr>
        <w:widowControl/>
        <w:spacing w:line="560" w:lineRule="exact"/>
        <w:jc w:val="center"/>
        <w:rPr>
          <w:rFonts w:ascii="黑体" w:hAnsi="Cambria" w:eastAsia="黑体" w:cs="MS-UIGothic,Bold"/>
          <w:bCs/>
          <w:kern w:val="0"/>
          <w:sz w:val="52"/>
          <w:szCs w:val="52"/>
        </w:rPr>
      </w:pPr>
    </w:p>
    <w:p w14:paraId="14FB8408">
      <w:pPr>
        <w:widowControl/>
        <w:spacing w:line="560" w:lineRule="exact"/>
        <w:jc w:val="center"/>
        <w:rPr>
          <w:rFonts w:ascii="黑体" w:hAnsi="Cambria" w:eastAsia="黑体" w:cs="MS-UIGothic,Bold"/>
          <w:bCs/>
          <w:kern w:val="0"/>
          <w:sz w:val="52"/>
          <w:szCs w:val="52"/>
        </w:rPr>
      </w:pPr>
    </w:p>
    <w:p w14:paraId="6CD860BA">
      <w:pPr>
        <w:widowControl/>
        <w:spacing w:line="560" w:lineRule="exact"/>
        <w:jc w:val="center"/>
        <w:rPr>
          <w:rFonts w:ascii="黑体" w:hAnsi="Cambria" w:eastAsia="黑体" w:cs="MS-UIGothic,Bold"/>
          <w:bCs/>
          <w:kern w:val="0"/>
          <w:sz w:val="52"/>
          <w:szCs w:val="52"/>
        </w:rPr>
      </w:pPr>
    </w:p>
    <w:p w14:paraId="01D9CC91">
      <w:pPr>
        <w:widowControl/>
        <w:spacing w:line="560" w:lineRule="exact"/>
        <w:jc w:val="center"/>
        <w:rPr>
          <w:rFonts w:ascii="黑体" w:hAnsi="Cambria" w:eastAsia="黑体" w:cs="MS-UIGothic,Bold"/>
          <w:bCs/>
          <w:kern w:val="0"/>
          <w:sz w:val="52"/>
          <w:szCs w:val="52"/>
        </w:rPr>
      </w:pPr>
    </w:p>
    <w:p w14:paraId="08CBB185">
      <w:pPr>
        <w:widowControl/>
        <w:spacing w:line="560" w:lineRule="exact"/>
        <w:jc w:val="center"/>
        <w:rPr>
          <w:rFonts w:ascii="黑体" w:hAnsi="Cambria" w:eastAsia="黑体" w:cs="MS-UIGothic,Bold"/>
          <w:bCs/>
          <w:kern w:val="0"/>
          <w:sz w:val="52"/>
          <w:szCs w:val="52"/>
        </w:rPr>
      </w:pPr>
    </w:p>
    <w:p w14:paraId="20F2989D">
      <w:pPr>
        <w:widowControl/>
        <w:spacing w:line="580" w:lineRule="exact"/>
        <w:ind w:firstLine="640" w:firstLineChars="200"/>
        <w:rPr>
          <w:rFonts w:eastAsia="仿宋_GB2312"/>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14:paraId="1D1DF8A1">
      <w:pPr>
        <w:widowControl/>
        <w:spacing w:line="580" w:lineRule="exact"/>
        <w:ind w:left="640" w:firstLine="640" w:firstLineChars="200"/>
        <w:rPr>
          <w:rFonts w:eastAsia="仿宋_GB2312"/>
          <w:sz w:val="32"/>
          <w:szCs w:val="32"/>
        </w:rPr>
      </w:pPr>
      <w:r>
        <w:rPr>
          <w:rFonts w:hint="eastAsia" w:eastAsia="仿宋_GB2312"/>
          <w:sz w:val="32"/>
          <w:szCs w:val="32"/>
        </w:rPr>
        <w:t>一、收入支出决算总表</w:t>
      </w:r>
    </w:p>
    <w:p w14:paraId="70494260">
      <w:pPr>
        <w:widowControl/>
        <w:spacing w:line="580" w:lineRule="exact"/>
        <w:ind w:left="640" w:firstLine="640" w:firstLineChars="200"/>
        <w:rPr>
          <w:rFonts w:eastAsia="仿宋_GB2312"/>
          <w:sz w:val="32"/>
          <w:szCs w:val="32"/>
        </w:rPr>
      </w:pPr>
      <w:r>
        <w:rPr>
          <w:rFonts w:hint="eastAsia" w:eastAsia="仿宋_GB2312"/>
          <w:sz w:val="32"/>
          <w:szCs w:val="32"/>
        </w:rPr>
        <w:t>二、收入决算表</w:t>
      </w:r>
    </w:p>
    <w:p w14:paraId="1458058E">
      <w:pPr>
        <w:widowControl/>
        <w:spacing w:line="580" w:lineRule="exact"/>
        <w:ind w:left="640" w:firstLine="640" w:firstLineChars="200"/>
        <w:rPr>
          <w:rFonts w:eastAsia="仿宋_GB2312"/>
          <w:sz w:val="32"/>
          <w:szCs w:val="32"/>
        </w:rPr>
      </w:pPr>
      <w:r>
        <w:rPr>
          <w:rFonts w:hint="eastAsia" w:eastAsia="仿宋_GB2312"/>
          <w:sz w:val="32"/>
          <w:szCs w:val="32"/>
        </w:rPr>
        <w:t>三、支出决算表</w:t>
      </w:r>
    </w:p>
    <w:p w14:paraId="5028EF47">
      <w:pPr>
        <w:widowControl/>
        <w:spacing w:line="580" w:lineRule="exact"/>
        <w:ind w:left="640" w:firstLine="640" w:firstLineChars="200"/>
        <w:rPr>
          <w:rFonts w:eastAsia="仿宋_GB2312"/>
          <w:sz w:val="32"/>
          <w:szCs w:val="32"/>
        </w:rPr>
      </w:pPr>
      <w:r>
        <w:rPr>
          <w:rFonts w:hint="eastAsia" w:eastAsia="仿宋_GB2312"/>
          <w:sz w:val="32"/>
          <w:szCs w:val="32"/>
        </w:rPr>
        <w:t>四、财政拨款收入支出决算总表</w:t>
      </w:r>
    </w:p>
    <w:p w14:paraId="557D6870">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五、一般公共预算财政拨款支出决算表</w:t>
      </w:r>
    </w:p>
    <w:p w14:paraId="3B503B3E">
      <w:pPr>
        <w:widowControl/>
        <w:spacing w:line="580" w:lineRule="exact"/>
        <w:ind w:left="640" w:firstLine="640" w:firstLineChars="200"/>
        <w:rPr>
          <w:rFonts w:eastAsia="仿宋_GB2312"/>
          <w:sz w:val="32"/>
          <w:szCs w:val="32"/>
        </w:rPr>
      </w:pPr>
      <w:r>
        <w:rPr>
          <w:rFonts w:hint="eastAsia" w:eastAsia="仿宋_GB2312"/>
          <w:sz w:val="32"/>
          <w:szCs w:val="32"/>
        </w:rPr>
        <w:t>六、一般公共预算财政拨款基本支出决算表</w:t>
      </w:r>
    </w:p>
    <w:p w14:paraId="11CB7F32">
      <w:pPr>
        <w:widowControl/>
        <w:spacing w:line="580" w:lineRule="exact"/>
        <w:ind w:left="640" w:firstLine="640" w:firstLineChars="200"/>
        <w:rPr>
          <w:rFonts w:eastAsia="仿宋_GB2312"/>
          <w:sz w:val="32"/>
          <w:szCs w:val="32"/>
        </w:rPr>
      </w:pPr>
      <w:r>
        <w:rPr>
          <w:rFonts w:hint="eastAsia" w:eastAsia="仿宋_GB2312"/>
          <w:sz w:val="32"/>
          <w:szCs w:val="32"/>
        </w:rPr>
        <w:t>七、一般公共预算财政拨款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经费支出决算表</w:t>
      </w:r>
    </w:p>
    <w:p w14:paraId="301474E1">
      <w:pPr>
        <w:widowControl/>
        <w:spacing w:line="580" w:lineRule="exact"/>
        <w:ind w:left="640" w:firstLine="640" w:firstLineChars="200"/>
        <w:rPr>
          <w:rFonts w:eastAsia="仿宋_GB2312"/>
          <w:sz w:val="32"/>
          <w:szCs w:val="32"/>
        </w:rPr>
      </w:pPr>
      <w:r>
        <w:rPr>
          <w:rFonts w:hint="eastAsia" w:eastAsia="仿宋_GB2312"/>
          <w:sz w:val="32"/>
          <w:szCs w:val="32"/>
        </w:rPr>
        <w:t>八、政府性基金预算财政拨款收入支出决算表</w:t>
      </w:r>
    </w:p>
    <w:p w14:paraId="56CD7A83">
      <w:pPr>
        <w:widowControl/>
        <w:spacing w:line="580" w:lineRule="exact"/>
        <w:ind w:left="640" w:firstLine="640" w:firstLineChars="200"/>
        <w:rPr>
          <w:rFonts w:eastAsia="仿宋_GB2312"/>
          <w:sz w:val="32"/>
          <w:szCs w:val="32"/>
        </w:rPr>
      </w:pPr>
      <w:r>
        <w:rPr>
          <w:rFonts w:hint="eastAsia" w:eastAsia="仿宋_GB2312"/>
          <w:sz w:val="32"/>
          <w:szCs w:val="32"/>
        </w:rPr>
        <w:t>九、国有资本经营预算财政拨款支出决算表</w:t>
      </w:r>
    </w:p>
    <w:p w14:paraId="35D51120">
      <w:pPr>
        <w:widowControl/>
        <w:spacing w:line="580" w:lineRule="exact"/>
        <w:ind w:left="640" w:firstLine="640" w:firstLineChars="200"/>
        <w:rPr>
          <w:rFonts w:eastAsia="仿宋_GB2312"/>
          <w:sz w:val="32"/>
          <w:szCs w:val="32"/>
        </w:rPr>
      </w:pPr>
      <w:r>
        <w:rPr>
          <w:rFonts w:hint="eastAsia" w:eastAsia="仿宋_GB2312"/>
          <w:sz w:val="32"/>
          <w:szCs w:val="32"/>
        </w:rPr>
        <w:t>十、政府采购情况表</w:t>
      </w:r>
    </w:p>
    <w:p w14:paraId="0C739246">
      <w:pPr>
        <w:rPr>
          <w:rFonts w:ascii="宋体" w:cs="ArialUnicodeMS"/>
          <w:color w:val="000000"/>
          <w:kern w:val="0"/>
        </w:rPr>
      </w:pPr>
    </w:p>
    <w:p w14:paraId="522A2875">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r>
        <w:tab/>
      </w:r>
    </w:p>
    <w:p w14:paraId="3EC47E7E">
      <w:pPr>
        <w:widowControl/>
        <w:spacing w:line="1200" w:lineRule="exact"/>
        <w:jc w:val="center"/>
        <w:rPr>
          <w:rFonts w:ascii="黑体" w:hAnsi="宋体" w:eastAsia="黑体"/>
          <w:color w:val="000000"/>
          <w:sz w:val="96"/>
          <w:szCs w:val="96"/>
        </w:rPr>
      </w:pPr>
    </w:p>
    <w:p w14:paraId="6FB00C9F">
      <w:pPr>
        <w:widowControl/>
        <w:spacing w:line="1200" w:lineRule="exact"/>
        <w:jc w:val="center"/>
        <w:rPr>
          <w:rFonts w:ascii="黑体" w:hAnsi="宋体" w:eastAsia="黑体"/>
          <w:color w:val="000000"/>
          <w:sz w:val="96"/>
          <w:szCs w:val="96"/>
        </w:rPr>
      </w:pPr>
    </w:p>
    <w:p w14:paraId="22B35B38">
      <w:pPr>
        <w:widowControl/>
        <w:spacing w:line="1200" w:lineRule="exact"/>
        <w:jc w:val="center"/>
        <w:rPr>
          <w:rFonts w:ascii="黑体" w:hAnsi="宋体" w:eastAsia="黑体"/>
          <w:color w:val="000000"/>
          <w:sz w:val="96"/>
          <w:szCs w:val="96"/>
        </w:rPr>
      </w:pPr>
    </w:p>
    <w:p w14:paraId="4DE5D1BF">
      <w:pPr>
        <w:widowControl/>
        <w:spacing w:line="1200" w:lineRule="exact"/>
        <w:jc w:val="center"/>
        <w:rPr>
          <w:rFonts w:ascii="黑体" w:hAnsi="宋体" w:eastAsia="黑体"/>
          <w:color w:val="000000"/>
          <w:sz w:val="72"/>
          <w:szCs w:val="72"/>
        </w:rPr>
      </w:pPr>
      <w:r>
        <w:rPr>
          <w:rFonts w:hint="eastAsia" w:ascii="黑体" w:hAnsi="宋体" w:eastAsia="黑体"/>
          <w:color w:val="000000"/>
          <w:sz w:val="72"/>
          <w:szCs w:val="72"/>
        </w:rPr>
        <w:t>第三部分</w:t>
      </w:r>
    </w:p>
    <w:p w14:paraId="27E0CCC1">
      <w:pPr>
        <w:widowControl/>
        <w:spacing w:line="1200" w:lineRule="exact"/>
        <w:jc w:val="center"/>
        <w:rPr>
          <w:color w:val="000000"/>
          <w:sz w:val="72"/>
          <w:szCs w:val="72"/>
        </w:rPr>
      </w:pPr>
      <w:r>
        <w:rPr>
          <w:rFonts w:hint="eastAsia" w:ascii="黑体" w:hAnsi="宋体" w:eastAsia="黑体"/>
          <w:color w:val="000000"/>
          <w:sz w:val="72"/>
          <w:szCs w:val="72"/>
        </w:rPr>
        <w:t>部门决算情况说明</w:t>
      </w:r>
    </w:p>
    <w:p w14:paraId="3563EB1D">
      <w:pPr>
        <w:rPr>
          <w:rFonts w:ascii="宋体" w:cs="ArialUnicodeMS"/>
          <w:color w:val="000000"/>
          <w:kern w:val="0"/>
        </w:rPr>
        <w:sectPr>
          <w:pgSz w:w="11906" w:h="16838"/>
          <w:pgMar w:top="2098" w:right="1474" w:bottom="1984" w:left="1588" w:header="851" w:footer="992" w:gutter="0"/>
          <w:cols w:space="0" w:num="1"/>
          <w:docGrid w:type="lines" w:linePitch="312" w:charSpace="0"/>
        </w:sectPr>
      </w:pPr>
    </w:p>
    <w:p w14:paraId="02735ED5">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14:paraId="3DEE4C02">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年度收支总计（含结转和结余）</w:t>
      </w:r>
      <w:r>
        <w:rPr>
          <w:rFonts w:ascii="仿宋_GB2312" w:eastAsia="黑体" w:cs="DengXian-Regular"/>
          <w:sz w:val="32"/>
          <w:szCs w:val="32"/>
        </w:rPr>
        <w:t>535.34</w:t>
      </w:r>
      <w:r>
        <w:rPr>
          <w:rFonts w:hint="eastAsia" w:ascii="仿宋_GB2312" w:eastAsia="仿宋_GB2312" w:cs="DengXian-Regular"/>
          <w:sz w:val="32"/>
          <w:szCs w:val="32"/>
        </w:rPr>
        <w:t>万元，与</w:t>
      </w:r>
      <w:r>
        <w:rPr>
          <w:rFonts w:ascii="仿宋_GB2312" w:eastAsia="仿宋_GB2312" w:cs="DengXian-Regular"/>
          <w:sz w:val="32"/>
          <w:szCs w:val="32"/>
        </w:rPr>
        <w:t>2017</w:t>
      </w:r>
      <w:r>
        <w:rPr>
          <w:rFonts w:hint="eastAsia" w:ascii="仿宋_GB2312" w:eastAsia="仿宋_GB2312" w:cs="DengXian-Regular"/>
          <w:sz w:val="32"/>
          <w:szCs w:val="32"/>
        </w:rPr>
        <w:t>年度决算相比，收支各增加</w:t>
      </w:r>
      <w:r>
        <w:rPr>
          <w:rFonts w:ascii="仿宋_GB2312" w:eastAsia="仿宋_GB2312" w:cs="DengXian-Regular"/>
          <w:sz w:val="32"/>
          <w:szCs w:val="32"/>
        </w:rPr>
        <w:t>1</w:t>
      </w:r>
      <w:r>
        <w:rPr>
          <w:rFonts w:ascii="仿宋_GB2312" w:eastAsia="黑体" w:cs="DengXian-Regular"/>
          <w:sz w:val="32"/>
          <w:szCs w:val="32"/>
        </w:rPr>
        <w:t>59.89</w:t>
      </w:r>
      <w:r>
        <w:rPr>
          <w:rFonts w:hint="eastAsia" w:ascii="仿宋_GB2312" w:eastAsia="仿宋_GB2312" w:cs="DengXian-Regular"/>
          <w:sz w:val="32"/>
          <w:szCs w:val="32"/>
        </w:rPr>
        <w:t>万元，增长</w:t>
      </w:r>
      <w:r>
        <w:rPr>
          <w:rFonts w:ascii="仿宋_GB2312" w:eastAsia="黑体" w:cs="DengXian-Regular"/>
          <w:sz w:val="32"/>
          <w:szCs w:val="32"/>
        </w:rPr>
        <w:t>42.6</w:t>
      </w:r>
      <w:r>
        <w:rPr>
          <w:rFonts w:ascii="仿宋_GB2312" w:eastAsia="仿宋_GB2312" w:cs="DengXian-Regular"/>
          <w:sz w:val="32"/>
          <w:szCs w:val="32"/>
        </w:rPr>
        <w:t>%</w:t>
      </w:r>
      <w:r>
        <w:rPr>
          <w:rFonts w:hint="eastAsia" w:ascii="仿宋_GB2312" w:eastAsia="仿宋_GB2312" w:cs="DengXian-Regular"/>
          <w:sz w:val="32"/>
          <w:szCs w:val="32"/>
        </w:rPr>
        <w:t>，主要原因是增加人员经费拨款。</w:t>
      </w:r>
    </w:p>
    <w:p w14:paraId="151266FD">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14:paraId="434B0AB1">
      <w:pPr>
        <w:adjustRightInd w:val="0"/>
        <w:snapToGrid w:val="0"/>
        <w:spacing w:after="0" w:line="580" w:lineRule="exact"/>
        <w:ind w:firstLine="640" w:firstLineChars="200"/>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年度本年收入合计</w:t>
      </w:r>
      <w:r>
        <w:rPr>
          <w:rFonts w:ascii="仿宋_GB2312" w:eastAsia="仿宋_GB2312" w:cs="DengXian-Regular"/>
          <w:sz w:val="32"/>
          <w:szCs w:val="32"/>
        </w:rPr>
        <w:t>529.78</w:t>
      </w:r>
      <w:r>
        <w:rPr>
          <w:rFonts w:hint="eastAsia" w:ascii="仿宋_GB2312" w:eastAsia="仿宋_GB2312" w:cs="DengXian-Regular"/>
          <w:sz w:val="32"/>
          <w:szCs w:val="32"/>
        </w:rPr>
        <w:t>万元，其中：财政拨款收入</w:t>
      </w:r>
      <w:r>
        <w:rPr>
          <w:rFonts w:ascii="仿宋_GB2312" w:eastAsia="仿宋_GB2312" w:cs="DengXian-Regular"/>
          <w:sz w:val="32"/>
          <w:szCs w:val="32"/>
        </w:rPr>
        <w:t>480.66</w:t>
      </w:r>
      <w:r>
        <w:rPr>
          <w:rFonts w:hint="eastAsia" w:ascii="仿宋_GB2312" w:eastAsia="仿宋_GB2312" w:cs="DengXian-Regular"/>
          <w:sz w:val="32"/>
          <w:szCs w:val="32"/>
        </w:rPr>
        <w:t>万元，占</w:t>
      </w:r>
      <w:r>
        <w:rPr>
          <w:rFonts w:ascii="仿宋_GB2312" w:eastAsia="仿宋_GB2312" w:cs="DengXian-Regular"/>
          <w:sz w:val="32"/>
          <w:szCs w:val="32"/>
        </w:rPr>
        <w:t>90.7%</w:t>
      </w:r>
      <w:r>
        <w:rPr>
          <w:rFonts w:hint="eastAsia" w:ascii="仿宋_GB2312" w:eastAsia="仿宋_GB2312" w:cs="DengXian-Regular"/>
          <w:sz w:val="32"/>
          <w:szCs w:val="32"/>
        </w:rPr>
        <w:t>；事业收入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；其他收入</w:t>
      </w:r>
      <w:r>
        <w:rPr>
          <w:rFonts w:ascii="仿宋_GB2312" w:eastAsia="仿宋_GB2312" w:cs="DengXian-Regular"/>
          <w:sz w:val="32"/>
          <w:szCs w:val="32"/>
        </w:rPr>
        <w:t>49.12</w:t>
      </w:r>
      <w:r>
        <w:rPr>
          <w:rFonts w:hint="eastAsia" w:ascii="仿宋_GB2312" w:eastAsia="仿宋_GB2312" w:cs="DengXian-Regular"/>
          <w:sz w:val="32"/>
          <w:szCs w:val="32"/>
        </w:rPr>
        <w:t>万元，占</w:t>
      </w:r>
      <w:r>
        <w:rPr>
          <w:rFonts w:ascii="仿宋_GB2312" w:eastAsia="仿宋_GB2312" w:cs="DengXian-Regular"/>
          <w:sz w:val="32"/>
          <w:szCs w:val="32"/>
        </w:rPr>
        <w:t>9.3%</w:t>
      </w:r>
      <w:r>
        <w:rPr>
          <w:rFonts w:hint="eastAsia" w:ascii="仿宋_GB2312" w:eastAsia="仿宋_GB2312" w:cs="DengXian-Regular"/>
          <w:sz w:val="32"/>
          <w:szCs w:val="32"/>
        </w:rPr>
        <w:t>。</w:t>
      </w:r>
    </w:p>
    <w:p w14:paraId="47146719">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14:paraId="7282FB9C">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年度本年支出合计</w:t>
      </w:r>
      <w:r>
        <w:rPr>
          <w:rFonts w:ascii="仿宋_GB2312" w:eastAsia="仿宋_GB2312" w:cs="DengXian-Regular"/>
          <w:sz w:val="32"/>
          <w:szCs w:val="32"/>
        </w:rPr>
        <w:t>528.25</w:t>
      </w:r>
      <w:r>
        <w:rPr>
          <w:rFonts w:hint="eastAsia" w:ascii="仿宋_GB2312" w:eastAsia="仿宋_GB2312" w:cs="DengXian-Regular"/>
          <w:sz w:val="32"/>
          <w:szCs w:val="32"/>
        </w:rPr>
        <w:t>万元，其中：基本支出</w:t>
      </w:r>
      <w:r>
        <w:rPr>
          <w:rFonts w:ascii="仿宋_GB2312" w:eastAsia="仿宋_GB2312" w:cs="DengXian-Regular"/>
          <w:sz w:val="32"/>
          <w:szCs w:val="32"/>
        </w:rPr>
        <w:t>504.56</w:t>
      </w:r>
      <w:r>
        <w:rPr>
          <w:rFonts w:hint="eastAsia" w:ascii="仿宋_GB2312" w:eastAsia="仿宋_GB2312" w:cs="DengXian-Regular"/>
          <w:sz w:val="32"/>
          <w:szCs w:val="32"/>
        </w:rPr>
        <w:t>万元，占</w:t>
      </w:r>
      <w:r>
        <w:rPr>
          <w:rFonts w:ascii="仿宋_GB2312" w:eastAsia="仿宋_GB2312" w:cs="DengXian-Regular"/>
          <w:sz w:val="32"/>
          <w:szCs w:val="32"/>
        </w:rPr>
        <w:t>95.5%</w:t>
      </w:r>
      <w:r>
        <w:rPr>
          <w:rFonts w:hint="eastAsia" w:ascii="仿宋_GB2312" w:eastAsia="仿宋_GB2312" w:cs="DengXian-Regular"/>
          <w:sz w:val="32"/>
          <w:szCs w:val="32"/>
        </w:rPr>
        <w:t>；项目支出</w:t>
      </w:r>
      <w:r>
        <w:rPr>
          <w:rFonts w:ascii="仿宋_GB2312" w:eastAsia="仿宋_GB2312" w:cs="DengXian-Regular"/>
          <w:sz w:val="32"/>
          <w:szCs w:val="32"/>
        </w:rPr>
        <w:t>23.69</w:t>
      </w:r>
      <w:r>
        <w:rPr>
          <w:rFonts w:hint="eastAsia" w:ascii="仿宋_GB2312" w:eastAsia="仿宋_GB2312" w:cs="DengXian-Regular"/>
          <w:sz w:val="32"/>
          <w:szCs w:val="32"/>
        </w:rPr>
        <w:t>万元，占</w:t>
      </w:r>
      <w:r>
        <w:rPr>
          <w:rFonts w:ascii="仿宋_GB2312" w:eastAsia="仿宋_GB2312" w:cs="DengXian-Regular"/>
          <w:sz w:val="32"/>
          <w:szCs w:val="32"/>
        </w:rPr>
        <w:t>4.5%</w:t>
      </w:r>
      <w:r>
        <w:rPr>
          <w:rFonts w:hint="eastAsia" w:ascii="仿宋_GB2312" w:eastAsia="仿宋_GB2312" w:cs="DengXian-Regular"/>
          <w:sz w:val="32"/>
          <w:szCs w:val="32"/>
        </w:rPr>
        <w:t>；经营支出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14:paraId="57EBC32A">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拨款收入支出决算情况说明</w:t>
      </w:r>
    </w:p>
    <w:p w14:paraId="43524802">
      <w:pPr>
        <w:spacing w:after="0" w:line="580" w:lineRule="exact"/>
        <w:ind w:firstLine="640" w:firstLineChars="200"/>
        <w:rPr>
          <w:rFonts w:ascii="黑体" w:hAnsi="Calibri" w:eastAsia="黑体"/>
          <w:sz w:val="32"/>
          <w:szCs w:val="32"/>
        </w:rPr>
      </w:pPr>
      <w:r>
        <w:rPr>
          <w:rFonts w:hint="eastAsia" w:ascii="黑体" w:hAnsi="Calibri" w:eastAsia="黑体"/>
          <w:sz w:val="32"/>
          <w:szCs w:val="32"/>
        </w:rPr>
        <w:t>（一）财政拨款收支与</w:t>
      </w:r>
      <w:r>
        <w:rPr>
          <w:rFonts w:ascii="黑体" w:hAnsi="Calibri" w:eastAsia="黑体"/>
          <w:sz w:val="32"/>
          <w:szCs w:val="32"/>
        </w:rPr>
        <w:t xml:space="preserve">2017 </w:t>
      </w:r>
      <w:r>
        <w:rPr>
          <w:rFonts w:hint="eastAsia" w:ascii="黑体" w:hAnsi="Calibri" w:eastAsia="黑体"/>
          <w:sz w:val="32"/>
          <w:szCs w:val="32"/>
        </w:rPr>
        <w:t>年度决算对比情况</w:t>
      </w:r>
    </w:p>
    <w:p w14:paraId="3D52C9CC">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年度形成的财政拨款收支均为一般公共预算财政拨款，其中一般公共预算财政拨款本年收入</w:t>
      </w:r>
      <w:r>
        <w:rPr>
          <w:rFonts w:ascii="仿宋_GB2312" w:eastAsia="仿宋_GB2312" w:cs="DengXian-Regular"/>
          <w:sz w:val="32"/>
          <w:szCs w:val="32"/>
        </w:rPr>
        <w:t>480.66</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2017</w:t>
      </w:r>
      <w:r>
        <w:rPr>
          <w:rFonts w:hint="eastAsia" w:ascii="仿宋_GB2312" w:eastAsia="仿宋_GB2312" w:cs="DengXian-Regular"/>
          <w:sz w:val="32"/>
          <w:szCs w:val="32"/>
        </w:rPr>
        <w:t>年度增加</w:t>
      </w:r>
      <w:r>
        <w:rPr>
          <w:rFonts w:ascii="仿宋_GB2312" w:eastAsia="仿宋_GB2312" w:cs="DengXian-Regular"/>
          <w:sz w:val="32"/>
          <w:szCs w:val="32"/>
        </w:rPr>
        <w:t>123.19</w:t>
      </w:r>
      <w:r>
        <w:rPr>
          <w:rFonts w:hint="eastAsia" w:ascii="仿宋_GB2312" w:eastAsia="仿宋_GB2312" w:cs="DengXian-Regular"/>
          <w:sz w:val="32"/>
          <w:szCs w:val="32"/>
        </w:rPr>
        <w:t>万元，增长</w:t>
      </w:r>
      <w:r>
        <w:rPr>
          <w:rFonts w:ascii="仿宋_GB2312" w:eastAsia="仿宋_GB2312" w:cs="DengXian-Regular"/>
          <w:sz w:val="32"/>
          <w:szCs w:val="32"/>
        </w:rPr>
        <w:t>34.5%</w:t>
      </w:r>
      <w:r>
        <w:rPr>
          <w:rFonts w:hint="eastAsia" w:ascii="仿宋_GB2312" w:eastAsia="仿宋_GB2312" w:cs="DengXian-Regular"/>
          <w:sz w:val="32"/>
          <w:szCs w:val="32"/>
        </w:rPr>
        <w:t>，主要原因是增加人员经费拨款；本年支出</w:t>
      </w:r>
      <w:r>
        <w:rPr>
          <w:rFonts w:ascii="仿宋_GB2312" w:eastAsia="仿宋_GB2312" w:cs="DengXian-Regular"/>
          <w:sz w:val="32"/>
          <w:szCs w:val="32"/>
        </w:rPr>
        <w:t>479.13</w:t>
      </w:r>
      <w:r>
        <w:rPr>
          <w:rFonts w:hint="eastAsia" w:ascii="仿宋_GB2312" w:eastAsia="仿宋_GB2312" w:cs="DengXian-Regular"/>
          <w:sz w:val="32"/>
          <w:szCs w:val="32"/>
        </w:rPr>
        <w:t>万元，增加</w:t>
      </w:r>
      <w:r>
        <w:rPr>
          <w:rFonts w:ascii="仿宋_GB2312" w:eastAsia="仿宋_GB2312" w:cs="DengXian-Regular"/>
          <w:sz w:val="32"/>
          <w:szCs w:val="32"/>
        </w:rPr>
        <w:t>140.89</w:t>
      </w:r>
      <w:r>
        <w:rPr>
          <w:rFonts w:hint="eastAsia" w:ascii="仿宋_GB2312" w:eastAsia="仿宋_GB2312" w:cs="DengXian-Regular"/>
          <w:sz w:val="32"/>
          <w:szCs w:val="32"/>
        </w:rPr>
        <w:t>万元，增长</w:t>
      </w:r>
      <w:r>
        <w:rPr>
          <w:rFonts w:ascii="仿宋_GB2312" w:eastAsia="仿宋_GB2312" w:cs="DengXian-Regular"/>
          <w:sz w:val="32"/>
          <w:szCs w:val="32"/>
        </w:rPr>
        <w:t>41.7%</w:t>
      </w:r>
      <w:r>
        <w:rPr>
          <w:rFonts w:hint="eastAsia" w:ascii="仿宋_GB2312" w:eastAsia="仿宋_GB2312" w:cs="DengXian-Regular"/>
          <w:sz w:val="32"/>
          <w:szCs w:val="32"/>
        </w:rPr>
        <w:t>，主要原因是在职及退休人员调整工资福利待遇标准，增加人员经费支出。</w:t>
      </w:r>
    </w:p>
    <w:p w14:paraId="7E1C74D1">
      <w:pPr>
        <w:spacing w:after="0" w:line="580" w:lineRule="exact"/>
        <w:ind w:firstLine="643" w:firstLineChars="200"/>
        <w:rPr>
          <w:rFonts w:ascii="黑体" w:eastAsia="黑体" w:cs="DengXian-Bold"/>
          <w:b/>
          <w:bCs/>
          <w:sz w:val="32"/>
          <w:szCs w:val="32"/>
        </w:rPr>
      </w:pPr>
      <w:r>
        <w:rPr>
          <w:rFonts w:hint="eastAsia" w:ascii="黑体" w:eastAsia="黑体" w:cs="DengXian-Bold"/>
          <w:b/>
          <w:bCs/>
          <w:sz w:val="32"/>
          <w:szCs w:val="32"/>
        </w:rPr>
        <w:t>（二）财政拨款收支与年初预算数对比情况</w:t>
      </w:r>
    </w:p>
    <w:p w14:paraId="300860B8">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年度一般公共预算财政拨款收入</w:t>
      </w:r>
      <w:r>
        <w:rPr>
          <w:rFonts w:ascii="仿宋_GB2312" w:eastAsia="仿宋_GB2312" w:cs="DengXian-Regular"/>
          <w:sz w:val="32"/>
          <w:szCs w:val="32"/>
        </w:rPr>
        <w:t>480.66</w:t>
      </w:r>
      <w:r>
        <w:rPr>
          <w:rFonts w:hint="eastAsia" w:ascii="仿宋_GB2312" w:eastAsia="仿宋_GB2312" w:cs="DengXian-Regular"/>
          <w:sz w:val="32"/>
          <w:szCs w:val="32"/>
        </w:rPr>
        <w:t>万元，完成年初预算的</w:t>
      </w:r>
      <w:r>
        <w:rPr>
          <w:rFonts w:ascii="仿宋_GB2312" w:eastAsia="仿宋_GB2312" w:cs="DengXian-Regular"/>
          <w:sz w:val="32"/>
          <w:szCs w:val="32"/>
        </w:rPr>
        <w:t>113.8%,</w:t>
      </w:r>
      <w:r>
        <w:rPr>
          <w:rFonts w:hint="eastAsia" w:ascii="仿宋_GB2312" w:eastAsia="仿宋_GB2312" w:cs="DengXian-Regular"/>
          <w:sz w:val="32"/>
          <w:szCs w:val="32"/>
        </w:rPr>
        <w:t>比年初预算增加</w:t>
      </w:r>
      <w:r>
        <w:rPr>
          <w:rFonts w:ascii="仿宋_GB2312" w:eastAsia="仿宋_GB2312" w:cs="DengXian-Regular"/>
          <w:sz w:val="32"/>
          <w:szCs w:val="32"/>
        </w:rPr>
        <w:t>58.20</w:t>
      </w:r>
      <w:r>
        <w:rPr>
          <w:rFonts w:hint="eastAsia" w:ascii="仿宋_GB2312" w:eastAsia="仿宋_GB2312" w:cs="DengXian-Regular"/>
          <w:sz w:val="32"/>
          <w:szCs w:val="32"/>
        </w:rPr>
        <w:t>万元，决算数大于预算数，主要原因是人员调高工资福利待遇；本年支出</w:t>
      </w:r>
      <w:r>
        <w:rPr>
          <w:rFonts w:ascii="仿宋_GB2312" w:eastAsia="仿宋_GB2312" w:cs="DengXian-Regular"/>
          <w:sz w:val="32"/>
          <w:szCs w:val="32"/>
        </w:rPr>
        <w:t>479.13</w:t>
      </w:r>
      <w:r>
        <w:rPr>
          <w:rFonts w:hint="eastAsia" w:ascii="仿宋_GB2312" w:eastAsia="仿宋_GB2312" w:cs="DengXian-Regular"/>
          <w:sz w:val="32"/>
          <w:szCs w:val="32"/>
        </w:rPr>
        <w:t>万元，完成年初预算的</w:t>
      </w:r>
      <w:r>
        <w:rPr>
          <w:rFonts w:ascii="仿宋_GB2312" w:eastAsia="仿宋_GB2312" w:cs="DengXian-Regular"/>
          <w:sz w:val="32"/>
          <w:szCs w:val="32"/>
        </w:rPr>
        <w:t>113.4%,</w:t>
      </w:r>
      <w:r>
        <w:rPr>
          <w:rFonts w:hint="eastAsia" w:ascii="仿宋_GB2312" w:eastAsia="仿宋_GB2312" w:cs="DengXian-Regular"/>
          <w:sz w:val="32"/>
          <w:szCs w:val="32"/>
        </w:rPr>
        <w:t>比年初预算增加</w:t>
      </w:r>
      <w:r>
        <w:rPr>
          <w:rFonts w:ascii="仿宋_GB2312" w:eastAsia="仿宋_GB2312" w:cs="DengXian-Regular"/>
          <w:sz w:val="32"/>
          <w:szCs w:val="32"/>
        </w:rPr>
        <w:t>56.67</w:t>
      </w:r>
      <w:r>
        <w:rPr>
          <w:rFonts w:hint="eastAsia" w:ascii="仿宋_GB2312" w:eastAsia="仿宋_GB2312" w:cs="DengXian-Regular"/>
          <w:sz w:val="32"/>
          <w:szCs w:val="32"/>
        </w:rPr>
        <w:t>万元，决算数大于预算数，主要原因是人员工资调整工资和补缴养老保险。</w:t>
      </w:r>
    </w:p>
    <w:p w14:paraId="57A74358">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14:paraId="678AF53D">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年度财政拨款支出</w:t>
      </w:r>
      <w:r>
        <w:rPr>
          <w:rFonts w:ascii="仿宋_GB2312" w:eastAsia="仿宋_GB2312" w:cs="DengXian-Regular"/>
          <w:sz w:val="32"/>
          <w:szCs w:val="32"/>
        </w:rPr>
        <w:t>479.13</w:t>
      </w:r>
      <w:r>
        <w:rPr>
          <w:rFonts w:hint="eastAsia" w:ascii="仿宋_GB2312" w:eastAsia="仿宋_GB2312" w:cs="DengXian-Regular"/>
          <w:sz w:val="32"/>
          <w:szCs w:val="32"/>
        </w:rPr>
        <w:t>万元，主要用于以下方面：一般公共服务（类）支出</w:t>
      </w:r>
      <w:r>
        <w:rPr>
          <w:rFonts w:ascii="仿宋_GB2312" w:eastAsia="仿宋_GB2312" w:cs="DengXian-Regular"/>
          <w:sz w:val="32"/>
          <w:szCs w:val="32"/>
        </w:rPr>
        <w:t>341.95</w:t>
      </w:r>
      <w:r>
        <w:rPr>
          <w:rFonts w:hint="eastAsia" w:ascii="仿宋_GB2312" w:eastAsia="仿宋_GB2312" w:cs="DengXian-Regular"/>
          <w:sz w:val="32"/>
          <w:szCs w:val="32"/>
        </w:rPr>
        <w:t>万元，占</w:t>
      </w:r>
      <w:r>
        <w:rPr>
          <w:rFonts w:ascii="仿宋_GB2312" w:eastAsia="仿宋_GB2312" w:cs="DengXian-Regular"/>
          <w:sz w:val="32"/>
          <w:szCs w:val="32"/>
        </w:rPr>
        <w:t>71.4%</w:t>
      </w:r>
      <w:r>
        <w:rPr>
          <w:rFonts w:hint="eastAsia" w:ascii="仿宋_GB2312" w:eastAsia="仿宋_GB2312" w:cs="DengXian-Regular"/>
          <w:sz w:val="32"/>
          <w:szCs w:val="32"/>
        </w:rPr>
        <w:t>；社会保障和就业（类）支出</w:t>
      </w:r>
      <w:r>
        <w:rPr>
          <w:rFonts w:ascii="仿宋_GB2312" w:eastAsia="仿宋_GB2312" w:cs="DengXian-Regular"/>
          <w:sz w:val="32"/>
          <w:szCs w:val="32"/>
        </w:rPr>
        <w:t xml:space="preserve"> 106.14</w:t>
      </w:r>
      <w:r>
        <w:rPr>
          <w:rFonts w:hint="eastAsia" w:ascii="仿宋_GB2312" w:eastAsia="仿宋_GB2312" w:cs="DengXian-Regular"/>
          <w:sz w:val="32"/>
          <w:szCs w:val="32"/>
        </w:rPr>
        <w:t>万元，占</w:t>
      </w:r>
      <w:r>
        <w:rPr>
          <w:rFonts w:ascii="仿宋_GB2312" w:eastAsia="仿宋_GB2312" w:cs="DengXian-Regular"/>
          <w:sz w:val="32"/>
          <w:szCs w:val="32"/>
        </w:rPr>
        <w:t>22.1%</w:t>
      </w:r>
      <w:r>
        <w:rPr>
          <w:rFonts w:hint="eastAsia" w:ascii="仿宋_GB2312" w:eastAsia="仿宋_GB2312" w:cs="DengXian-Regular"/>
          <w:sz w:val="32"/>
          <w:szCs w:val="32"/>
        </w:rPr>
        <w:t>；医疗卫生与计划生育支出</w:t>
      </w:r>
      <w:r>
        <w:rPr>
          <w:rFonts w:ascii="仿宋_GB2312" w:eastAsia="仿宋_GB2312" w:cs="DengXian-Regular"/>
          <w:sz w:val="32"/>
          <w:szCs w:val="32"/>
        </w:rPr>
        <w:t>11.57</w:t>
      </w:r>
      <w:r>
        <w:rPr>
          <w:rFonts w:hint="eastAsia" w:ascii="仿宋_GB2312" w:eastAsia="仿宋_GB2312" w:cs="DengXian-Regular"/>
          <w:sz w:val="32"/>
          <w:szCs w:val="32"/>
        </w:rPr>
        <w:t>万元，占</w:t>
      </w:r>
      <w:r>
        <w:rPr>
          <w:rFonts w:ascii="仿宋_GB2312" w:eastAsia="仿宋_GB2312" w:cs="DengXian-Regular"/>
          <w:sz w:val="32"/>
          <w:szCs w:val="32"/>
        </w:rPr>
        <w:t>2.4%</w:t>
      </w:r>
      <w:r>
        <w:rPr>
          <w:rFonts w:hint="eastAsia" w:ascii="仿宋_GB2312" w:eastAsia="仿宋_GB2312" w:cs="DengXian-Regular"/>
          <w:sz w:val="32"/>
          <w:szCs w:val="32"/>
        </w:rPr>
        <w:t>；住房保障（类）支出</w:t>
      </w:r>
      <w:r>
        <w:rPr>
          <w:rFonts w:ascii="仿宋_GB2312" w:eastAsia="仿宋_GB2312" w:cs="DengXian-Regular"/>
          <w:sz w:val="32"/>
          <w:szCs w:val="32"/>
        </w:rPr>
        <w:t>19.46</w:t>
      </w:r>
      <w:r>
        <w:rPr>
          <w:rFonts w:hint="eastAsia" w:ascii="仿宋_GB2312" w:eastAsia="仿宋_GB2312" w:cs="DengXian-Regular"/>
          <w:sz w:val="32"/>
          <w:szCs w:val="32"/>
        </w:rPr>
        <w:t>万元，占</w:t>
      </w:r>
      <w:r>
        <w:rPr>
          <w:rFonts w:ascii="仿宋_GB2312" w:eastAsia="仿宋_GB2312" w:cs="DengXian-Regular"/>
          <w:sz w:val="32"/>
          <w:szCs w:val="32"/>
        </w:rPr>
        <w:t>4.1%</w:t>
      </w:r>
      <w:r>
        <w:rPr>
          <w:rFonts w:hint="eastAsia" w:ascii="仿宋_GB2312" w:eastAsia="仿宋_GB2312" w:cs="DengXian-Regular"/>
          <w:sz w:val="32"/>
          <w:szCs w:val="32"/>
        </w:rPr>
        <w:t>。</w:t>
      </w:r>
    </w:p>
    <w:p w14:paraId="2C3B8998">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14:paraId="023C95E7">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 xml:space="preserve">2018 </w:t>
      </w:r>
      <w:r>
        <w:rPr>
          <w:rFonts w:hint="eastAsia" w:ascii="仿宋_GB2312" w:eastAsia="仿宋_GB2312" w:cs="DengXian-Regular"/>
          <w:sz w:val="32"/>
          <w:szCs w:val="32"/>
        </w:rPr>
        <w:t>年度一般公共预算财政拨款基本支出</w:t>
      </w:r>
      <w:r>
        <w:rPr>
          <w:rFonts w:ascii="仿宋_GB2312" w:eastAsia="仿宋_GB2312" w:cs="DengXian-Regular"/>
          <w:sz w:val="32"/>
          <w:szCs w:val="32"/>
        </w:rPr>
        <w:t>455.44</w:t>
      </w:r>
      <w:r>
        <w:rPr>
          <w:rFonts w:hint="eastAsia" w:ascii="仿宋_GB2312" w:eastAsia="仿宋_GB2312" w:cs="DengXian-Regular"/>
          <w:sz w:val="32"/>
          <w:szCs w:val="32"/>
        </w:rPr>
        <w:t>万元，其中：人员经费</w:t>
      </w:r>
      <w:r>
        <w:rPr>
          <w:rFonts w:ascii="仿宋_GB2312" w:eastAsia="仿宋_GB2312" w:cs="DengXian-Regular"/>
          <w:sz w:val="32"/>
          <w:szCs w:val="32"/>
        </w:rPr>
        <w:t>427.27</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28.17</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5A96BD11">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w:t>
      </w:r>
      <w:r>
        <w:rPr>
          <w:rFonts w:ascii="黑体" w:eastAsia="黑体"/>
          <w:b w:val="0"/>
          <w:bCs w:val="0"/>
        </w:rPr>
        <w:t xml:space="preserve"> </w:t>
      </w:r>
      <w:r>
        <w:rPr>
          <w:rFonts w:hint="eastAsia" w:ascii="黑体" w:eastAsia="黑体"/>
          <w:b w:val="0"/>
          <w:bCs w:val="0"/>
        </w:rPr>
        <w:t>经费支出决算情况说明</w:t>
      </w:r>
    </w:p>
    <w:p w14:paraId="2D2CF488">
      <w:pPr>
        <w:adjustRightInd w:val="0"/>
        <w:snapToGrid w:val="0"/>
        <w:spacing w:line="584" w:lineRule="exact"/>
        <w:ind w:firstLine="640" w:firstLineChars="200"/>
        <w:rPr>
          <w:rFonts w:eastAsia="仿宋_GB2312"/>
          <w:sz w:val="32"/>
          <w:szCs w:val="32"/>
          <w:highlight w:val="yellow"/>
        </w:rPr>
      </w:pPr>
      <w:r>
        <w:rPr>
          <w:rFonts w:hint="eastAsia" w:eastAsia="仿宋_GB2312"/>
          <w:sz w:val="32"/>
          <w:szCs w:val="32"/>
        </w:rPr>
        <w:t>本部门</w:t>
      </w:r>
      <w:r>
        <w:rPr>
          <w:rFonts w:eastAsia="仿宋_GB2312"/>
          <w:sz w:val="32"/>
          <w:szCs w:val="32"/>
        </w:rPr>
        <w:t>2018</w:t>
      </w:r>
      <w:r>
        <w:rPr>
          <w:rFonts w:hint="eastAsia" w:eastAsia="仿宋_GB2312"/>
          <w:sz w:val="32"/>
          <w:szCs w:val="32"/>
        </w:rPr>
        <w:t>年度一般公共预算财政拨款</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经费支出共计</w:t>
      </w:r>
      <w:r>
        <w:rPr>
          <w:rFonts w:eastAsia="仿宋_GB2312"/>
          <w:sz w:val="32"/>
          <w:szCs w:val="32"/>
        </w:rPr>
        <w:t>3.76</w:t>
      </w:r>
      <w:r>
        <w:rPr>
          <w:rFonts w:hint="eastAsia" w:eastAsia="仿宋_GB2312"/>
          <w:sz w:val="32"/>
          <w:szCs w:val="32"/>
        </w:rPr>
        <w:t>万元，比年初预算减少</w:t>
      </w:r>
      <w:r>
        <w:rPr>
          <w:rFonts w:eastAsia="仿宋_GB2312"/>
          <w:sz w:val="32"/>
          <w:szCs w:val="32"/>
        </w:rPr>
        <w:t>3.14</w:t>
      </w:r>
      <w:r>
        <w:rPr>
          <w:rFonts w:hint="eastAsia" w:eastAsia="仿宋_GB2312"/>
          <w:sz w:val="32"/>
          <w:szCs w:val="32"/>
        </w:rPr>
        <w:t>万元，降低</w:t>
      </w:r>
      <w:r>
        <w:rPr>
          <w:rFonts w:eastAsia="仿宋_GB2312"/>
          <w:sz w:val="32"/>
          <w:szCs w:val="32"/>
        </w:rPr>
        <w:t>45.5%</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是加强公务车管理，提高使用效率，降低运行费用；比</w:t>
      </w:r>
      <w:r>
        <w:rPr>
          <w:rFonts w:eastAsia="仿宋_GB2312"/>
          <w:sz w:val="32"/>
          <w:szCs w:val="32"/>
        </w:rPr>
        <w:t>2017</w:t>
      </w:r>
      <w:r>
        <w:rPr>
          <w:rFonts w:hint="eastAsia" w:eastAsia="仿宋_GB2312"/>
          <w:sz w:val="32"/>
          <w:szCs w:val="32"/>
        </w:rPr>
        <w:t>年度决算增加</w:t>
      </w:r>
      <w:r>
        <w:rPr>
          <w:rFonts w:eastAsia="仿宋_GB2312"/>
          <w:sz w:val="32"/>
          <w:szCs w:val="32"/>
        </w:rPr>
        <w:t>1.54</w:t>
      </w:r>
      <w:r>
        <w:rPr>
          <w:rFonts w:hint="eastAsia" w:eastAsia="仿宋_GB2312"/>
          <w:sz w:val="32"/>
          <w:szCs w:val="32"/>
        </w:rPr>
        <w:t>万元，增长</w:t>
      </w:r>
      <w:r>
        <w:rPr>
          <w:rFonts w:eastAsia="仿宋_GB2312"/>
          <w:sz w:val="32"/>
          <w:szCs w:val="32"/>
        </w:rPr>
        <w:t>96.0%</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是三公经费统计口径调整导致。具体情况如下：</w:t>
      </w:r>
    </w:p>
    <w:p w14:paraId="2BC9B78B">
      <w:pPr>
        <w:adjustRightInd w:val="0"/>
        <w:snapToGrid w:val="0"/>
        <w:spacing w:line="584" w:lineRule="exact"/>
        <w:ind w:firstLine="643" w:firstLineChars="200"/>
        <w:rPr>
          <w:rFonts w:eastAsia="仿宋_GB2312"/>
          <w:sz w:val="32"/>
          <w:szCs w:val="32"/>
        </w:rPr>
      </w:pPr>
      <w:r>
        <w:rPr>
          <w:rFonts w:hint="eastAsia" w:eastAsia="楷体_GB2312"/>
          <w:b/>
          <w:bCs/>
          <w:sz w:val="32"/>
          <w:szCs w:val="32"/>
        </w:rPr>
        <w:t>（一）因公出国（境）费支出</w:t>
      </w:r>
      <w:r>
        <w:rPr>
          <w:rFonts w:eastAsia="楷体_GB2312"/>
          <w:b/>
          <w:bCs/>
          <w:sz w:val="32"/>
          <w:szCs w:val="32"/>
        </w:rPr>
        <w:t>0</w:t>
      </w:r>
      <w:r>
        <w:rPr>
          <w:rFonts w:hint="eastAsia"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ascii="仿宋_GB2312" w:eastAsia="仿宋_GB2312" w:cs="DengXian-Regular"/>
          <w:sz w:val="32"/>
          <w:szCs w:val="32"/>
        </w:rPr>
        <w:t>因公出国（境）团组0个、共0人/参加其他单位组织的因公出国（境）团组0个、共0人/无本单位组织的出国（境）团组。</w:t>
      </w:r>
      <w:r>
        <w:rPr>
          <w:rFonts w:eastAsia="仿宋_GB2312"/>
          <w:sz w:val="32"/>
          <w:szCs w:val="32"/>
        </w:rPr>
        <w:t>因公出国（境）费支出</w:t>
      </w:r>
      <w:r>
        <w:rPr>
          <w:rFonts w:hint="eastAsia" w:eastAsia="仿宋_GB2312"/>
          <w:sz w:val="32"/>
          <w:szCs w:val="32"/>
        </w:rPr>
        <w:t>比</w:t>
      </w:r>
      <w:r>
        <w:rPr>
          <w:rFonts w:eastAsia="仿宋_GB2312"/>
          <w:sz w:val="32"/>
          <w:szCs w:val="32"/>
        </w:rPr>
        <w:t>年初预算增加（减少）</w:t>
      </w:r>
      <w:r>
        <w:rPr>
          <w:rFonts w:hint="eastAsia" w:eastAsia="仿宋_GB2312"/>
          <w:sz w:val="32"/>
          <w:szCs w:val="32"/>
        </w:rPr>
        <w:t>0</w:t>
      </w:r>
      <w:r>
        <w:rPr>
          <w:rFonts w:eastAsia="仿宋_GB2312"/>
          <w:sz w:val="32"/>
          <w:szCs w:val="32"/>
        </w:rPr>
        <w:t>万元，</w:t>
      </w:r>
      <w:r>
        <w:rPr>
          <w:rFonts w:hint="eastAsia" w:eastAsia="仿宋_GB2312"/>
          <w:sz w:val="32"/>
          <w:szCs w:val="32"/>
        </w:rPr>
        <w:t>较年初预算无增减变化</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年度决算增加（减少）</w:t>
      </w:r>
      <w:r>
        <w:rPr>
          <w:rFonts w:hint="eastAsia" w:eastAsia="仿宋_GB2312"/>
          <w:sz w:val="32"/>
          <w:szCs w:val="32"/>
        </w:rPr>
        <w:t>0</w:t>
      </w:r>
      <w:r>
        <w:rPr>
          <w:rFonts w:eastAsia="仿宋_GB2312"/>
          <w:sz w:val="32"/>
          <w:szCs w:val="32"/>
        </w:rPr>
        <w:t>万元，</w:t>
      </w:r>
      <w:r>
        <w:rPr>
          <w:rFonts w:hint="eastAsia" w:eastAsia="仿宋_GB2312"/>
          <w:sz w:val="32"/>
          <w:szCs w:val="32"/>
        </w:rPr>
        <w:t>较</w:t>
      </w:r>
      <w:r>
        <w:rPr>
          <w:rFonts w:eastAsia="仿宋_GB2312"/>
          <w:sz w:val="32"/>
          <w:szCs w:val="32"/>
        </w:rPr>
        <w:t>2017</w:t>
      </w:r>
      <w:r>
        <w:rPr>
          <w:rFonts w:hint="eastAsia" w:eastAsia="仿宋_GB2312"/>
          <w:sz w:val="32"/>
          <w:szCs w:val="32"/>
        </w:rPr>
        <w:t>年度决算无增减变化。</w:t>
      </w:r>
    </w:p>
    <w:p w14:paraId="07CF4161">
      <w:pPr>
        <w:adjustRightInd w:val="0"/>
        <w:snapToGrid w:val="0"/>
        <w:spacing w:line="584" w:lineRule="exact"/>
        <w:ind w:firstLine="643" w:firstLineChars="200"/>
        <w:rPr>
          <w:rFonts w:eastAsia="仿宋_GB2312"/>
          <w:b/>
          <w:bCs/>
          <w:sz w:val="32"/>
          <w:szCs w:val="32"/>
        </w:rPr>
      </w:pPr>
      <w:r>
        <w:rPr>
          <w:rFonts w:hint="eastAsia" w:eastAsia="楷体_GB2312"/>
          <w:b/>
          <w:bCs/>
          <w:sz w:val="32"/>
          <w:szCs w:val="32"/>
        </w:rPr>
        <w:t>（二）公务用车购置及运行维护费支出</w:t>
      </w:r>
      <w:r>
        <w:rPr>
          <w:rFonts w:eastAsia="楷体_GB2312"/>
          <w:b/>
          <w:bCs/>
          <w:sz w:val="32"/>
          <w:szCs w:val="32"/>
        </w:rPr>
        <w:t>3.76</w:t>
      </w:r>
      <w:r>
        <w:rPr>
          <w:rFonts w:hint="eastAsia" w:eastAsia="楷体_GB2312"/>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年度公务用车购置及运行维护费比年初预算</w:t>
      </w:r>
      <w:r>
        <w:rPr>
          <w:rFonts w:hint="eastAsia" w:eastAsia="仿宋_GB2312"/>
          <w:sz w:val="32"/>
          <w:szCs w:val="32"/>
        </w:rPr>
        <w:t>减少</w:t>
      </w:r>
      <w:r>
        <w:rPr>
          <w:rFonts w:eastAsia="仿宋_GB2312"/>
          <w:sz w:val="32"/>
          <w:szCs w:val="32"/>
        </w:rPr>
        <w:t>3.14</w:t>
      </w:r>
      <w:r>
        <w:rPr>
          <w:rFonts w:hint="eastAsia" w:eastAsia="仿宋_GB2312"/>
          <w:sz w:val="32"/>
          <w:szCs w:val="32"/>
        </w:rPr>
        <w:t>万元</w:t>
      </w:r>
      <w:r>
        <w:rPr>
          <w:rFonts w:hint="eastAsia" w:ascii="仿宋_GB2312" w:eastAsia="仿宋_GB2312" w:cs="DengXian-Regular"/>
          <w:sz w:val="32"/>
          <w:szCs w:val="32"/>
        </w:rPr>
        <w:t>，</w:t>
      </w:r>
      <w:r>
        <w:rPr>
          <w:rFonts w:hint="eastAsia" w:eastAsia="仿宋_GB2312"/>
          <w:sz w:val="32"/>
          <w:szCs w:val="32"/>
        </w:rPr>
        <w:t>降低</w:t>
      </w:r>
      <w:r>
        <w:rPr>
          <w:rFonts w:eastAsia="仿宋_GB2312"/>
          <w:sz w:val="32"/>
          <w:szCs w:val="32"/>
        </w:rPr>
        <w:t>45.5%</w:t>
      </w:r>
      <w:r>
        <w:rPr>
          <w:rFonts w:ascii="仿宋_GB2312" w:eastAsia="仿宋_GB2312" w:cs="DengXian-Regular"/>
          <w:sz w:val="32"/>
          <w:szCs w:val="32"/>
        </w:rPr>
        <w:t>,</w:t>
      </w:r>
      <w:r>
        <w:rPr>
          <w:rFonts w:hint="eastAsia" w:ascii="仿宋_GB2312" w:eastAsia="仿宋_GB2312" w:cs="DengXian-Regular"/>
          <w:sz w:val="32"/>
          <w:szCs w:val="32"/>
        </w:rPr>
        <w:t>主要原因是加强公务车管理，降低运行费用；</w:t>
      </w:r>
      <w:r>
        <w:rPr>
          <w:rFonts w:hint="eastAsia" w:eastAsia="仿宋_GB2312"/>
          <w:sz w:val="32"/>
          <w:szCs w:val="32"/>
        </w:rPr>
        <w:t>比</w:t>
      </w:r>
      <w:r>
        <w:rPr>
          <w:rFonts w:eastAsia="仿宋_GB2312"/>
          <w:sz w:val="32"/>
          <w:szCs w:val="32"/>
        </w:rPr>
        <w:t>2017</w:t>
      </w:r>
      <w:r>
        <w:rPr>
          <w:rFonts w:hint="eastAsia" w:eastAsia="仿宋_GB2312"/>
          <w:sz w:val="32"/>
          <w:szCs w:val="32"/>
        </w:rPr>
        <w:t>年度决算增加</w:t>
      </w:r>
      <w:r>
        <w:rPr>
          <w:rFonts w:eastAsia="仿宋_GB2312"/>
          <w:sz w:val="32"/>
          <w:szCs w:val="32"/>
        </w:rPr>
        <w:t>1.54</w:t>
      </w:r>
      <w:r>
        <w:rPr>
          <w:rFonts w:hint="eastAsia" w:eastAsia="仿宋_GB2312"/>
          <w:sz w:val="32"/>
          <w:szCs w:val="32"/>
        </w:rPr>
        <w:t>万元，增长</w:t>
      </w:r>
      <w:r>
        <w:rPr>
          <w:rFonts w:eastAsia="仿宋_GB2312"/>
          <w:sz w:val="32"/>
          <w:szCs w:val="32"/>
        </w:rPr>
        <w:t>96.0%</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是公务车运行维护费统计口径调整。</w:t>
      </w:r>
      <w:r>
        <w:rPr>
          <w:rFonts w:hint="eastAsia" w:eastAsia="仿宋_GB2312"/>
          <w:b/>
          <w:bCs/>
          <w:sz w:val="32"/>
          <w:szCs w:val="32"/>
        </w:rPr>
        <w:t>其中：</w:t>
      </w:r>
    </w:p>
    <w:p w14:paraId="0D024E45">
      <w:pPr>
        <w:adjustRightInd w:val="0"/>
        <w:snapToGrid w:val="0"/>
        <w:spacing w:line="584" w:lineRule="exact"/>
        <w:ind w:firstLine="643" w:firstLineChars="200"/>
        <w:rPr>
          <w:rFonts w:eastAsia="仿宋_GB2312"/>
          <w:sz w:val="32"/>
          <w:szCs w:val="32"/>
          <w:highlight w:val="yellow"/>
        </w:rPr>
      </w:pPr>
      <w:r>
        <w:rPr>
          <w:rFonts w:hint="eastAsia" w:eastAsia="仿宋_GB2312"/>
          <w:b/>
          <w:sz w:val="32"/>
          <w:szCs w:val="32"/>
        </w:rPr>
        <w:t>公务用车购置费支出</w:t>
      </w:r>
      <w:r>
        <w:rPr>
          <w:rFonts w:eastAsia="仿宋_GB2312"/>
          <w:b/>
          <w:sz w:val="32"/>
          <w:szCs w:val="32"/>
        </w:rPr>
        <w:t>0</w:t>
      </w:r>
      <w:r>
        <w:rPr>
          <w:rFonts w:hint="eastAsia" w:eastAsia="仿宋_GB2312"/>
          <w:b/>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年度公务用车购置数量</w:t>
      </w:r>
      <w:r>
        <w:rPr>
          <w:rFonts w:eastAsia="仿宋_GB2312"/>
          <w:sz w:val="32"/>
          <w:szCs w:val="32"/>
        </w:rPr>
        <w:t>0</w:t>
      </w:r>
      <w:r>
        <w:rPr>
          <w:rFonts w:hint="eastAsia" w:eastAsia="仿宋_GB2312"/>
          <w:sz w:val="32"/>
          <w:szCs w:val="32"/>
        </w:rPr>
        <w:t>辆。未发生公务用车购置</w:t>
      </w:r>
      <w:r>
        <w:rPr>
          <w:rFonts w:hint="eastAsia" w:ascii="仿宋_GB2312" w:eastAsia="仿宋_GB2312" w:cs="DengXian-Regular"/>
          <w:sz w:val="32"/>
          <w:szCs w:val="32"/>
        </w:rPr>
        <w:t>支出</w:t>
      </w:r>
      <w:r>
        <w:rPr>
          <w:rFonts w:hint="eastAsia" w:eastAsia="仿宋_GB2312"/>
          <w:sz w:val="32"/>
          <w:szCs w:val="32"/>
        </w:rPr>
        <w:t>，</w:t>
      </w:r>
      <w:r>
        <w:rPr>
          <w:rFonts w:hint="eastAsia" w:ascii="仿宋_GB2312" w:eastAsia="仿宋_GB2312" w:cs="DengXian-Regular"/>
          <w:sz w:val="32"/>
          <w:szCs w:val="32"/>
        </w:rPr>
        <w:t>较年初预算无增减变化，；</w:t>
      </w:r>
      <w:r>
        <w:rPr>
          <w:rFonts w:hint="eastAsia" w:eastAsia="仿宋_GB2312"/>
          <w:sz w:val="32"/>
          <w:szCs w:val="32"/>
        </w:rPr>
        <w:t>比</w:t>
      </w:r>
      <w:r>
        <w:rPr>
          <w:rFonts w:eastAsia="仿宋_GB2312"/>
          <w:sz w:val="32"/>
          <w:szCs w:val="32"/>
        </w:rPr>
        <w:t>2017</w:t>
      </w:r>
      <w:r>
        <w:rPr>
          <w:rFonts w:hint="eastAsia" w:eastAsia="仿宋_GB2312"/>
          <w:sz w:val="32"/>
          <w:szCs w:val="32"/>
        </w:rPr>
        <w:t>年度决算增加（减少）</w:t>
      </w:r>
      <w:r>
        <w:rPr>
          <w:rFonts w:eastAsia="仿宋_GB2312"/>
          <w:sz w:val="32"/>
          <w:szCs w:val="32"/>
        </w:rPr>
        <w:t>0</w:t>
      </w:r>
      <w:r>
        <w:rPr>
          <w:rFonts w:hint="eastAsia" w:eastAsia="仿宋_GB2312"/>
          <w:sz w:val="32"/>
          <w:szCs w:val="32"/>
        </w:rPr>
        <w:t>万元，增长（降低）</w:t>
      </w:r>
      <w:r>
        <w:rPr>
          <w:rFonts w:eastAsia="仿宋_GB2312"/>
          <w:sz w:val="32"/>
          <w:szCs w:val="32"/>
        </w:rPr>
        <w:t>0%</w:t>
      </w:r>
      <w:r>
        <w:rPr>
          <w:rFonts w:hint="eastAsia" w:eastAsia="仿宋_GB2312"/>
          <w:sz w:val="32"/>
          <w:szCs w:val="32"/>
        </w:rPr>
        <w:t>，较</w:t>
      </w:r>
      <w:r>
        <w:rPr>
          <w:rFonts w:eastAsia="仿宋_GB2312"/>
          <w:sz w:val="32"/>
          <w:szCs w:val="32"/>
        </w:rPr>
        <w:t>2017</w:t>
      </w:r>
      <w:r>
        <w:rPr>
          <w:rFonts w:hint="eastAsia" w:eastAsia="仿宋_GB2312"/>
          <w:sz w:val="32"/>
          <w:szCs w:val="32"/>
        </w:rPr>
        <w:t>年度决算无增减变化。</w:t>
      </w:r>
    </w:p>
    <w:p w14:paraId="766924A7">
      <w:pPr>
        <w:adjustRightInd w:val="0"/>
        <w:snapToGrid w:val="0"/>
        <w:spacing w:line="584" w:lineRule="exact"/>
        <w:ind w:firstLine="643" w:firstLineChars="200"/>
        <w:rPr>
          <w:rFonts w:eastAsia="仿宋_GB2312"/>
          <w:sz w:val="32"/>
          <w:szCs w:val="32"/>
          <w:highlight w:val="yellow"/>
        </w:rPr>
      </w:pPr>
      <w:r>
        <w:rPr>
          <w:rFonts w:hint="eastAsia" w:eastAsia="仿宋_GB2312"/>
          <w:b/>
          <w:sz w:val="32"/>
          <w:szCs w:val="32"/>
        </w:rPr>
        <w:t>公务用车运行维护费支出</w:t>
      </w:r>
      <w:r>
        <w:rPr>
          <w:rFonts w:eastAsia="仿宋_GB2312"/>
          <w:b/>
          <w:sz w:val="32"/>
          <w:szCs w:val="32"/>
        </w:rPr>
        <w:t>3.76</w:t>
      </w:r>
      <w:r>
        <w:rPr>
          <w:rFonts w:hint="eastAsia" w:eastAsia="仿宋_GB2312"/>
          <w:b/>
          <w:sz w:val="32"/>
          <w:szCs w:val="32"/>
        </w:rPr>
        <w:t>万元。</w:t>
      </w:r>
      <w:r>
        <w:rPr>
          <w:rFonts w:hint="eastAsia" w:eastAsia="仿宋_GB2312"/>
          <w:sz w:val="32"/>
          <w:szCs w:val="32"/>
        </w:rPr>
        <w:t>本部门</w:t>
      </w:r>
      <w:r>
        <w:rPr>
          <w:rFonts w:eastAsia="仿宋_GB2312"/>
          <w:sz w:val="32"/>
          <w:szCs w:val="32"/>
        </w:rPr>
        <w:t>2018</w:t>
      </w:r>
      <w:r>
        <w:rPr>
          <w:rFonts w:hint="eastAsia" w:eastAsia="仿宋_GB2312"/>
          <w:sz w:val="32"/>
          <w:szCs w:val="32"/>
        </w:rPr>
        <w:t>年末单位公务用车保有量</w:t>
      </w:r>
      <w:r>
        <w:rPr>
          <w:rFonts w:eastAsia="仿宋_GB2312"/>
          <w:sz w:val="32"/>
          <w:szCs w:val="32"/>
        </w:rPr>
        <w:t>3</w:t>
      </w:r>
      <w:r>
        <w:rPr>
          <w:rFonts w:hint="eastAsia" w:eastAsia="仿宋_GB2312"/>
          <w:sz w:val="32"/>
          <w:szCs w:val="32"/>
        </w:rPr>
        <w:t>辆。公车运行维护费支出比年初预算减少</w:t>
      </w:r>
      <w:r>
        <w:rPr>
          <w:rFonts w:eastAsia="仿宋_GB2312"/>
          <w:sz w:val="32"/>
          <w:szCs w:val="32"/>
        </w:rPr>
        <w:t>3.14</w:t>
      </w:r>
      <w:r>
        <w:rPr>
          <w:rFonts w:hint="eastAsia" w:eastAsia="仿宋_GB2312"/>
          <w:sz w:val="32"/>
          <w:szCs w:val="32"/>
        </w:rPr>
        <w:t>万元，降低</w:t>
      </w:r>
      <w:r>
        <w:rPr>
          <w:rFonts w:eastAsia="仿宋_GB2312"/>
          <w:sz w:val="32"/>
          <w:szCs w:val="32"/>
        </w:rPr>
        <w:t>45.5%</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是加强公务车管理降低公务车运行费用；比</w:t>
      </w:r>
      <w:r>
        <w:rPr>
          <w:rFonts w:eastAsia="仿宋_GB2312"/>
          <w:sz w:val="32"/>
          <w:szCs w:val="32"/>
        </w:rPr>
        <w:t>2017</w:t>
      </w:r>
      <w:r>
        <w:rPr>
          <w:rFonts w:hint="eastAsia" w:eastAsia="仿宋_GB2312"/>
          <w:sz w:val="32"/>
          <w:szCs w:val="32"/>
        </w:rPr>
        <w:t>年度决算增加</w:t>
      </w:r>
      <w:r>
        <w:rPr>
          <w:rFonts w:eastAsia="仿宋_GB2312"/>
          <w:sz w:val="32"/>
          <w:szCs w:val="32"/>
        </w:rPr>
        <w:t>1.54</w:t>
      </w:r>
      <w:r>
        <w:rPr>
          <w:rFonts w:hint="eastAsia" w:eastAsia="仿宋_GB2312"/>
          <w:sz w:val="32"/>
          <w:szCs w:val="32"/>
        </w:rPr>
        <w:t>万元，增长</w:t>
      </w:r>
      <w:r>
        <w:rPr>
          <w:rFonts w:eastAsia="仿宋_GB2312"/>
          <w:sz w:val="32"/>
          <w:szCs w:val="32"/>
        </w:rPr>
        <w:t>96.0%</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是公务车运行维护费统计口径调整。</w:t>
      </w:r>
    </w:p>
    <w:p w14:paraId="0732CCA0">
      <w:pPr>
        <w:adjustRightInd w:val="0"/>
        <w:snapToGrid w:val="0"/>
        <w:spacing w:line="584" w:lineRule="exact"/>
        <w:ind w:firstLine="643" w:firstLineChars="200"/>
        <w:rPr>
          <w:rFonts w:eastAsia="仿宋_GB2312"/>
          <w:sz w:val="32"/>
          <w:szCs w:val="32"/>
        </w:rPr>
      </w:pPr>
      <w:r>
        <w:rPr>
          <w:rFonts w:hint="eastAsia" w:eastAsia="楷体_GB2312"/>
          <w:b/>
          <w:bCs/>
          <w:sz w:val="32"/>
          <w:szCs w:val="32"/>
        </w:rPr>
        <w:t>（三）公务接待费支出</w:t>
      </w:r>
      <w:r>
        <w:rPr>
          <w:rFonts w:eastAsia="楷体_GB2312"/>
          <w:b/>
          <w:bCs/>
          <w:sz w:val="32"/>
          <w:szCs w:val="32"/>
        </w:rPr>
        <w:t>0</w:t>
      </w:r>
      <w:r>
        <w:rPr>
          <w:rFonts w:hint="eastAsia"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年度公务接待共</w:t>
      </w:r>
      <w:r>
        <w:rPr>
          <w:rFonts w:hint="eastAsia" w:eastAsia="仿宋_GB2312"/>
          <w:sz w:val="32"/>
          <w:szCs w:val="32"/>
        </w:rPr>
        <w:t>0</w:t>
      </w:r>
      <w:r>
        <w:rPr>
          <w:rFonts w:eastAsia="仿宋_GB2312"/>
          <w:sz w:val="32"/>
          <w:szCs w:val="32"/>
        </w:rPr>
        <w:t>批次、</w:t>
      </w:r>
      <w:r>
        <w:rPr>
          <w:rFonts w:hint="eastAsia" w:eastAsia="仿宋_GB2312"/>
          <w:sz w:val="32"/>
          <w:szCs w:val="32"/>
        </w:rPr>
        <w:t>0</w:t>
      </w:r>
      <w:r>
        <w:rPr>
          <w:rFonts w:eastAsia="仿宋_GB2312"/>
          <w:sz w:val="32"/>
          <w:szCs w:val="32"/>
        </w:rPr>
        <w:t>人次。公务接待费支出</w:t>
      </w:r>
      <w:r>
        <w:rPr>
          <w:rFonts w:hint="eastAsia" w:eastAsia="仿宋_GB2312"/>
          <w:sz w:val="32"/>
          <w:szCs w:val="32"/>
        </w:rPr>
        <w:t>比</w:t>
      </w:r>
      <w:r>
        <w:rPr>
          <w:rFonts w:eastAsia="仿宋_GB2312"/>
          <w:sz w:val="32"/>
          <w:szCs w:val="32"/>
        </w:rPr>
        <w:t>年初预算增加（减少）</w:t>
      </w:r>
      <w:r>
        <w:rPr>
          <w:rFonts w:hint="eastAsia" w:eastAsia="仿宋_GB2312"/>
          <w:sz w:val="32"/>
          <w:szCs w:val="32"/>
        </w:rPr>
        <w:t>0</w:t>
      </w:r>
      <w:r>
        <w:rPr>
          <w:rFonts w:eastAsia="仿宋_GB2312"/>
          <w:sz w:val="32"/>
          <w:szCs w:val="32"/>
        </w:rPr>
        <w:t>万元，增长（降低）</w:t>
      </w:r>
      <w:r>
        <w:rPr>
          <w:rFonts w:hint="eastAsia" w:eastAsia="仿宋_GB2312"/>
          <w:sz w:val="32"/>
          <w:szCs w:val="32"/>
        </w:rPr>
        <w:t>0</w:t>
      </w:r>
      <w:r>
        <w:rPr>
          <w:rFonts w:eastAsia="仿宋_GB2312"/>
          <w:sz w:val="32"/>
          <w:szCs w:val="32"/>
        </w:rPr>
        <w:t>%</w:t>
      </w:r>
      <w:r>
        <w:rPr>
          <w:rFonts w:hint="eastAsia" w:eastAsia="仿宋_GB2312"/>
          <w:sz w:val="32"/>
          <w:szCs w:val="32"/>
        </w:rPr>
        <w:t>，较年初预算无增减变化</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年度决算增加（减少）</w:t>
      </w:r>
      <w:r>
        <w:rPr>
          <w:rFonts w:hint="eastAsia" w:eastAsia="仿宋_GB2312"/>
          <w:sz w:val="32"/>
          <w:szCs w:val="32"/>
        </w:rPr>
        <w:t>0</w:t>
      </w:r>
      <w:r>
        <w:rPr>
          <w:rFonts w:eastAsia="仿宋_GB2312"/>
          <w:sz w:val="32"/>
          <w:szCs w:val="32"/>
        </w:rPr>
        <w:t>万元，增长（降低）</w:t>
      </w:r>
      <w:r>
        <w:rPr>
          <w:rFonts w:hint="eastAsia" w:eastAsia="仿宋_GB2312"/>
          <w:sz w:val="32"/>
          <w:szCs w:val="32"/>
        </w:rPr>
        <w:t>0</w:t>
      </w:r>
      <w:r>
        <w:rPr>
          <w:rFonts w:eastAsia="仿宋_GB2312"/>
          <w:sz w:val="32"/>
          <w:szCs w:val="32"/>
        </w:rPr>
        <w:t>%</w:t>
      </w:r>
      <w:r>
        <w:rPr>
          <w:rFonts w:hint="eastAsia" w:eastAsia="仿宋_GB2312"/>
          <w:sz w:val="32"/>
          <w:szCs w:val="32"/>
        </w:rPr>
        <w:t>，较</w:t>
      </w:r>
      <w:r>
        <w:rPr>
          <w:rFonts w:eastAsia="仿宋_GB2312"/>
          <w:sz w:val="32"/>
          <w:szCs w:val="32"/>
        </w:rPr>
        <w:t>2017</w:t>
      </w:r>
      <w:r>
        <w:rPr>
          <w:rFonts w:hint="eastAsia" w:eastAsia="仿宋_GB2312"/>
          <w:sz w:val="32"/>
          <w:szCs w:val="32"/>
        </w:rPr>
        <w:t>年度决算无增减变化。</w:t>
      </w:r>
    </w:p>
    <w:p w14:paraId="6CB386C7">
      <w:pPr>
        <w:adjustRightInd w:val="0"/>
        <w:snapToGrid w:val="0"/>
        <w:spacing w:line="584" w:lineRule="exact"/>
        <w:ind w:firstLine="640" w:firstLineChars="200"/>
        <w:rPr>
          <w:rFonts w:ascii="黑体" w:eastAsia="黑体"/>
          <w:sz w:val="32"/>
          <w:szCs w:val="40"/>
        </w:rPr>
      </w:pPr>
      <w:r>
        <w:rPr>
          <w:rFonts w:hint="eastAsia" w:ascii="黑体" w:eastAsia="黑体"/>
          <w:sz w:val="32"/>
          <w:szCs w:val="40"/>
        </w:rPr>
        <w:t>六、预算绩效情况说明</w:t>
      </w:r>
    </w:p>
    <w:p w14:paraId="69E609C8">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14:paraId="33480EC7">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为了提高财政资金使用效率，实现财政资金的规范性、安全性和有效性，本部门</w:t>
      </w:r>
      <w:r>
        <w:rPr>
          <w:rFonts w:ascii="仿宋_GB2312" w:eastAsia="仿宋_GB2312" w:cs="DengXian-Regular"/>
          <w:sz w:val="32"/>
          <w:szCs w:val="32"/>
        </w:rPr>
        <w:t>2018</w:t>
      </w:r>
      <w:r>
        <w:rPr>
          <w:rFonts w:hint="eastAsia" w:ascii="仿宋_GB2312" w:eastAsia="仿宋_GB2312" w:cs="DengXian-Regular"/>
          <w:sz w:val="32"/>
          <w:szCs w:val="32"/>
        </w:rPr>
        <w:t>年度按照各项职能工作，结合本部门目标任务分解，强化了绩效管理，成立绩效工作小组，开展绩效评价、并将绩效评价结果信息进行公示。尤其在全区质量提升、特种设备安全监管、标准监督和计量惠民等方面达到了绩效目标。</w:t>
      </w:r>
    </w:p>
    <w:p w14:paraId="4954FC80">
      <w:pPr>
        <w:adjustRightInd w:val="0"/>
        <w:snapToGrid w:val="0"/>
        <w:spacing w:after="0" w:line="580" w:lineRule="exact"/>
        <w:ind w:firstLine="640" w:firstLineChars="200"/>
        <w:rPr>
          <w:rFonts w:ascii="宋体" w:cs="仿宋_GB2312"/>
          <w:kern w:val="0"/>
          <w:sz w:val="32"/>
          <w:szCs w:val="32"/>
        </w:rPr>
      </w:pPr>
      <w:r>
        <w:rPr>
          <w:rFonts w:hint="eastAsia" w:ascii="仿宋_GB2312" w:eastAsia="仿宋_GB2312" w:cs="DengXian-Regular"/>
          <w:sz w:val="32"/>
          <w:szCs w:val="32"/>
        </w:rPr>
        <w:t>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加强业务培训，进一步提高预算绩效评价质量</w:t>
      </w:r>
      <w:r>
        <w:rPr>
          <w:rFonts w:hint="eastAsia" w:ascii="宋体" w:hAnsi="宋体" w:cs="仿宋_GB2312"/>
          <w:kern w:val="0"/>
          <w:sz w:val="32"/>
          <w:szCs w:val="32"/>
        </w:rPr>
        <w:t>。</w:t>
      </w:r>
    </w:p>
    <w:p w14:paraId="45262355">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p>
    <w:p w14:paraId="3A15BF0E">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按照绩效管理要求，绩效工作小组对本部门一般公共预算支出项目，开展了全面绩效自评。通过对对年度专项资金项目的绩效评价，综合评价为优。各项目定位准确，战略编制规划符合职能需要，绩效目标设立明确、指标设置合理、内容全面、操作性强，项目规章制度健全，程序规范，支出规范，手续齐全。</w:t>
      </w:r>
      <w:r>
        <w:rPr>
          <w:rFonts w:ascii="仿宋_GB2312" w:eastAsia="仿宋_GB2312" w:cs="DengXian-Regular"/>
          <w:sz w:val="32"/>
          <w:szCs w:val="32"/>
        </w:rPr>
        <w:t>2018</w:t>
      </w:r>
      <w:r>
        <w:rPr>
          <w:rFonts w:hint="eastAsia" w:ascii="仿宋_GB2312" w:eastAsia="仿宋_GB2312" w:cs="DengXian-Regular"/>
          <w:sz w:val="32"/>
          <w:szCs w:val="32"/>
        </w:rPr>
        <w:t>年度本部门决算涉及</w:t>
      </w:r>
      <w:r>
        <w:rPr>
          <w:rFonts w:ascii="仿宋_GB2312" w:eastAsia="仿宋_GB2312" w:cs="DengXian-Regular"/>
          <w:sz w:val="32"/>
          <w:szCs w:val="32"/>
        </w:rPr>
        <w:t>4</w:t>
      </w:r>
      <w:r>
        <w:rPr>
          <w:rFonts w:hint="eastAsia" w:ascii="仿宋_GB2312" w:eastAsia="仿宋_GB2312" w:cs="DengXian-Regular"/>
          <w:sz w:val="32"/>
          <w:szCs w:val="32"/>
        </w:rPr>
        <w:t>个项目，涉及资金</w:t>
      </w:r>
      <w:r>
        <w:rPr>
          <w:rFonts w:ascii="仿宋_GB2312" w:eastAsia="仿宋_GB2312" w:cs="DengXian-Regular"/>
          <w:sz w:val="32"/>
          <w:szCs w:val="32"/>
        </w:rPr>
        <w:t>23.69</w:t>
      </w:r>
      <w:r>
        <w:rPr>
          <w:rFonts w:hint="eastAsia" w:ascii="仿宋_GB2312" w:eastAsia="仿宋_GB2312" w:cs="DengXian-Regular"/>
          <w:sz w:val="32"/>
          <w:szCs w:val="32"/>
        </w:rPr>
        <w:t>万元。绩效自评覆盖率达到</w:t>
      </w:r>
      <w:r>
        <w:rPr>
          <w:rFonts w:ascii="仿宋_GB2312" w:eastAsia="仿宋_GB2312" w:cs="DengXian-Regular"/>
          <w:sz w:val="32"/>
          <w:szCs w:val="32"/>
        </w:rPr>
        <w:t>100%</w:t>
      </w:r>
      <w:r>
        <w:rPr>
          <w:rFonts w:hint="eastAsia" w:ascii="仿宋_GB2312" w:eastAsia="仿宋_GB2312" w:cs="DengXian-Regular"/>
          <w:sz w:val="32"/>
          <w:szCs w:val="32"/>
        </w:rPr>
        <w:t>，较好的实现了确定的绩效目标。</w:t>
      </w:r>
    </w:p>
    <w:p w14:paraId="7A7C746F">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p>
    <w:p w14:paraId="10ACB94B">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年度项目支撑架均为一般公用支出，无重点项目。</w:t>
      </w:r>
    </w:p>
    <w:p w14:paraId="2C82CB71">
      <w:pPr>
        <w:pStyle w:val="3"/>
        <w:spacing w:before="0" w:after="0" w:line="580" w:lineRule="exact"/>
        <w:ind w:firstLine="640" w:firstLineChars="200"/>
        <w:rPr>
          <w:rFonts w:ascii="黑体" w:eastAsia="黑体"/>
          <w:b w:val="0"/>
          <w:bCs w:val="0"/>
        </w:rPr>
      </w:pPr>
      <w:r>
        <w:rPr>
          <w:rFonts w:hint="eastAsia" w:ascii="黑体" w:eastAsia="黑体"/>
          <w:b w:val="0"/>
          <w:bCs w:val="0"/>
        </w:rPr>
        <w:t>七、其他重要事项的说明</w:t>
      </w:r>
    </w:p>
    <w:p w14:paraId="127BAC7F">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14:paraId="1A077887">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年度机关运行经费支出</w:t>
      </w:r>
      <w:r>
        <w:rPr>
          <w:rFonts w:ascii="仿宋_GB2312" w:eastAsia="仿宋_GB2312" w:cs="DengXian-Regular"/>
          <w:sz w:val="32"/>
          <w:szCs w:val="32"/>
        </w:rPr>
        <w:t>28.17</w:t>
      </w:r>
      <w:r>
        <w:rPr>
          <w:rFonts w:hint="eastAsia" w:ascii="仿宋_GB2312" w:eastAsia="仿宋_GB2312" w:cs="DengXian-Regular"/>
          <w:sz w:val="32"/>
          <w:szCs w:val="32"/>
        </w:rPr>
        <w:t>万元，比年初预算数减少</w:t>
      </w:r>
      <w:r>
        <w:rPr>
          <w:rFonts w:ascii="仿宋_GB2312" w:eastAsia="仿宋_GB2312" w:cs="DengXian-Regular"/>
          <w:sz w:val="32"/>
          <w:szCs w:val="32"/>
        </w:rPr>
        <w:t>2.32</w:t>
      </w:r>
      <w:r>
        <w:rPr>
          <w:rFonts w:hint="eastAsia" w:ascii="仿宋_GB2312" w:eastAsia="仿宋_GB2312" w:cs="DengXian-Regular"/>
          <w:sz w:val="32"/>
          <w:szCs w:val="32"/>
        </w:rPr>
        <w:t>万元，降低</w:t>
      </w:r>
      <w:r>
        <w:rPr>
          <w:rFonts w:eastAsia="仿宋_GB2312"/>
          <w:sz w:val="32"/>
          <w:szCs w:val="32"/>
        </w:rPr>
        <w:t>7.6</w:t>
      </w:r>
      <w:r>
        <w:rPr>
          <w:rFonts w:ascii="仿宋_GB2312" w:eastAsia="仿宋_GB2312" w:cs="DengXian-Regular"/>
          <w:sz w:val="32"/>
          <w:szCs w:val="32"/>
        </w:rPr>
        <w:t xml:space="preserve"> </w:t>
      </w:r>
      <w:r>
        <w:rPr>
          <w:rFonts w:eastAsia="仿宋_GB2312"/>
          <w:sz w:val="32"/>
          <w:szCs w:val="32"/>
        </w:rPr>
        <w:t>%</w:t>
      </w:r>
      <w:r>
        <w:rPr>
          <w:rFonts w:hint="eastAsia" w:ascii="仿宋_GB2312" w:eastAsia="仿宋_GB2312" w:cs="DengXian-Regular"/>
          <w:sz w:val="32"/>
          <w:szCs w:val="32"/>
        </w:rPr>
        <w:t>。主要原因是公务车运行维护费支出减低。</w:t>
      </w:r>
      <w:r>
        <w:rPr>
          <w:rFonts w:hint="eastAsia" w:eastAsia="仿宋_GB2312"/>
          <w:sz w:val="32"/>
          <w:szCs w:val="32"/>
        </w:rPr>
        <w:t>较</w:t>
      </w:r>
      <w:r>
        <w:rPr>
          <w:rFonts w:eastAsia="仿宋_GB2312"/>
          <w:sz w:val="32"/>
          <w:szCs w:val="32"/>
        </w:rPr>
        <w:t>2017</w:t>
      </w:r>
      <w:r>
        <w:rPr>
          <w:rFonts w:hint="eastAsia" w:eastAsia="仿宋_GB2312"/>
          <w:sz w:val="32"/>
          <w:szCs w:val="32"/>
        </w:rPr>
        <w:t>年度决算增加</w:t>
      </w:r>
      <w:r>
        <w:rPr>
          <w:rFonts w:eastAsia="仿宋_GB2312"/>
          <w:sz w:val="32"/>
          <w:szCs w:val="32"/>
        </w:rPr>
        <w:t>4.07</w:t>
      </w:r>
      <w:r>
        <w:rPr>
          <w:rFonts w:hint="eastAsia" w:eastAsia="仿宋_GB2312"/>
          <w:sz w:val="32"/>
          <w:szCs w:val="32"/>
        </w:rPr>
        <w:t>万元，增长</w:t>
      </w:r>
      <w:r>
        <w:rPr>
          <w:rFonts w:eastAsia="仿宋_GB2312"/>
          <w:sz w:val="32"/>
          <w:szCs w:val="32"/>
        </w:rPr>
        <w:t>16.9%</w:t>
      </w:r>
      <w:r>
        <w:rPr>
          <w:rFonts w:hint="eastAsia" w:eastAsia="仿宋_GB2312"/>
          <w:sz w:val="32"/>
          <w:szCs w:val="32"/>
        </w:rPr>
        <w:t>，主要</w:t>
      </w:r>
      <w:r>
        <w:rPr>
          <w:rFonts w:hint="eastAsia" w:ascii="仿宋_GB2312" w:eastAsia="仿宋_GB2312" w:cs="DengXian-Regular"/>
          <w:sz w:val="32"/>
          <w:szCs w:val="32"/>
        </w:rPr>
        <w:t>原因</w:t>
      </w:r>
      <w:r>
        <w:rPr>
          <w:rFonts w:hint="eastAsia" w:eastAsia="仿宋_GB2312"/>
          <w:sz w:val="32"/>
          <w:szCs w:val="32"/>
        </w:rPr>
        <w:t>是增加了公务移动通讯补贴。</w:t>
      </w:r>
    </w:p>
    <w:p w14:paraId="48DA37F5">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14:paraId="4D78A618">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本部门2018年度政府采购支出总额1.87万元，从采购类型来看，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1.87</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1.87</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14:paraId="77FDC03F">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14:paraId="6DB2C7C4">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2018</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w:t>
      </w:r>
      <w:r>
        <w:rPr>
          <w:rFonts w:ascii="仿宋_GB2312" w:eastAsia="仿宋_GB2312" w:cs="DengXian-Regular"/>
          <w:sz w:val="32"/>
          <w:szCs w:val="32"/>
        </w:rPr>
        <w:t>3</w:t>
      </w:r>
      <w:r>
        <w:rPr>
          <w:rFonts w:hint="eastAsia" w:ascii="仿宋_GB2312" w:eastAsia="仿宋_GB2312" w:cs="DengXian-Regular"/>
          <w:sz w:val="32"/>
          <w:szCs w:val="32"/>
        </w:rPr>
        <w:t>辆，比上年减少</w:t>
      </w:r>
      <w:r>
        <w:rPr>
          <w:rFonts w:ascii="仿宋_GB2312" w:eastAsia="仿宋_GB2312" w:cs="DengXian-Regular"/>
          <w:sz w:val="32"/>
          <w:szCs w:val="32"/>
        </w:rPr>
        <w:t>3</w:t>
      </w:r>
      <w:r>
        <w:rPr>
          <w:rFonts w:hint="eastAsia" w:ascii="仿宋_GB2312" w:eastAsia="仿宋_GB2312" w:cs="DengXian-Regular"/>
          <w:sz w:val="32"/>
          <w:szCs w:val="32"/>
        </w:rPr>
        <w:t>辆，主要原因是核销已报废车辆</w:t>
      </w:r>
      <w:r>
        <w:rPr>
          <w:rFonts w:ascii="仿宋_GB2312" w:eastAsia="仿宋_GB2312" w:cs="DengXian-Regular"/>
          <w:sz w:val="32"/>
          <w:szCs w:val="32"/>
        </w:rPr>
        <w:t>3</w:t>
      </w:r>
      <w:r>
        <w:rPr>
          <w:rFonts w:hint="eastAsia" w:ascii="仿宋_GB2312" w:eastAsia="仿宋_GB2312" w:cs="DengXian-Regular"/>
          <w:sz w:val="32"/>
          <w:szCs w:val="32"/>
        </w:rPr>
        <w:t>辆。其中，副部（省）级及以上领导用车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1</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2</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辆；单位价值</w:t>
      </w:r>
      <w:r>
        <w:rPr>
          <w:rFonts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台（套），比上年无增减变化，单位价值</w:t>
      </w:r>
      <w:r>
        <w:rPr>
          <w:rFonts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台（套）比上年无增减变化。</w:t>
      </w:r>
    </w:p>
    <w:p w14:paraId="1E4E7294">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14:paraId="55872520">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1</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年度国有资本经营预算收入无收支及结转结余情况，故国有资本经营预算财政拨款支出决算表以空表列示。</w:t>
      </w:r>
    </w:p>
    <w:p w14:paraId="0ADBE8FE">
      <w:pPr>
        <w:adjustRightInd w:val="0"/>
        <w:snapToGrid w:val="0"/>
        <w:spacing w:after="0" w:line="580" w:lineRule="exact"/>
        <w:rPr>
          <w:rFonts w:ascii="仿宋_GB2312" w:eastAsia="仿宋_GB2312" w:cs="DengXian-Regular"/>
          <w:sz w:val="32"/>
          <w:szCs w:val="32"/>
        </w:rPr>
      </w:pPr>
      <w:r>
        <w:rPr>
          <w:rFonts w:ascii="仿宋_GB2312" w:eastAsia="仿宋_GB2312" w:cs="DengXian-Regular"/>
          <w:sz w:val="32"/>
          <w:szCs w:val="32"/>
        </w:rPr>
        <w:t xml:space="preserve">   </w:t>
      </w:r>
      <w:r>
        <w:rPr>
          <w:rFonts w:hint="eastAsia" w:ascii="仿宋_GB2312" w:eastAsia="仿宋_GB2312" w:cs="DengXian-Regular"/>
          <w:sz w:val="32"/>
          <w:szCs w:val="32"/>
        </w:rPr>
        <w:t>本部门</w:t>
      </w:r>
      <w:r>
        <w:rPr>
          <w:rFonts w:ascii="仿宋_GB2312" w:eastAsia="仿宋_GB2312" w:cs="DengXian-Regular"/>
          <w:sz w:val="32"/>
          <w:szCs w:val="32"/>
        </w:rPr>
        <w:t>2018</w:t>
      </w:r>
      <w:r>
        <w:rPr>
          <w:rFonts w:hint="eastAsia" w:ascii="仿宋_GB2312" w:eastAsia="仿宋_GB2312" w:cs="DengXian-Regular"/>
          <w:sz w:val="32"/>
          <w:szCs w:val="32"/>
        </w:rPr>
        <w:t>年度政府性基金预算财政拨款收入支出无收支及结转结余情况，政府性基金预算财政拨款收入支出决算表以空表列示。</w:t>
      </w:r>
    </w:p>
    <w:p w14:paraId="75609D69">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、由于决算公开表格中金额数值应当保留两位小数，公开数据为四舍五入计算结果，个别数据合计项与分项之和存在小数点后差额，特此说明。</w:t>
      </w:r>
    </w:p>
    <w:p w14:paraId="2C42F649">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0" w:num="1"/>
          <w:docGrid w:type="lines" w:linePitch="312" w:charSpace="0"/>
        </w:sectPr>
      </w:pPr>
    </w:p>
    <w:p w14:paraId="16C57145">
      <w:pPr>
        <w:widowControl/>
        <w:spacing w:line="1200" w:lineRule="exact"/>
        <w:jc w:val="center"/>
        <w:rPr>
          <w:rFonts w:ascii="黑体" w:hAnsi="宋体" w:eastAsia="黑体"/>
          <w:color w:val="000000"/>
          <w:sz w:val="96"/>
          <w:szCs w:val="96"/>
        </w:rPr>
      </w:pPr>
    </w:p>
    <w:p w14:paraId="24C6683A">
      <w:pPr>
        <w:widowControl/>
        <w:spacing w:line="1200" w:lineRule="exact"/>
        <w:jc w:val="center"/>
        <w:rPr>
          <w:rFonts w:ascii="黑体" w:hAnsi="宋体" w:eastAsia="黑体"/>
          <w:color w:val="000000"/>
          <w:sz w:val="96"/>
          <w:szCs w:val="96"/>
        </w:rPr>
      </w:pPr>
    </w:p>
    <w:p w14:paraId="113B093E">
      <w:pPr>
        <w:widowControl/>
        <w:spacing w:line="1200" w:lineRule="exact"/>
        <w:jc w:val="center"/>
        <w:rPr>
          <w:rFonts w:ascii="黑体" w:hAnsi="宋体" w:eastAsia="黑体"/>
          <w:color w:val="000000"/>
          <w:sz w:val="96"/>
          <w:szCs w:val="96"/>
        </w:rPr>
      </w:pPr>
    </w:p>
    <w:p w14:paraId="6113EA82">
      <w:pPr>
        <w:widowControl/>
        <w:spacing w:line="1200" w:lineRule="exact"/>
        <w:jc w:val="center"/>
        <w:rPr>
          <w:rFonts w:ascii="黑体" w:hAnsi="宋体" w:eastAsia="黑体"/>
          <w:color w:val="000000"/>
          <w:sz w:val="96"/>
          <w:szCs w:val="96"/>
        </w:rPr>
      </w:pPr>
      <w:r>
        <w:rPr>
          <w:rFonts w:hint="eastAsia" w:ascii="黑体" w:hAnsi="宋体" w:eastAsia="黑体"/>
          <w:color w:val="000000"/>
          <w:sz w:val="96"/>
          <w:szCs w:val="96"/>
        </w:rPr>
        <w:t>第四部分</w:t>
      </w:r>
    </w:p>
    <w:p w14:paraId="5BA1B276">
      <w:pPr>
        <w:widowControl/>
        <w:spacing w:line="1200" w:lineRule="exact"/>
        <w:jc w:val="center"/>
        <w:rPr>
          <w:color w:val="000000"/>
          <w:sz w:val="96"/>
          <w:szCs w:val="96"/>
        </w:rPr>
      </w:pPr>
      <w:r>
        <w:rPr>
          <w:rFonts w:hint="eastAsia" w:ascii="黑体" w:hAnsi="宋体" w:eastAsia="黑体"/>
          <w:color w:val="000000"/>
          <w:sz w:val="96"/>
          <w:szCs w:val="96"/>
        </w:rPr>
        <w:t>名词解释</w:t>
      </w:r>
    </w:p>
    <w:p w14:paraId="1C825EA8">
      <w:pPr>
        <w:rPr>
          <w:rFonts w:ascii="宋体" w:cs="ArialUnicodeMS"/>
          <w:color w:val="000000"/>
          <w:kern w:val="0"/>
        </w:rPr>
        <w:sectPr>
          <w:pgSz w:w="11906" w:h="16838"/>
          <w:pgMar w:top="2098" w:right="1474" w:bottom="1984" w:left="1588" w:header="851" w:footer="992" w:gutter="0"/>
          <w:cols w:space="0" w:num="1"/>
          <w:docGrid w:type="lines" w:linePitch="312" w:charSpace="0"/>
        </w:sectPr>
      </w:pPr>
    </w:p>
    <w:p w14:paraId="224E5BCE">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14:paraId="0ED337B4">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14:paraId="570FB482">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14:paraId="1283DAED">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6062ADA4">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14:paraId="1E6DF019">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14:paraId="0CE8901F">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14:paraId="28C6EEE3">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14:paraId="0400502B">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14:paraId="2D60BFC5">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（十）资本性支出（基本建设）：</w:t>
      </w:r>
      <w:r>
        <w:rPr>
          <w:rFonts w:hint="eastAsia" w:ascii="仿宋_GB2312" w:hAnsi="宋体" w:eastAsia="仿宋_GB2312"/>
          <w:color w:val="000000"/>
          <w:kern w:val="0"/>
          <w:sz w:val="32"/>
          <w:szCs w:val="32"/>
        </w:rPr>
        <w:t>填列切块由发展改革部门安排的基本建设支出，对企业补助支出不在此科目反映。</w:t>
      </w:r>
    </w:p>
    <w:p w14:paraId="22506CD0">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（十一）资本性支出：</w:t>
      </w:r>
      <w:r>
        <w:rPr>
          <w:rFonts w:hint="eastAsia" w:ascii="仿宋_GB2312" w:hAnsi="宋体" w:eastAsia="仿宋_GB2312"/>
          <w:color w:val="000000"/>
          <w:kern w:val="0"/>
          <w:sz w:val="32"/>
          <w:szCs w:val="32"/>
        </w:rPr>
        <w:t>填列各单位安排的资本性支出。切块由发展改革部门安排的基本建设支出不在此科目反映。</w:t>
      </w:r>
    </w:p>
    <w:p w14:paraId="073A013B">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2820E75F">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填列单位除公务用车运行维护费以外的其他交通费用。如公务交通补贴、租车费用、出租车费用、飞机、船舶等的燃料费、维修费、保险费等。</w:t>
      </w:r>
    </w:p>
    <w:p w14:paraId="33E524A8">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填列单位公务用车购置支出（含车辆购置税、牌照费）。</w:t>
      </w:r>
    </w:p>
    <w:p w14:paraId="2C6C3037">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填列单位除公务用车外的其他各类交通工具（如船舶、飞机）购置支出（含车辆购置税、牌照费）。</w:t>
      </w:r>
    </w:p>
    <w:p w14:paraId="477EE403">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6806DDC">
      <w:pPr>
        <w:widowControl/>
        <w:spacing w:after="0" w:line="560" w:lineRule="exact"/>
        <w:ind w:firstLine="643" w:firstLineChars="200"/>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5881FBAB">
      <w:pPr>
        <w:widowControl/>
        <w:spacing w:after="0" w:line="560" w:lineRule="exact"/>
        <w:ind w:firstLine="640" w:firstLineChars="200"/>
        <w:rPr>
          <w:rFonts w:ascii="仿宋_GB2312" w:hAnsi="Cambria" w:eastAsia="仿宋_GB2312" w:cs="ArialUnicodeMS"/>
          <w:kern w:val="0"/>
          <w:sz w:val="32"/>
          <w:szCs w:val="32"/>
        </w:rPr>
      </w:pPr>
    </w:p>
    <w:p w14:paraId="71946FA6">
      <w:pPr>
        <w:widowControl/>
        <w:spacing w:after="0" w:line="560" w:lineRule="exact"/>
        <w:ind w:firstLine="640" w:firstLineChars="200"/>
        <w:rPr>
          <w:rFonts w:ascii="仿宋_GB2312" w:hAnsi="Cambria" w:eastAsia="仿宋_GB2312" w:cs="ArialUnicodeMS"/>
          <w:kern w:val="0"/>
          <w:sz w:val="32"/>
          <w:szCs w:val="32"/>
        </w:rPr>
      </w:pPr>
    </w:p>
    <w:p w14:paraId="67A148A3">
      <w:pPr>
        <w:widowControl/>
        <w:spacing w:after="0" w:line="560" w:lineRule="exact"/>
        <w:ind w:firstLine="640" w:firstLineChars="200"/>
        <w:rPr>
          <w:rFonts w:ascii="仿宋_GB2312" w:hAnsi="Cambria" w:eastAsia="仿宋_GB2312" w:cs="ArialUnicodeMS"/>
          <w:kern w:val="0"/>
          <w:sz w:val="32"/>
          <w:szCs w:val="32"/>
        </w:rPr>
      </w:pPr>
    </w:p>
    <w:p w14:paraId="1534FCFE">
      <w:pPr>
        <w:widowControl/>
        <w:spacing w:after="0" w:line="560" w:lineRule="exact"/>
        <w:ind w:firstLine="640" w:firstLineChars="200"/>
        <w:rPr>
          <w:rFonts w:ascii="仿宋_GB2312" w:hAnsi="Cambria" w:eastAsia="仿宋_GB2312" w:cs="ArialUnicodeMS"/>
          <w:kern w:val="0"/>
          <w:sz w:val="32"/>
          <w:szCs w:val="32"/>
        </w:rPr>
      </w:pPr>
    </w:p>
    <w:p w14:paraId="0E30E8B7">
      <w:pPr>
        <w:widowControl/>
        <w:spacing w:after="0" w:line="560" w:lineRule="exact"/>
        <w:ind w:firstLine="640" w:firstLineChars="200"/>
        <w:rPr>
          <w:rFonts w:ascii="仿宋_GB2312" w:hAnsi="Cambria" w:eastAsia="仿宋_GB2312" w:cs="ArialUnicodeMS"/>
          <w:kern w:val="0"/>
          <w:sz w:val="32"/>
          <w:szCs w:val="32"/>
        </w:rPr>
      </w:pPr>
    </w:p>
    <w:p w14:paraId="0593E832">
      <w:pPr>
        <w:widowControl/>
        <w:spacing w:after="0" w:line="560" w:lineRule="exact"/>
        <w:ind w:firstLine="640" w:firstLineChars="200"/>
        <w:rPr>
          <w:rFonts w:ascii="仿宋_GB2312" w:hAnsi="Cambria" w:eastAsia="仿宋_GB2312" w:cs="ArialUnicodeMS"/>
          <w:kern w:val="0"/>
          <w:sz w:val="32"/>
          <w:szCs w:val="32"/>
        </w:rPr>
      </w:pPr>
    </w:p>
    <w:p w14:paraId="6D14223F">
      <w:pPr>
        <w:widowControl/>
        <w:spacing w:after="0" w:line="560" w:lineRule="exact"/>
        <w:ind w:firstLine="640" w:firstLineChars="200"/>
        <w:rPr>
          <w:rFonts w:ascii="仿宋_GB2312" w:hAnsi="Cambria" w:eastAsia="仿宋_GB2312" w:cs="ArialUnicodeMS"/>
          <w:kern w:val="0"/>
          <w:sz w:val="32"/>
          <w:szCs w:val="32"/>
        </w:rPr>
      </w:pPr>
    </w:p>
    <w:p w14:paraId="0622C56E">
      <w:pPr>
        <w:widowControl/>
        <w:spacing w:after="0" w:line="560" w:lineRule="exact"/>
        <w:ind w:firstLine="640" w:firstLineChars="200"/>
        <w:rPr>
          <w:rFonts w:ascii="仿宋_GB2312" w:hAnsi="Cambria" w:eastAsia="仿宋_GB2312" w:cs="ArialUnicodeMS"/>
          <w:kern w:val="0"/>
          <w:sz w:val="32"/>
          <w:szCs w:val="32"/>
        </w:rPr>
      </w:pPr>
    </w:p>
    <w:p w14:paraId="5C274C8F">
      <w:pPr>
        <w:widowControl/>
        <w:spacing w:after="0" w:line="560" w:lineRule="exact"/>
        <w:ind w:firstLine="640" w:firstLineChars="200"/>
        <w:rPr>
          <w:rFonts w:ascii="仿宋_GB2312" w:hAnsi="Cambria" w:eastAsia="仿宋_GB2312" w:cs="ArialUnicodeMS"/>
          <w:kern w:val="0"/>
          <w:sz w:val="32"/>
          <w:szCs w:val="32"/>
        </w:rPr>
      </w:pPr>
    </w:p>
    <w:p w14:paraId="2D433E7B">
      <w:pPr>
        <w:widowControl/>
        <w:spacing w:after="0" w:line="560" w:lineRule="exact"/>
        <w:rPr>
          <w:rFonts w:ascii="仿宋_GB2312" w:hAnsi="Cambria" w:eastAsia="仿宋_GB2312" w:cs="ArialUnicodeMS"/>
          <w:kern w:val="0"/>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00" w:usb3="00000000" w:csb0="00000000"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3C1413"/>
    <w:rsid w:val="00020FAF"/>
    <w:rsid w:val="00022474"/>
    <w:rsid w:val="00024E7F"/>
    <w:rsid w:val="000475A0"/>
    <w:rsid w:val="000639C8"/>
    <w:rsid w:val="00067693"/>
    <w:rsid w:val="00070AC1"/>
    <w:rsid w:val="000838C3"/>
    <w:rsid w:val="000B2446"/>
    <w:rsid w:val="000D6842"/>
    <w:rsid w:val="000D7C65"/>
    <w:rsid w:val="000E2F81"/>
    <w:rsid w:val="000F30A6"/>
    <w:rsid w:val="00101F8D"/>
    <w:rsid w:val="00102E19"/>
    <w:rsid w:val="00117946"/>
    <w:rsid w:val="00117E2C"/>
    <w:rsid w:val="00126B10"/>
    <w:rsid w:val="00146C47"/>
    <w:rsid w:val="0015175A"/>
    <w:rsid w:val="00152FB8"/>
    <w:rsid w:val="00176658"/>
    <w:rsid w:val="0018239E"/>
    <w:rsid w:val="00186B9A"/>
    <w:rsid w:val="001B3410"/>
    <w:rsid w:val="001B7503"/>
    <w:rsid w:val="001C030D"/>
    <w:rsid w:val="001C4A84"/>
    <w:rsid w:val="001E5902"/>
    <w:rsid w:val="001E7CF9"/>
    <w:rsid w:val="0020511B"/>
    <w:rsid w:val="002111AF"/>
    <w:rsid w:val="00233705"/>
    <w:rsid w:val="0023431D"/>
    <w:rsid w:val="00236BB5"/>
    <w:rsid w:val="00246D99"/>
    <w:rsid w:val="002501FD"/>
    <w:rsid w:val="00257266"/>
    <w:rsid w:val="00261F83"/>
    <w:rsid w:val="00262306"/>
    <w:rsid w:val="00275CA2"/>
    <w:rsid w:val="00276144"/>
    <w:rsid w:val="00297D43"/>
    <w:rsid w:val="002A65A5"/>
    <w:rsid w:val="002C04C4"/>
    <w:rsid w:val="002D08B0"/>
    <w:rsid w:val="002D1AE3"/>
    <w:rsid w:val="002F2ECE"/>
    <w:rsid w:val="00341C8F"/>
    <w:rsid w:val="0035463A"/>
    <w:rsid w:val="00391D9D"/>
    <w:rsid w:val="003B6C51"/>
    <w:rsid w:val="003C1413"/>
    <w:rsid w:val="003C549F"/>
    <w:rsid w:val="003D5A16"/>
    <w:rsid w:val="003E7DB3"/>
    <w:rsid w:val="003F4211"/>
    <w:rsid w:val="00401140"/>
    <w:rsid w:val="0041153D"/>
    <w:rsid w:val="00431175"/>
    <w:rsid w:val="004374A3"/>
    <w:rsid w:val="00493686"/>
    <w:rsid w:val="004B6E37"/>
    <w:rsid w:val="004C32BA"/>
    <w:rsid w:val="004C68EF"/>
    <w:rsid w:val="004D4CF3"/>
    <w:rsid w:val="004F2EF5"/>
    <w:rsid w:val="004F36BC"/>
    <w:rsid w:val="0050649C"/>
    <w:rsid w:val="00550BAC"/>
    <w:rsid w:val="00555B1D"/>
    <w:rsid w:val="00575922"/>
    <w:rsid w:val="005A3C0D"/>
    <w:rsid w:val="005A6C90"/>
    <w:rsid w:val="005B37E6"/>
    <w:rsid w:val="005B5A46"/>
    <w:rsid w:val="005E3FB0"/>
    <w:rsid w:val="005F4B66"/>
    <w:rsid w:val="005F5208"/>
    <w:rsid w:val="00615C31"/>
    <w:rsid w:val="00641318"/>
    <w:rsid w:val="0064405D"/>
    <w:rsid w:val="00652F9C"/>
    <w:rsid w:val="00695557"/>
    <w:rsid w:val="006D4EA7"/>
    <w:rsid w:val="006F7B5F"/>
    <w:rsid w:val="0070012A"/>
    <w:rsid w:val="0070664B"/>
    <w:rsid w:val="007071B8"/>
    <w:rsid w:val="007153B8"/>
    <w:rsid w:val="007155C2"/>
    <w:rsid w:val="007414DE"/>
    <w:rsid w:val="00760C0C"/>
    <w:rsid w:val="007840D3"/>
    <w:rsid w:val="007905A9"/>
    <w:rsid w:val="007A26A1"/>
    <w:rsid w:val="007B60A9"/>
    <w:rsid w:val="007D5433"/>
    <w:rsid w:val="007E072B"/>
    <w:rsid w:val="007E5500"/>
    <w:rsid w:val="007F055B"/>
    <w:rsid w:val="00811C2F"/>
    <w:rsid w:val="00833D46"/>
    <w:rsid w:val="00836215"/>
    <w:rsid w:val="00840A97"/>
    <w:rsid w:val="00872B02"/>
    <w:rsid w:val="00873292"/>
    <w:rsid w:val="008A640A"/>
    <w:rsid w:val="008C0149"/>
    <w:rsid w:val="008D5DED"/>
    <w:rsid w:val="008E25CA"/>
    <w:rsid w:val="008E42A2"/>
    <w:rsid w:val="008F34FC"/>
    <w:rsid w:val="00944CD7"/>
    <w:rsid w:val="00947EEC"/>
    <w:rsid w:val="00961190"/>
    <w:rsid w:val="009831B2"/>
    <w:rsid w:val="009A1ABE"/>
    <w:rsid w:val="009E21A4"/>
    <w:rsid w:val="009E7C00"/>
    <w:rsid w:val="009F22C6"/>
    <w:rsid w:val="00A07E50"/>
    <w:rsid w:val="00A12C15"/>
    <w:rsid w:val="00A15397"/>
    <w:rsid w:val="00A23C70"/>
    <w:rsid w:val="00A3291B"/>
    <w:rsid w:val="00A35CE0"/>
    <w:rsid w:val="00A4462E"/>
    <w:rsid w:val="00A44AA4"/>
    <w:rsid w:val="00A61623"/>
    <w:rsid w:val="00A84687"/>
    <w:rsid w:val="00AA0458"/>
    <w:rsid w:val="00AA5148"/>
    <w:rsid w:val="00AB0A0E"/>
    <w:rsid w:val="00AD3B6E"/>
    <w:rsid w:val="00AE4BF0"/>
    <w:rsid w:val="00AF6D31"/>
    <w:rsid w:val="00B1751F"/>
    <w:rsid w:val="00B50F96"/>
    <w:rsid w:val="00B56722"/>
    <w:rsid w:val="00B67044"/>
    <w:rsid w:val="00B74D39"/>
    <w:rsid w:val="00B827C6"/>
    <w:rsid w:val="00B91DA4"/>
    <w:rsid w:val="00BA142B"/>
    <w:rsid w:val="00BA6767"/>
    <w:rsid w:val="00BA7174"/>
    <w:rsid w:val="00BB0650"/>
    <w:rsid w:val="00BB3438"/>
    <w:rsid w:val="00BB3ADD"/>
    <w:rsid w:val="00BB54E5"/>
    <w:rsid w:val="00BB6EFA"/>
    <w:rsid w:val="00BF0BA5"/>
    <w:rsid w:val="00C12630"/>
    <w:rsid w:val="00C234F0"/>
    <w:rsid w:val="00C34562"/>
    <w:rsid w:val="00C3774E"/>
    <w:rsid w:val="00C44606"/>
    <w:rsid w:val="00C57456"/>
    <w:rsid w:val="00C65387"/>
    <w:rsid w:val="00C87FAB"/>
    <w:rsid w:val="00C91FF7"/>
    <w:rsid w:val="00C92D15"/>
    <w:rsid w:val="00C94E53"/>
    <w:rsid w:val="00CC7E42"/>
    <w:rsid w:val="00CE3FC3"/>
    <w:rsid w:val="00CE490E"/>
    <w:rsid w:val="00D0048E"/>
    <w:rsid w:val="00D23E7A"/>
    <w:rsid w:val="00D26C8B"/>
    <w:rsid w:val="00D518B0"/>
    <w:rsid w:val="00D56D8F"/>
    <w:rsid w:val="00D61063"/>
    <w:rsid w:val="00D87EE4"/>
    <w:rsid w:val="00DB35AF"/>
    <w:rsid w:val="00DB62D6"/>
    <w:rsid w:val="00DD72D7"/>
    <w:rsid w:val="00DF5B88"/>
    <w:rsid w:val="00E0589E"/>
    <w:rsid w:val="00E0697F"/>
    <w:rsid w:val="00E2248E"/>
    <w:rsid w:val="00E241FA"/>
    <w:rsid w:val="00E2595E"/>
    <w:rsid w:val="00E35374"/>
    <w:rsid w:val="00E50C19"/>
    <w:rsid w:val="00E64655"/>
    <w:rsid w:val="00E73081"/>
    <w:rsid w:val="00E856C9"/>
    <w:rsid w:val="00E909E0"/>
    <w:rsid w:val="00EA4F68"/>
    <w:rsid w:val="00EB6A8B"/>
    <w:rsid w:val="00EC6814"/>
    <w:rsid w:val="00ED411D"/>
    <w:rsid w:val="00EF38C6"/>
    <w:rsid w:val="00EF39BB"/>
    <w:rsid w:val="00EF4D8E"/>
    <w:rsid w:val="00F458BF"/>
    <w:rsid w:val="00F462EC"/>
    <w:rsid w:val="00F679C7"/>
    <w:rsid w:val="00F72617"/>
    <w:rsid w:val="00F7711A"/>
    <w:rsid w:val="00F80C72"/>
    <w:rsid w:val="00FA0D58"/>
    <w:rsid w:val="00FA1580"/>
    <w:rsid w:val="00FA56F4"/>
    <w:rsid w:val="00FB4EDA"/>
    <w:rsid w:val="00FD1DD2"/>
    <w:rsid w:val="00FD3BD5"/>
    <w:rsid w:val="00FD5A4F"/>
    <w:rsid w:val="00FE3DC8"/>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8CD76C1"/>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libri" w:hAnsi="Calibri"/>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paragraph" w:styleId="5">
    <w:name w:val="heading 4"/>
    <w:basedOn w:val="1"/>
    <w:next w:val="1"/>
    <w:link w:val="21"/>
    <w:qFormat/>
    <w:uiPriority w:val="99"/>
    <w:pPr>
      <w:keepNext/>
      <w:keepLines/>
      <w:spacing w:before="280" w:after="290" w:line="376" w:lineRule="auto"/>
      <w:outlineLvl w:val="3"/>
    </w:pPr>
    <w:rPr>
      <w:rFonts w:ascii="Calibri" w:hAnsi="Calibri"/>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6"/>
    <w:semiHidden/>
    <w:uiPriority w:val="99"/>
    <w:pPr>
      <w:jc w:val="left"/>
    </w:pPr>
  </w:style>
  <w:style w:type="paragraph" w:styleId="7">
    <w:name w:val="Date"/>
    <w:basedOn w:val="1"/>
    <w:next w:val="1"/>
    <w:link w:val="22"/>
    <w:semiHidden/>
    <w:uiPriority w:val="99"/>
    <w:pPr>
      <w:ind w:left="100" w:leftChars="2500"/>
    </w:pPr>
  </w:style>
  <w:style w:type="paragraph" w:styleId="8">
    <w:name w:val="Balloon Text"/>
    <w:basedOn w:val="1"/>
    <w:link w:val="23"/>
    <w:semiHidden/>
    <w:uiPriority w:val="99"/>
    <w:rPr>
      <w:sz w:val="18"/>
      <w:szCs w:val="18"/>
    </w:rPr>
  </w:style>
  <w:style w:type="paragraph" w:styleId="9">
    <w:name w:val="footer"/>
    <w:basedOn w:val="1"/>
    <w:link w:val="24"/>
    <w:uiPriority w:val="99"/>
    <w:pPr>
      <w:tabs>
        <w:tab w:val="center" w:pos="4153"/>
        <w:tab w:val="right" w:pos="8306"/>
      </w:tabs>
      <w:snapToGrid w:val="0"/>
      <w:jc w:val="left"/>
    </w:pPr>
    <w:rPr>
      <w:rFonts w:ascii="Cambria" w:hAnsi="Cambria" w:eastAsia="黑体"/>
      <w:sz w:val="18"/>
      <w:szCs w:val="18"/>
    </w:rPr>
  </w:style>
  <w:style w:type="paragraph" w:styleId="10">
    <w:name w:val="header"/>
    <w:basedOn w:val="1"/>
    <w:link w:val="25"/>
    <w:uiPriority w:val="99"/>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1">
    <w:name w:val="Subtitle"/>
    <w:basedOn w:val="1"/>
    <w:next w:val="1"/>
    <w:link w:val="26"/>
    <w:qFormat/>
    <w:uiPriority w:val="99"/>
    <w:pPr>
      <w:widowControl/>
      <w:spacing w:after="200" w:line="276" w:lineRule="auto"/>
      <w:jc w:val="left"/>
    </w:pPr>
    <w:rPr>
      <w:rFonts w:ascii="Calibri" w:hAnsi="Calibri"/>
      <w:i/>
      <w:iCs/>
      <w:color w:val="F0A22E"/>
      <w:spacing w:val="15"/>
      <w:kern w:val="0"/>
      <w:sz w:val="24"/>
    </w:rPr>
  </w:style>
  <w:style w:type="paragraph" w:styleId="12">
    <w:name w:val="Title"/>
    <w:basedOn w:val="1"/>
    <w:next w:val="1"/>
    <w:link w:val="27"/>
    <w:qFormat/>
    <w:uiPriority w:val="99"/>
    <w:pPr>
      <w:widowControl/>
      <w:pBdr>
        <w:bottom w:val="single" w:color="F0A22E" w:sz="8" w:space="4"/>
      </w:pBdr>
      <w:spacing w:after="300"/>
      <w:contextualSpacing/>
      <w:jc w:val="left"/>
    </w:pPr>
    <w:rPr>
      <w:rFonts w:ascii="Calibri" w:hAnsi="Calibri"/>
      <w:color w:val="3A2C24"/>
      <w:spacing w:val="5"/>
      <w:kern w:val="28"/>
      <w:sz w:val="52"/>
      <w:szCs w:val="52"/>
    </w:rPr>
  </w:style>
  <w:style w:type="paragraph" w:styleId="13">
    <w:name w:val="annotation subject"/>
    <w:basedOn w:val="6"/>
    <w:next w:val="6"/>
    <w:link w:val="37"/>
    <w:semiHidden/>
    <w:uiPriority w:val="99"/>
    <w:rPr>
      <w:b/>
      <w:bCs/>
    </w:rPr>
  </w:style>
  <w:style w:type="table" w:styleId="15">
    <w:name w:val="Table Grid"/>
    <w:basedOn w:val="14"/>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annotation reference"/>
    <w:semiHidden/>
    <w:uiPriority w:val="99"/>
    <w:rPr>
      <w:rFonts w:cs="Times New Roman"/>
      <w:sz w:val="21"/>
      <w:szCs w:val="21"/>
    </w:rPr>
  </w:style>
  <w:style w:type="character" w:customStyle="1" w:styleId="18">
    <w:name w:val="标题 1 Char"/>
    <w:link w:val="2"/>
    <w:locked/>
    <w:uiPriority w:val="99"/>
    <w:rPr>
      <w:rFonts w:ascii="Times New Roman" w:hAnsi="Times New Roman" w:eastAsia="宋体" w:cs="Times New Roman"/>
      <w:b/>
      <w:bCs/>
      <w:kern w:val="44"/>
      <w:sz w:val="44"/>
      <w:szCs w:val="44"/>
    </w:rPr>
  </w:style>
  <w:style w:type="character" w:customStyle="1" w:styleId="19">
    <w:name w:val="标题 2 Char"/>
    <w:link w:val="3"/>
    <w:locked/>
    <w:uiPriority w:val="99"/>
    <w:rPr>
      <w:rFonts w:ascii="Calibri" w:hAnsi="Calibri" w:eastAsia="宋体" w:cs="Times New Roman"/>
      <w:b/>
      <w:bCs/>
      <w:sz w:val="32"/>
      <w:szCs w:val="32"/>
    </w:rPr>
  </w:style>
  <w:style w:type="character" w:customStyle="1" w:styleId="20">
    <w:name w:val="标题 3 Char"/>
    <w:link w:val="4"/>
    <w:locked/>
    <w:uiPriority w:val="99"/>
    <w:rPr>
      <w:rFonts w:ascii="Times New Roman" w:hAnsi="Times New Roman" w:eastAsia="宋体" w:cs="Times New Roman"/>
      <w:b/>
      <w:bCs/>
      <w:sz w:val="32"/>
      <w:szCs w:val="32"/>
    </w:rPr>
  </w:style>
  <w:style w:type="character" w:customStyle="1" w:styleId="21">
    <w:name w:val="标题 4 Char"/>
    <w:link w:val="5"/>
    <w:locked/>
    <w:uiPriority w:val="99"/>
    <w:rPr>
      <w:rFonts w:ascii="Calibri" w:hAnsi="Calibri" w:eastAsia="宋体" w:cs="Times New Roman"/>
      <w:b/>
      <w:bCs/>
      <w:sz w:val="28"/>
      <w:szCs w:val="28"/>
    </w:rPr>
  </w:style>
  <w:style w:type="character" w:customStyle="1" w:styleId="22">
    <w:name w:val="日期 Char"/>
    <w:link w:val="7"/>
    <w:semiHidden/>
    <w:qFormat/>
    <w:locked/>
    <w:uiPriority w:val="99"/>
    <w:rPr>
      <w:rFonts w:ascii="Times New Roman" w:hAnsi="Times New Roman" w:eastAsia="宋体" w:cs="Times New Roman"/>
      <w:sz w:val="24"/>
      <w:szCs w:val="24"/>
    </w:rPr>
  </w:style>
  <w:style w:type="character" w:customStyle="1" w:styleId="23">
    <w:name w:val="批注框文本 Char"/>
    <w:link w:val="8"/>
    <w:semiHidden/>
    <w:locked/>
    <w:uiPriority w:val="99"/>
    <w:rPr>
      <w:rFonts w:ascii="Times New Roman" w:hAnsi="Times New Roman" w:eastAsia="宋体" w:cs="Times New Roman"/>
      <w:sz w:val="18"/>
      <w:szCs w:val="18"/>
    </w:rPr>
  </w:style>
  <w:style w:type="character" w:customStyle="1" w:styleId="24">
    <w:name w:val="页脚 Char"/>
    <w:link w:val="9"/>
    <w:qFormat/>
    <w:locked/>
    <w:uiPriority w:val="99"/>
    <w:rPr>
      <w:rFonts w:cs="Times New Roman"/>
      <w:sz w:val="18"/>
      <w:szCs w:val="18"/>
    </w:rPr>
  </w:style>
  <w:style w:type="character" w:customStyle="1" w:styleId="25">
    <w:name w:val="页眉 Char"/>
    <w:link w:val="10"/>
    <w:locked/>
    <w:uiPriority w:val="99"/>
    <w:rPr>
      <w:rFonts w:cs="Times New Roman"/>
      <w:sz w:val="18"/>
      <w:szCs w:val="18"/>
    </w:rPr>
  </w:style>
  <w:style w:type="character" w:customStyle="1" w:styleId="26">
    <w:name w:val="副标题 Char"/>
    <w:link w:val="11"/>
    <w:locked/>
    <w:uiPriority w:val="99"/>
    <w:rPr>
      <w:rFonts w:ascii="Calibri" w:hAnsi="Calibri" w:eastAsia="宋体" w:cs="Times New Roman"/>
      <w:i/>
      <w:iCs/>
      <w:color w:val="F0A22E"/>
      <w:spacing w:val="15"/>
      <w:kern w:val="0"/>
      <w:sz w:val="24"/>
      <w:szCs w:val="24"/>
    </w:rPr>
  </w:style>
  <w:style w:type="character" w:customStyle="1" w:styleId="27">
    <w:name w:val="标题 Char"/>
    <w:link w:val="12"/>
    <w:locked/>
    <w:uiPriority w:val="99"/>
    <w:rPr>
      <w:rFonts w:ascii="Calibri" w:hAnsi="Calibri" w:eastAsia="宋体" w:cs="Times New Roman"/>
      <w:color w:val="3A2C24"/>
      <w:spacing w:val="5"/>
      <w:kern w:val="28"/>
      <w:sz w:val="52"/>
      <w:szCs w:val="52"/>
    </w:rPr>
  </w:style>
  <w:style w:type="paragraph" w:styleId="28">
    <w:name w:val="No Spacing"/>
    <w:link w:val="29"/>
    <w:qFormat/>
    <w:uiPriority w:val="99"/>
    <w:pPr>
      <w:spacing w:after="160" w:line="480" w:lineRule="auto"/>
    </w:pPr>
    <w:rPr>
      <w:rFonts w:ascii="Cambria" w:hAnsi="Cambria" w:eastAsia="黑体" w:cs="Times New Roman"/>
      <w:sz w:val="22"/>
      <w:szCs w:val="22"/>
      <w:lang w:val="en-US" w:eastAsia="zh-CN" w:bidi="ar-SA"/>
    </w:rPr>
  </w:style>
  <w:style w:type="character" w:customStyle="1" w:styleId="29">
    <w:name w:val="无间隔 Char"/>
    <w:link w:val="28"/>
    <w:qFormat/>
    <w:locked/>
    <w:uiPriority w:val="99"/>
    <w:rPr>
      <w:rFonts w:cs="Times New Roman"/>
      <w:sz w:val="22"/>
      <w:szCs w:val="22"/>
      <w:lang w:val="en-US" w:eastAsia="zh-CN" w:bidi="ar-SA"/>
    </w:rPr>
  </w:style>
  <w:style w:type="character" w:customStyle="1" w:styleId="30">
    <w:name w:val="Style1"/>
    <w:uiPriority w:val="99"/>
    <w:rPr>
      <w:rFonts w:ascii="Cambria" w:hAnsi="黑体" w:eastAsia="黑体" w:cs="Times New Roman"/>
      <w:sz w:val="22"/>
      <w:szCs w:val="22"/>
      <w:lang w:eastAsia="zh-CN"/>
    </w:rPr>
  </w:style>
  <w:style w:type="character" w:customStyle="1" w:styleId="31">
    <w:name w:val="Style2"/>
    <w:uiPriority w:val="99"/>
    <w:rPr>
      <w:rFonts w:ascii="Cambria" w:hAnsi="黑体" w:eastAsia="黑体" w:cs="Times New Roman"/>
      <w:sz w:val="22"/>
      <w:szCs w:val="22"/>
      <w:lang w:eastAsia="zh-CN"/>
    </w:rPr>
  </w:style>
  <w:style w:type="character" w:customStyle="1" w:styleId="32">
    <w:name w:val="Style3"/>
    <w:qFormat/>
    <w:uiPriority w:val="99"/>
    <w:rPr>
      <w:rFonts w:ascii="Cambria" w:hAnsi="黑体" w:eastAsia="黑体" w:cs="Times New Roman"/>
      <w:sz w:val="22"/>
      <w:szCs w:val="22"/>
      <w:lang w:eastAsia="zh-CN"/>
    </w:rPr>
  </w:style>
  <w:style w:type="character" w:customStyle="1" w:styleId="33">
    <w:name w:val="Style4"/>
    <w:uiPriority w:val="99"/>
    <w:rPr>
      <w:rFonts w:ascii="Cambria" w:hAnsi="黑体" w:eastAsia="黑体" w:cs="Times New Roman"/>
      <w:sz w:val="22"/>
      <w:szCs w:val="22"/>
      <w:lang w:eastAsia="zh-CN"/>
    </w:rPr>
  </w:style>
  <w:style w:type="character" w:customStyle="1" w:styleId="34">
    <w:name w:val="Style5"/>
    <w:uiPriority w:val="99"/>
    <w:rPr>
      <w:rFonts w:ascii="Cambria" w:hAnsi="黑体" w:eastAsia="黑体" w:cs="Times New Roman"/>
      <w:sz w:val="22"/>
      <w:szCs w:val="22"/>
      <w:lang w:eastAsia="zh-CN"/>
    </w:rPr>
  </w:style>
  <w:style w:type="paragraph" w:styleId="35">
    <w:name w:val="List Paragraph"/>
    <w:basedOn w:val="1"/>
    <w:qFormat/>
    <w:uiPriority w:val="99"/>
    <w:pPr>
      <w:ind w:firstLine="420" w:firstLineChars="200"/>
    </w:pPr>
  </w:style>
  <w:style w:type="character" w:customStyle="1" w:styleId="36">
    <w:name w:val="批注文字 Char"/>
    <w:link w:val="6"/>
    <w:semiHidden/>
    <w:qFormat/>
    <w:uiPriority w:val="99"/>
    <w:rPr>
      <w:rFonts w:ascii="Times New Roman" w:hAnsi="Times New Roman" w:eastAsia="宋体"/>
      <w:szCs w:val="24"/>
    </w:rPr>
  </w:style>
  <w:style w:type="character" w:customStyle="1" w:styleId="37">
    <w:name w:val="批注主题 Char"/>
    <w:link w:val="13"/>
    <w:semiHidden/>
    <w:qFormat/>
    <w:uiPriority w:val="99"/>
    <w:rPr>
      <w:rFonts w:ascii="Times New Roman" w:hAnsi="Times New Roman" w:eastAsia="宋体"/>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5211</Words>
  <Characters>5592</Characters>
  <Lines>40</Lines>
  <Paragraphs>11</Paragraphs>
  <TotalTime>474</TotalTime>
  <ScaleCrop>false</ScaleCrop>
  <LinksUpToDate>false</LinksUpToDate>
  <CharactersWithSpaces>5613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上进兄</cp:lastModifiedBy>
  <cp:lastPrinted>2019-09-27T00:42:00Z</cp:lastPrinted>
  <dcterms:modified xsi:type="dcterms:W3CDTF">2024-07-19T08:53:50Z</dcterms:modified>
  <dc:subject>石家庄市xxx部门</dc:subject>
  <dc:title>2017年度部门决算</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5107C43CE85D4650879CA9684B9B79D9_13</vt:lpwstr>
  </property>
</Properties>
</file>