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ascii="Times New Roman" w:hAnsi="Times New Roman" w:eastAsia="方正小标宋简体" w:cs="Times New Roman"/>
          <w:sz w:val="44"/>
          <w:szCs w:val="44"/>
        </w:rPr>
        <w:t>解放道街道办事处20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解放道街道办事处20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（一）党政综合办公室：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（二）党建工作办公室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3.负责乡镇和街道党（工）委自身建设和基层党组织建设，以及其他隶属乡镇和街道党（工）委的党组织建设。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6.加强党员队伍建设，对党员进行教育、管理、监督和服务，做好经常性的发展党员工作。加强流动党员管理。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8.落实意识形态工作责任制，组织党员群众学习习近平新时代中国特色社会主义思想，培育和践行社会主义核心价值观，加强精神文明建设和文化建设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12.依照法定权限，做好本辖区的征兵、民兵、预备役、国防教育、国民经济动员、人民防空、国防交通、国防设施保护等工作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13.负责联系街道辖区内的人民代表大会代表，组织代表开展活动，反映代表和群众的建议、批评和意见，办理常务委员会交办的监督、选举以及其他工作，并向常务委员会报告工作。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（三）应急管理办公室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1.负责辖区内的食品安全隐患排查、信息报告、协助执法和宣传教育等工作、做好本行政区域内小作坊、小餐饮、小摊点的监督管理工作。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2.加强本辖区生产经营单位安全生产状况的监督检查、协助上级有关部门依法履行安全生产监督管理职责。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3.负责本辖区的消防工作、开展消防宣传、防火巡查、隐患查改。指导村（居）民委员会开展群众性的消防工作。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6.依法做好本辖区的突发事件应对工作，制定本级突发事件应急预案，组织开展应急演练。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7.负责辖区应急管理工作，建立健全应急联动机制，严格落实应急管理责任，加强基层综合应急队伍建设和应急保障能力建设。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8.负责本辖区内自然灾害救助工作，做好自然灾害风险排查、隐患治理、救助准备、信息报告、先期处置、应急救助、灾后救助和救助款物管理等工作。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（四）自然资源和生态环境办公室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3.按照职责分工负责本辖区河湖的水资源保护、水域岸线管理、水污染防治、水环境治理等工作，协助上级人民政府及其有关部门做好地下水相关管理和监督工作。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（五）综合行政执法队</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2.协助有关部门查处传销行为。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4.制定本辖区社会治安综合治理规划、检查、推动社会治安综合治理措施的落实，协调和督促有关部门开展法制宣传教育工作、调解各类纠纷。</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8.协调有关部门做好未成年人的保护工作。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（六）行政综合服务中心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（七）社区建设和物业监督管理办公室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（八）、综合文化服务站</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廊坊市广阳区解放道街道办事处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解放道街道办事处机关的收支包含在部门预算中。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解放道街道办事处</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2119.40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1887.85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231.55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8.88</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基层政权建设和社区治理</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243.55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135.35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商品和服务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108.20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231.55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解放道办事处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积极招商引资，大力发展城市经济。</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加快集聚，重塑楼宇优势。楼宇经济已成为城市经济发展的新风向。我们始终坚持把发展楼宇经济放在更加突出的位置，整合调动各种招商资源力量，促进楼宇品牌知名度大幅提升。解放道辖区内共有商务楼宇10栋，楼宇内注册企业达700余家。针对新世界中心、浙商广场、尚都金茂、尚都世贸等现代商务楼宇聚集的爱民道两侧区域，着力打造以科技、金融、电子商务为核心的现代服务业企业集群。利用金属大厦地靠钢材市场的区位优势，重点打造以商贸、物流企业为主的商贸企业集群。针对新朝阳二期、辉腾大厦两个新建楼宇，我们加强楼宇招商引资指导，鼓励引进培育高新技术、创意设计、电子商务等新业态。我街道将进一步完善机制、优化举措，不断丰富楼宇经济业态结构，营造区域联动、协调推进的良好氛围，为楼宇经济规模化、集群化发展提供新思路。</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是银企对接，实现互利双赢。面对经济下行压力，我们要立足辖区内企业实际，通过召开座谈会、登门拜访等方式，了解企业发展状况及现实困难。同时结合辖区内新世界中心、浙商广场等楼宇集聚的建设银行、廊坊银行、平安银行、招商银行等金融机构，组织召开银企对接会议，针对辖区内企业提出的融资需求及在融资过程中遇到的困难，为银企双方搭建沟通合作平台，银行机构针对企业尤其是中小微企业的优秀融资产品与企业进行沟通交流，有效解决银企信息不对称问题，有力提升金融服务的针对性和实效性。同时街道做好后续跟踪服务，确保融资意向早日落地，实现金融机构与企业双赢的局面。</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是外贸联盟，抱团出海受益。受国外疫情影响，外贸行业“举步维艰”。我们要对辖区19家外贸企业进行积极走访，通过对企业主营业务进行了解，分别帮助同业务领域的澳澜玻璃微珠、迪兰科技、回章贸易等三家出口玻璃微珠的企业，领尚家具、都华家具、赛唯进出口贸易等出口家具为主的企业召开座谈会，说困难、谈想法、解难题，从而做到抱团取暖。同时鼓励各外贸企业加入广阳区外贸协会，以市场为导向，遵守商业原则，加强行业自律，遵守联盟协议，拓展合作方式，扩大合作范围，实现互利共赢，促进全区外贸企业抱团出海，共同发展。下一步我们要加快洽谈“龙工场”跨境电商产业园项目，促进项目尽快成功落地后可以与外贸企业合作，为外贸企业提供业务订单及综合服务。</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是拉动消费，点亮夜间经济。要想进一步挖掘夜间经济的消费潜力，激发新一轮消费升级，仅是延长营业时间和增加商户数量是远远不够的。我们计划通过不断优化“廊坊印巷”软、硬件环境，提升“廊坊印巷”综合实力，引入运营企业进行整体提升和管理，联动步行街、时代广场等区域，打造特色夜间景观旅游、文艺演出、主题展览等多元文化形态，以满足不同年龄、文化背景和消费层次人群的需求。通过引进品牌店、网红店、体验店等新业态模式，营造体验式、沉浸式场景空间，利用互联网、媒体等方式加大对“廊坊印巷”的曝光力，打造网红打卡地，以“夜经济”为龙头聚人气、促经济，拉动第三产业回暖，聚焦“食、购、游、娱、文、体”，打造高端休闲商贸圈。</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突出民生福祉，扎实推动共同富裕。</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增强就业创业保障。坚持把促进就业放在各项工作首要位置，健全基本公共服务体系，坚持把解决人民群众最关心最直接最现实的利益问题作为民生建设的出发点和落脚点，加强普惠性、基础性、兜底性民生建设，使改革发展成果更多更公平惠及人民。二是做好低保动态化管理。应保尽保、应退尽退。做好80岁以上老人高龄补贴申报、复核及散居孤儿补贴申请申报工作。进一步加大社会救助政策宣传力度，切实提高居民对政策的知晓度和了解度，使符合救助条件的家庭及时提出社会救助申请，使社会救助政策真正受惠于民。三是积极推进医保扩面工作。在全面摸排的基础上，针对未参保人群，通过电话联系、微信群通知、张贴海报和发放宣传材料等方式大力宣传国家政策及相关规定，面对居民做到讲明白，说清楚，全面推进城镇居民基本医疗保险扩面工作，鼓励居民积极参保。</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深化安全监管，加强安全隐患排查</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落实社区巡查员、企业安管员培训，从业务能力、工作规范等多个方面提升综合检查能力。进一步加大隐患整治力度，对街道辖区内的安全生产重点监管单位、重大危险源进行重点监管检查，对一般单位实施定期或不定期专项检查，通过检查及时发现隐患，遏制一般事故，杜绝重大事故。</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加强环境治理，强化城市管理水平</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主抓重点街巷的治理，强化管理力度，对于重点街巷反映出来的市容环境、门前三包、摊点治理等难点问题及时解决，保证辖区环境良好，群众满意度不断提升。加大科技治霾力度加强学习培训，充分利用上级配发的各种检测仪器，坚持以数据说话，用事实说话，充分发挥群管理作用，利用辖区餐饮油烟管控群，加强管理，突出自行监督与巡查管控相结合，提高辖区企业的环保意识。</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1.社区党组织服务群众专项经费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绩效目标：通过基层项目的开展解决好关系群众切身利益问题和联系服务群众工作，促进社区基层党建工作顺利开展。</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为加强党对城市工作的全面领导，推动城市经济社会发展，结合我辖区14个社区实际情况，推动我社区基层党建工作，发挥社区党组织的主导作用，提升专业化服务水平。解决关系群众切身利益问题和联系服务群众工作，包括便民利民服务、服务设施维护、文化体育活动、党建工作宣传教育等方面支出。</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2.社区工作经费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绩效目标：通过社区各项日常办公费用支出，达到社区各项日常工作正常运转，实现加强和完善社区治理，基层和谐稳定，进一步健全城乡社区治理体系，推进治理能力现代化。      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社区办公经费主要用于社区居委会购置办公用品，支付水费、电费、取暖费、通信费、订阅报刊杂志，综合服务设施小额应急维修，组织居民和社区开展各种社会公益活动等费用。经费主要用于保障社区数量，维持社区日常工作的运转。</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3.社区招聘人员经费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绩效目标：通过按时发放社区聘用人员工资，缴纳各项保险，确保人员稳定，达到加强和完善社区治理，基层和谐稳定。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落实社区聘用人员工资及时准确发放，缴纳各项保险，确保人员稳定，实现进一步健全城乡社区治理体系，推进治理能力现代化。完善社区治理，事关基层和谐稳定，进一步健全城乡社区治理体系，推进治理能力现代化。</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4.社区楼门长工作经费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绩效目标：通过项目的开展完成楼门长补贴经费支出计划，推进社会治理重心向基层下移，实现政府治理和社会调节、居民参与的良性互动。</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绩效指标：确保楼门长的人数数量，以及补贴发放的及时性和准确性。</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5.新春驿站建设经费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按照街道党工委提出的“党建引领、分级管理、分类指导、平台助力、促进发展”的工作思路，启动“两新”组织党建指导服务中心建设，通过“党建+融合”方式，把党的先进思想和理念融合到非公企业经济发展和企业文化中，把非公党建新春驿站打造成助推民营经济高质量发展的开放平台。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绩效指标：及时完成驿站装修，提高驿站维修合格率，提升民营经济发展质量。</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6.机关事务管理经费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绩效目标：保证街道日常工作运转，水电费、办公用品、取暖、维稳、食堂运营的经费。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绩效指标：保障办公人数，日常办公需要，维持单位正常运转。</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1.完善制度建设。</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对财务制度以及相关配套制度进行更新和完善，规范票据管理和报销流程，确保有章可循和有章必循，进一步提升财政资金管理使用科学化规范化水平，为全年预算绩效目标的实现奠定制度基础。</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2.加强支出管理。</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细化代编预算、按规定及时安排资金等多种措施，确保支出进度达标。</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3.加强绩效运行监控。 </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按要求开展绩效运行监控，建立健全加强绩效监督管理运行长效机制，按月进行自查自纠，发现问题及时采取措施，确保绩效目标如期保质实现。</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4.做好绩效自评。</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按区财政局要求开展上年度部门预算绩效自评和重点评价工作，做好自评工作，对评价中发现的问题及时整改，调整优化支出结构，提高财政资金使用效益。</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5.规范资产管理。</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不断完善财务管理制度，提高规范化科学化管理水平，严格审批程序，加强固定资产登记、使用和报废处置管理，做到支出合理，物尽其用。</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6.加强内部监督。</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7.加强宣传培训调研等。</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99"/>
        <w:gridCol w:w="1417"/>
        <w:gridCol w:w="1701"/>
        <w:gridCol w:w="2126"/>
        <w:gridCol w:w="1701"/>
        <w:gridCol w:w="685"/>
        <w:gridCol w:w="488"/>
        <w:gridCol w:w="67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41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7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1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99" w:type="dxa"/>
            <w:vMerge w:val="continue"/>
            <w:tcBorders>
              <w:tl2br w:val="nil"/>
              <w:tr2bl w:val="nil"/>
            </w:tcBorders>
            <w:vAlign w:val="center"/>
          </w:tcPr>
          <w:p/>
        </w:tc>
        <w:tc>
          <w:tcPr>
            <w:tcW w:w="1417" w:type="dxa"/>
            <w:vMerge w:val="continue"/>
            <w:tcBorders>
              <w:tl2br w:val="nil"/>
              <w:tr2bl w:val="nil"/>
            </w:tcBorders>
            <w:vAlign w:val="center"/>
          </w:tcPr>
          <w:p/>
        </w:tc>
        <w:tc>
          <w:tcPr>
            <w:tcW w:w="1701" w:type="dxa"/>
            <w:vMerge w:val="continue"/>
            <w:tcBorders>
              <w:tl2br w:val="nil"/>
              <w:tr2bl w:val="nil"/>
            </w:tcBorders>
            <w:vAlign w:val="center"/>
          </w:tcPr>
          <w:p/>
        </w:tc>
        <w:tc>
          <w:tcPr>
            <w:tcW w:w="2126" w:type="dxa"/>
            <w:vMerge w:val="continue"/>
            <w:tcBorders>
              <w:tl2br w:val="nil"/>
              <w:tr2bl w:val="nil"/>
            </w:tcBorders>
            <w:vAlign w:val="center"/>
          </w:tcPr>
          <w:p/>
        </w:tc>
        <w:tc>
          <w:tcPr>
            <w:tcW w:w="1701" w:type="dxa"/>
            <w:vMerge w:val="continue"/>
            <w:tcBorders>
              <w:tl2br w:val="nil"/>
              <w:tr2bl w:val="nil"/>
            </w:tcBorders>
            <w:vAlign w:val="center"/>
          </w:tcPr>
          <w:p/>
        </w:tc>
        <w:tc>
          <w:tcPr>
            <w:tcW w:w="68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7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18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99"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保障人数</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反映保障人数</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此项15分，每少一个人扣0.1分</w:t>
            </w:r>
          </w:p>
        </w:tc>
        <w:tc>
          <w:tcPr>
            <w:tcW w:w="68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488" w:type="dxa"/>
            <w:tcBorders>
              <w:tl2br w:val="nil"/>
              <w:tr2bl w:val="nil"/>
            </w:tcBorders>
          </w:tcPr>
          <w:p>
            <w:pPr>
              <w:rPr>
                <w:rFonts w:hint="eastAsia" w:ascii="仿宋_GB2312" w:hAnsi="仿宋_GB2312" w:eastAsia="仿宋_GB2312" w:cs="仿宋_GB2312"/>
                <w:color w:val="000000"/>
                <w:sz w:val="22"/>
              </w:rPr>
            </w:pP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保人员稳定障</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反映各项日常工作保障情况</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此项15分，每少1%扣0.2分</w:t>
            </w: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职工工资及社保发放及时率</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反映工资发放的时效情况</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此项15分，每少1%扣0.2分</w:t>
            </w: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资金成本</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反映单位资金成本</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此项15分，每加减1万扣0.1分</w:t>
            </w: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231.55</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万元/年</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99"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701"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加强工作人员归属感，保持干部队伍稳定</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通过按时按标准发放工资福利等，进一步增强职工的归属感，保障办公正常运转</w:t>
            </w:r>
          </w:p>
          <w:p>
            <w:pPr>
              <w:widowControl/>
              <w:adjustRightInd w:val="0"/>
              <w:snapToGrid w:val="0"/>
              <w:rPr>
                <w:rFonts w:hint="eastAsia" w:ascii="仿宋_GB2312" w:hAnsi="仿宋_GB2312" w:eastAsia="仿宋_GB2312" w:cs="仿宋_GB2312"/>
              </w:rPr>
            </w:pPr>
          </w:p>
        </w:tc>
        <w:tc>
          <w:tcPr>
            <w:tcW w:w="1701"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此项20分，每少1%扣0.2分</w:t>
            </w:r>
          </w:p>
          <w:p>
            <w:pPr>
              <w:widowControl/>
              <w:adjustRightInd w:val="0"/>
              <w:snapToGrid w:val="0"/>
              <w:rPr>
                <w:rFonts w:hint="eastAsia" w:ascii="仿宋_GB2312" w:hAnsi="仿宋_GB2312" w:eastAsia="仿宋_GB2312" w:cs="仿宋_GB2312"/>
              </w:rPr>
            </w:pP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701"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群众满意度</w:t>
            </w:r>
          </w:p>
        </w:tc>
        <w:tc>
          <w:tcPr>
            <w:tcW w:w="2126"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反映群众对街道当年工作满意度</w:t>
            </w:r>
          </w:p>
        </w:tc>
        <w:tc>
          <w:tcPr>
            <w:tcW w:w="1701"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此项20分，每少1%扣0.2分</w:t>
            </w:r>
          </w:p>
        </w:tc>
        <w:tc>
          <w:tcPr>
            <w:tcW w:w="68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1.社区招聘人员经费[区级]（项目名称）绩效目标表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保障人数</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反映保障人数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≥61人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工资发放准确率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反映工资发放精准情况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个人保险申报表</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反映保险申报情况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工资发放及时率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反映工资发放的时效情况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社区聘用人员人均工资标准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社区聘用人员人均工资标准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≤4203元/人/月</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社区聘用人员人均保险所需资金</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社区聘用人员人均保险所需资金</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≤2469元/人/月</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确保人员稳定，实现进一步提升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反映人员稳定提升情况</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 不上访</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社区聘用人员的满意度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社区聘用人员满意的占总人数的比例</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r>
              <w:rPr>
                <w:rFonts w:hint="eastAsia" w:ascii="仿宋_GB2312" w:hAnsi="仿宋_GB2312" w:eastAsia="仿宋_GB2312" w:cs="仿宋_GB2312"/>
                <w:color w:val="000000"/>
                <w:kern w:val="0"/>
                <w:sz w:val="22"/>
              </w:rPr>
              <w:t>%</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年度考核</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.社区楼门长工作经费</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kern w:val="0"/>
                <w:sz w:val="24"/>
              </w:rPr>
              <w:t>通过项目的开展完成楼门长补贴经费支出计划，推进社会治理重心向基层下移，实现政府治理和社会调节、居民参与的良性互动。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补贴楼门长人员数量</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反映发放补贴的人数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=606人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补贴发放精准性</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反应补贴资金发放人员范围和发放数据的准确性</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补贴发放及时率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反映补贴发放时间及时性情况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有物业小区单元长补贴标准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有物业小区单元长补贴标准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=50元/月/人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有物业小区楼长、无物业小区单元长补贴标准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有物业小区楼长、无物业小区单元长补贴标准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=100元/月/人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无物业小区楼长补贴标准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无物业小区楼长补贴标准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=200元/月/人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补贴人群生活水平提高程度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反应补贴人群生活水平提高程度</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提升楼门长工作积极性</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楼门长满意度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.社区工作经费</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szCs w:val="21"/>
              </w:rPr>
              <w:t>通过社区各项日常办公费用支出，达到社区各项日常工作正常运转，实现加强和完善社区治理，基层和谐稳定，进一步健全城乡社区治理体系，推进治理能力现代化。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经费保障社区数量</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反应经费保障社区数量</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=14个</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反映各项日常工作保障情况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反映及时保障各项日常办公需要</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资金成本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反映单位资金成本</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≤10万元/社区/年</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保障日常办公需要，维持社区正常运转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反映保障日常办公需要，维持社区正常运转</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维持社区正常运转</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社区居民对社区服务的满意度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社区居民对社区当年工作满意度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.社区党组织服务群众专项经费[区级]</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color w:val="000000"/>
                <w:kern w:val="0"/>
                <w:sz w:val="22"/>
              </w:rPr>
              <w:t>通过推动我社区基层党建工作，实现社区党组织的主导作用，提升专业化服务水平。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项目保障社区数</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反映项目保障服务人数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=14个</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反映党组织日常工作保障情况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反应工作完成及时率</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资金成本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反映单位资金成本</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≤20万元/社区/年</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提升专业化服务水平</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反映专业化服务水平情况</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进一步提升</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社区居民对社区服务的满意度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社区居民对社区当年工作满意度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.新春驿站建设经费</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1.1、通过“党建+融合”方式，把党的先进思想和理念融合到非公企业经济发展和企业文化中，把非公党建新春驿站打造成助推民营经济高质量发展的开放平台。</w:t>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2.2、能够提升服务水平的不同层次、不同类型的典型，激励先进，鞭策后进，为党建工作开展常态化、作用发挥最大化提供坚实保障。</w:t>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3.3、驿站改造顺利完成，达到可使用状态，预算安排、成本支出合理，党建工作开展可持续健康发展。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维修面积</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驿站维修面积</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=300平方米</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维修合格率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驿站维修合格率</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预算支出资金成本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资金成本</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=45.22万元</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实际支出金额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项目完成时间</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在计划间内顺利完成</w:t>
            </w:r>
          </w:p>
        </w:tc>
        <w:tc>
          <w:tcPr>
            <w:tcW w:w="1843" w:type="dxa"/>
            <w:shd w:val="clear" w:color="auto" w:fill="auto"/>
          </w:tcPr>
          <w:p>
            <w:pPr>
              <w:jc w:val="left"/>
              <w:rPr>
                <w:rFonts w:hint="eastAsia" w:ascii="仿宋_GB2312" w:hAnsi="仿宋_GB2312" w:eastAsia="仿宋_GB2312" w:cs="仿宋_GB2312"/>
              </w:rPr>
            </w:pPr>
            <w:r>
              <w:rPr>
                <w:rFonts w:hint="eastAsia" w:ascii="仿宋_GB2312" w:hAnsi="仿宋_GB2312" w:eastAsia="仿宋_GB2312" w:cs="仿宋_GB2312"/>
              </w:rPr>
              <w:t>2022年12月31日前</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廊广解办字〔2021〕16号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可持续影响指标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驿站可使用年限</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驿站可使用年限</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≥3年</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廊广解办字〔2021〕16号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提升民营经济高质量发展</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提升民营经济高质量发展</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促进民营经济高质量发展</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廊广解办字〔2021〕16号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群众满意度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群众对党建活动满意度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6</w:t>
      </w:r>
      <w:r>
        <w:rPr>
          <w:rFonts w:hint="eastAsia" w:ascii="仿宋_GB2312" w:hAnsi="仿宋_GB2312" w:eastAsia="仿宋_GB2312" w:cs="仿宋_GB2312"/>
          <w:sz w:val="28"/>
        </w:rPr>
        <w:t>.机关事务管理经费绩效目标表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color w:val="000000"/>
                <w:kern w:val="0"/>
                <w:sz w:val="22"/>
              </w:rPr>
              <w:t>保证街道的日常工作的正常运转，群暖、慰问的办公经费。</w:t>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保障办公人数</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保障办公人数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≥196人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反映保障办公人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经费保障及时性</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经费保障及时性</w:t>
            </w:r>
          </w:p>
        </w:tc>
        <w:tc>
          <w:tcPr>
            <w:tcW w:w="1843" w:type="dxa"/>
            <w:shd w:val="clear" w:color="auto" w:fill="auto"/>
          </w:tcPr>
          <w:p>
            <w:pPr>
              <w:jc w:val="left"/>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反映及时保障各项日常办公需要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日常公用支出</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日常公用支出</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≤60万</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反映办公费及其他公用经费的开支标准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保障日常办公需要，维持单位正常运转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保障单位正常运转</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维持单位正常运转</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反映保障日常办公需要，维持单位正常运转。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日常办公保障满意度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机关工作人员对日常办公保障满意度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街道</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26.20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rPr>
        <w:t>广阳区解放道街道办事处</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rPr>
                <w:rFonts w:hint="default" w:eastAsiaTheme="minorEastAsia"/>
                <w:lang w:val="en-US" w:eastAsia="zh-CN"/>
              </w:rPr>
            </w:pPr>
            <w:r>
              <w:rPr>
                <w:rFonts w:hint="eastAsia" w:eastAsiaTheme="minorEastAsia"/>
                <w:lang w:val="en-US" w:eastAsia="zh-CN"/>
              </w:rPr>
              <w:t>40.40</w:t>
            </w: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rPr>
                <w:rFonts w:hint="default" w:eastAsia="方正书宋_GBK"/>
                <w:lang w:val="en-US" w:eastAsia="zh-CN"/>
              </w:rPr>
            </w:pPr>
            <w:r>
              <w:rPr>
                <w:rFonts w:hint="eastAsia"/>
                <w:lang w:val="en-US" w:eastAsia="zh-CN"/>
              </w:rPr>
              <w:t>40.40</w:t>
            </w:r>
          </w:p>
        </w:tc>
        <w:tc>
          <w:tcPr>
            <w:tcW w:w="964" w:type="dxa"/>
            <w:vAlign w:val="center"/>
          </w:tcPr>
          <w:p>
            <w:pPr>
              <w:pStyle w:val="21"/>
              <w:rPr>
                <w:rFonts w:hint="default" w:eastAsia="方正书宋_GBK"/>
                <w:lang w:val="en-US" w:eastAsia="zh-CN"/>
              </w:rPr>
            </w:pPr>
            <w:r>
              <w:rPr>
                <w:rFonts w:hint="eastAsia"/>
                <w:lang w:val="en-US" w:eastAsia="zh-CN"/>
              </w:rPr>
              <w:t>40.40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tcPr>
          <w:p>
            <w:r>
              <w:rPr>
                <w:rFonts w:hint="eastAsia"/>
              </w:rPr>
              <w:t>社区工作经费</w:t>
            </w:r>
          </w:p>
        </w:tc>
        <w:tc>
          <w:tcPr>
            <w:tcW w:w="964" w:type="dxa"/>
            <w:vAlign w:val="top"/>
          </w:tcPr>
          <w:p>
            <w:pPr>
              <w:pStyle w:val="21"/>
              <w:rPr>
                <w:b w:val="0"/>
              </w:rPr>
            </w:pPr>
            <w:r>
              <w:rPr>
                <w:b w:val="0"/>
              </w:rPr>
              <w:t>5.76</w:t>
            </w:r>
          </w:p>
        </w:tc>
        <w:tc>
          <w:tcPr>
            <w:tcW w:w="1134" w:type="dxa"/>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办公桌椅</w:t>
            </w:r>
          </w:p>
        </w:tc>
        <w:tc>
          <w:tcPr>
            <w:tcW w:w="1134" w:type="dxa"/>
            <w:vAlign w:val="center"/>
          </w:tcPr>
          <w:p>
            <w:pPr>
              <w:pStyle w:val="21"/>
            </w:pPr>
          </w:p>
        </w:tc>
        <w:tc>
          <w:tcPr>
            <w:tcW w:w="709" w:type="dxa"/>
          </w:tcPr>
          <w:p>
            <w:pPr>
              <w:pStyle w:val="21"/>
              <w:rPr>
                <w:b w:val="0"/>
              </w:rPr>
            </w:pPr>
            <w:r>
              <w:rPr>
                <w:rFonts w:hint="eastAsia"/>
                <w:b w:val="0"/>
              </w:rPr>
              <w:t>套</w:t>
            </w:r>
          </w:p>
        </w:tc>
        <w:tc>
          <w:tcPr>
            <w:tcW w:w="850" w:type="dxa"/>
          </w:tcPr>
          <w:p>
            <w:pPr>
              <w:pStyle w:val="21"/>
              <w:rPr>
                <w:b w:val="0"/>
              </w:rPr>
            </w:pPr>
            <w:r>
              <w:rPr>
                <w:b w:val="0"/>
              </w:rPr>
              <w:t>48</w:t>
            </w:r>
          </w:p>
        </w:tc>
        <w:tc>
          <w:tcPr>
            <w:tcW w:w="850" w:type="dxa"/>
          </w:tcPr>
          <w:p>
            <w:pPr>
              <w:pStyle w:val="21"/>
              <w:rPr>
                <w:b w:val="0"/>
              </w:rPr>
            </w:pPr>
            <w:r>
              <w:rPr>
                <w:b w:val="0"/>
              </w:rPr>
              <w:t>0.12</w:t>
            </w:r>
          </w:p>
        </w:tc>
        <w:tc>
          <w:tcPr>
            <w:tcW w:w="964" w:type="dxa"/>
          </w:tcPr>
          <w:p>
            <w:pPr>
              <w:pStyle w:val="21"/>
              <w:rPr>
                <w:b w:val="0"/>
              </w:rPr>
            </w:pPr>
            <w:r>
              <w:rPr>
                <w:b w:val="0"/>
              </w:rPr>
              <w:t>5.76</w:t>
            </w:r>
          </w:p>
        </w:tc>
        <w:tc>
          <w:tcPr>
            <w:tcW w:w="964" w:type="dxa"/>
          </w:tcPr>
          <w:p>
            <w:pPr>
              <w:pStyle w:val="21"/>
              <w:rPr>
                <w:b w:val="0"/>
              </w:rPr>
            </w:pPr>
            <w:r>
              <w:rPr>
                <w:b w:val="0"/>
              </w:rPr>
              <w:t>5.76</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tcPr>
          <w:p>
            <w:r>
              <w:rPr>
                <w:rFonts w:hint="eastAsia"/>
              </w:rPr>
              <w:t>社区工作经费</w:t>
            </w:r>
          </w:p>
        </w:tc>
        <w:tc>
          <w:tcPr>
            <w:tcW w:w="964" w:type="dxa"/>
            <w:vAlign w:val="top"/>
          </w:tcPr>
          <w:p>
            <w:pPr>
              <w:pStyle w:val="21"/>
              <w:rPr>
                <w:b w:val="0"/>
              </w:rPr>
            </w:pPr>
            <w:r>
              <w:rPr>
                <w:b w:val="0"/>
              </w:rPr>
              <w:t>13.44</w:t>
            </w:r>
          </w:p>
        </w:tc>
        <w:tc>
          <w:tcPr>
            <w:tcW w:w="1134" w:type="dxa"/>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电脑</w:t>
            </w:r>
          </w:p>
        </w:tc>
        <w:tc>
          <w:tcPr>
            <w:tcW w:w="1134" w:type="dxa"/>
            <w:vAlign w:val="center"/>
          </w:tcPr>
          <w:p>
            <w:pPr>
              <w:pStyle w:val="21"/>
            </w:pPr>
          </w:p>
        </w:tc>
        <w:tc>
          <w:tcPr>
            <w:tcW w:w="709" w:type="dxa"/>
          </w:tcPr>
          <w:p>
            <w:pPr>
              <w:pStyle w:val="21"/>
              <w:rPr>
                <w:b w:val="0"/>
              </w:rPr>
            </w:pPr>
            <w:r>
              <w:rPr>
                <w:rFonts w:hint="eastAsia"/>
                <w:b w:val="0"/>
              </w:rPr>
              <w:t>台</w:t>
            </w:r>
          </w:p>
        </w:tc>
        <w:tc>
          <w:tcPr>
            <w:tcW w:w="850" w:type="dxa"/>
          </w:tcPr>
          <w:p>
            <w:pPr>
              <w:pStyle w:val="21"/>
              <w:rPr>
                <w:b w:val="0"/>
              </w:rPr>
            </w:pPr>
            <w:r>
              <w:rPr>
                <w:b w:val="0"/>
              </w:rPr>
              <w:t>28</w:t>
            </w:r>
          </w:p>
        </w:tc>
        <w:tc>
          <w:tcPr>
            <w:tcW w:w="850" w:type="dxa"/>
          </w:tcPr>
          <w:p>
            <w:pPr>
              <w:pStyle w:val="21"/>
              <w:rPr>
                <w:b w:val="0"/>
              </w:rPr>
            </w:pPr>
            <w:r>
              <w:rPr>
                <w:b w:val="0"/>
              </w:rPr>
              <w:t>0.48</w:t>
            </w:r>
          </w:p>
        </w:tc>
        <w:tc>
          <w:tcPr>
            <w:tcW w:w="964" w:type="dxa"/>
          </w:tcPr>
          <w:p>
            <w:pPr>
              <w:pStyle w:val="21"/>
              <w:rPr>
                <w:b w:val="0"/>
              </w:rPr>
            </w:pPr>
            <w:r>
              <w:rPr>
                <w:b w:val="0"/>
              </w:rPr>
              <w:t>13.44</w:t>
            </w:r>
          </w:p>
        </w:tc>
        <w:tc>
          <w:tcPr>
            <w:tcW w:w="964" w:type="dxa"/>
          </w:tcPr>
          <w:p>
            <w:pPr>
              <w:pStyle w:val="21"/>
              <w:rPr>
                <w:b w:val="0"/>
              </w:rPr>
            </w:pPr>
            <w:r>
              <w:rPr>
                <w:b w:val="0"/>
              </w:rPr>
              <w:t>13.44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tcPr>
          <w:p>
            <w:r>
              <w:rPr>
                <w:rFonts w:hint="eastAsia"/>
              </w:rPr>
              <w:t>社区工作经费</w:t>
            </w:r>
          </w:p>
        </w:tc>
        <w:tc>
          <w:tcPr>
            <w:tcW w:w="964" w:type="dxa"/>
            <w:vAlign w:val="top"/>
          </w:tcPr>
          <w:p>
            <w:pPr>
              <w:pStyle w:val="21"/>
              <w:rPr>
                <w:b w:val="0"/>
              </w:rPr>
            </w:pPr>
            <w:r>
              <w:rPr>
                <w:b w:val="0"/>
              </w:rPr>
              <w:t>7.00</w:t>
            </w:r>
          </w:p>
        </w:tc>
        <w:tc>
          <w:tcPr>
            <w:tcW w:w="1134" w:type="dxa"/>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空调</w:t>
            </w:r>
          </w:p>
        </w:tc>
        <w:tc>
          <w:tcPr>
            <w:tcW w:w="1134" w:type="dxa"/>
            <w:vAlign w:val="center"/>
          </w:tcPr>
          <w:p>
            <w:pPr>
              <w:pStyle w:val="21"/>
            </w:pPr>
          </w:p>
        </w:tc>
        <w:tc>
          <w:tcPr>
            <w:tcW w:w="709" w:type="dxa"/>
          </w:tcPr>
          <w:p>
            <w:pPr>
              <w:pStyle w:val="21"/>
              <w:rPr>
                <w:b w:val="0"/>
              </w:rPr>
            </w:pPr>
            <w:r>
              <w:rPr>
                <w:rFonts w:hint="eastAsia"/>
                <w:b w:val="0"/>
              </w:rPr>
              <w:t>台</w:t>
            </w:r>
          </w:p>
        </w:tc>
        <w:tc>
          <w:tcPr>
            <w:tcW w:w="850" w:type="dxa"/>
          </w:tcPr>
          <w:p>
            <w:pPr>
              <w:pStyle w:val="21"/>
              <w:rPr>
                <w:b w:val="0"/>
              </w:rPr>
            </w:pPr>
            <w:r>
              <w:rPr>
                <w:b w:val="0"/>
              </w:rPr>
              <w:t>28</w:t>
            </w:r>
          </w:p>
        </w:tc>
        <w:tc>
          <w:tcPr>
            <w:tcW w:w="850" w:type="dxa"/>
          </w:tcPr>
          <w:p>
            <w:pPr>
              <w:pStyle w:val="21"/>
              <w:rPr>
                <w:b w:val="0"/>
              </w:rPr>
            </w:pPr>
            <w:r>
              <w:rPr>
                <w:b w:val="0"/>
              </w:rPr>
              <w:t>0.25</w:t>
            </w:r>
          </w:p>
        </w:tc>
        <w:tc>
          <w:tcPr>
            <w:tcW w:w="964" w:type="dxa"/>
          </w:tcPr>
          <w:p>
            <w:pPr>
              <w:pStyle w:val="21"/>
              <w:rPr>
                <w:b w:val="0"/>
              </w:rPr>
            </w:pPr>
            <w:r>
              <w:rPr>
                <w:b w:val="0"/>
              </w:rPr>
              <w:t>7.00</w:t>
            </w:r>
          </w:p>
        </w:tc>
        <w:tc>
          <w:tcPr>
            <w:tcW w:w="964" w:type="dxa"/>
          </w:tcPr>
          <w:p>
            <w:pPr>
              <w:pStyle w:val="21"/>
              <w:rPr>
                <w:b w:val="0"/>
              </w:rPr>
            </w:pPr>
            <w:r>
              <w:rPr>
                <w:b w:val="0"/>
              </w:rPr>
              <w:t>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rPr>
                <w:rFonts w:hint="eastAsia" w:eastAsia="方正书宋_GBK"/>
                <w:lang w:eastAsia="zh-CN"/>
              </w:rPr>
            </w:pPr>
            <w:r>
              <w:rPr>
                <w:rFonts w:hint="eastAsia"/>
                <w:lang w:eastAsia="zh-CN"/>
              </w:rPr>
              <w:t>办公费</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134" w:type="dxa"/>
            <w:vAlign w:val="top"/>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办公桌椅</w:t>
            </w:r>
          </w:p>
        </w:tc>
        <w:tc>
          <w:tcPr>
            <w:tcW w:w="1134" w:type="dxa"/>
            <w:vAlign w:val="center"/>
          </w:tcPr>
          <w:p>
            <w:pPr>
              <w:jc w:val="right"/>
            </w:pPr>
          </w:p>
        </w:tc>
        <w:tc>
          <w:tcPr>
            <w:tcW w:w="709"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套</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0.15</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r>
              <w:rPr>
                <w:rFonts w:hint="eastAsia"/>
                <w:lang w:eastAsia="zh-CN"/>
              </w:rPr>
              <w:t>办公费</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9.8</w:t>
            </w:r>
          </w:p>
        </w:tc>
        <w:tc>
          <w:tcPr>
            <w:tcW w:w="1134" w:type="dxa"/>
            <w:vAlign w:val="top"/>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电脑</w:t>
            </w:r>
          </w:p>
        </w:tc>
        <w:tc>
          <w:tcPr>
            <w:tcW w:w="1134" w:type="dxa"/>
            <w:vAlign w:val="center"/>
          </w:tcPr>
          <w:p>
            <w:pPr>
              <w:jc w:val="right"/>
            </w:pPr>
          </w:p>
        </w:tc>
        <w:tc>
          <w:tcPr>
            <w:tcW w:w="709"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20</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0.49</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9.8</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9.8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r>
              <w:rPr>
                <w:rFonts w:hint="eastAsia"/>
                <w:lang w:eastAsia="zh-CN"/>
              </w:rPr>
              <w:t>办公费</w:t>
            </w:r>
          </w:p>
        </w:tc>
        <w:tc>
          <w:tcPr>
            <w:tcW w:w="96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w:t>
            </w:r>
          </w:p>
        </w:tc>
        <w:tc>
          <w:tcPr>
            <w:tcW w:w="1134" w:type="dxa"/>
            <w:vAlign w:val="top"/>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空调</w:t>
            </w:r>
          </w:p>
        </w:tc>
        <w:tc>
          <w:tcPr>
            <w:tcW w:w="1134" w:type="dxa"/>
            <w:vAlign w:val="center"/>
          </w:tcPr>
          <w:p/>
        </w:tc>
        <w:tc>
          <w:tcPr>
            <w:tcW w:w="709"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0.29</w:t>
            </w:r>
          </w:p>
        </w:tc>
        <w:tc>
          <w:tcPr>
            <w:tcW w:w="96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w:t>
            </w:r>
          </w:p>
        </w:tc>
        <w:tc>
          <w:tcPr>
            <w:tcW w:w="96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廊坊市广阳区解放道街道办事处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945.446153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总额为26.20万元，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电脑、空调、办公家具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廊坊市广阳区解放道街道办事处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945.446153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2862.00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473.90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1300.00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473.90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33</w:t>
            </w:r>
            <w:r>
              <w:rPr>
                <w:rFonts w:hint="eastAsia" w:ascii="Times New Roman" w:hAnsi="Times New Roman" w:eastAsia="仿宋_GB2312" w:cs="Times New Roman"/>
                <w:sz w:val="22"/>
              </w:rPr>
              <w:t>.</w:t>
            </w:r>
            <w:r>
              <w:rPr>
                <w:rFonts w:ascii="Times New Roman" w:hAnsi="Times New Roman" w:eastAsia="仿宋_GB2312" w:cs="Times New Roman"/>
                <w:sz w:val="22"/>
              </w:rPr>
              <w:t>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437.646153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30</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A4EDC"/>
    <w:multiLevelType w:val="singleLevel"/>
    <w:tmpl w:val="86DA4ED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24"/>
    <w:rsid w:val="000B23B8"/>
    <w:rsid w:val="003F5A2E"/>
    <w:rsid w:val="00566B5E"/>
    <w:rsid w:val="00C32B24"/>
    <w:rsid w:val="00CB2E22"/>
    <w:rsid w:val="10263931"/>
    <w:rsid w:val="113A7AB0"/>
    <w:rsid w:val="1E932FD6"/>
    <w:rsid w:val="22AD36CD"/>
    <w:rsid w:val="25A466BB"/>
    <w:rsid w:val="2CBB372A"/>
    <w:rsid w:val="4F28775F"/>
    <w:rsid w:val="50264FA9"/>
    <w:rsid w:val="548B0C51"/>
    <w:rsid w:val="5DD532A7"/>
    <w:rsid w:val="767D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link w:val="14"/>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批注框文本 Char"/>
    <w:basedOn w:val="9"/>
    <w:link w:val="2"/>
    <w:qFormat/>
    <w:uiPriority w:val="0"/>
    <w:rPr>
      <w:rFonts w:ascii="Calibri" w:hAnsi="Calibri" w:eastAsia="宋体" w:cs="Arial"/>
      <w:sz w:val="18"/>
      <w:szCs w:val="18"/>
    </w:rPr>
  </w:style>
  <w:style w:type="character" w:customStyle="1" w:styleId="14">
    <w:name w:val="脚注文本 Char"/>
    <w:basedOn w:val="9"/>
    <w:link w:val="6"/>
    <w:qFormat/>
    <w:uiPriority w:val="0"/>
    <w:rPr>
      <w:rFonts w:ascii="Calibri" w:hAnsi="Calibri"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1919</Words>
  <Characters>10941</Characters>
  <Lines>91</Lines>
  <Paragraphs>25</Paragraphs>
  <TotalTime>1</TotalTime>
  <ScaleCrop>false</ScaleCrop>
  <LinksUpToDate>false</LinksUpToDate>
  <CharactersWithSpaces>12835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2022-03-09T07:58:00Z</dcterms:created>
  <dc:creator>Acer</dc:creator>
  <cp:lastModifiedBy>111</cp:lastModifiedBy>
  <dcterms:modified xsi:type="dcterms:W3CDTF">2024-07-18T02:20:33Z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BCCF067AC5E44E0E8B9C4C0F940BDB4B</vt:lpwstr>
  </property>
</Properties>
</file>