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1A9226F">
      <w:pPr>
        <w:widowControl/>
        <w:spacing w:line="1200" w:lineRule="exact"/>
        <w:jc w:val="center"/>
        <w:rPr>
          <w:rFonts w:ascii="黑体" w:eastAsia="黑体"/>
          <w:color w:val="000000"/>
          <w:sz w:val="96"/>
          <w:szCs w:val="96"/>
        </w:rPr>
      </w:pPr>
    </w:p>
    <w:p w14:paraId="0D7B7568">
      <w:pPr>
        <w:widowControl/>
        <w:spacing w:line="1200" w:lineRule="exact"/>
        <w:jc w:val="center"/>
        <w:rPr>
          <w:rFonts w:ascii="黑体" w:eastAsia="黑体"/>
          <w:color w:val="000000"/>
          <w:sz w:val="96"/>
          <w:szCs w:val="96"/>
        </w:rPr>
      </w:pPr>
    </w:p>
    <w:p w14:paraId="2E7397CC">
      <w:pPr>
        <w:widowControl/>
        <w:spacing w:line="1200" w:lineRule="exact"/>
        <w:jc w:val="center"/>
        <w:rPr>
          <w:color w:val="000000"/>
          <w:sz w:val="96"/>
          <w:szCs w:val="96"/>
        </w:rPr>
      </w:pPr>
      <w:r>
        <w:rPr>
          <w:sz w:val="84"/>
          <w:szCs w:val="84"/>
        </w:rPr>
        <w:t>201</w:t>
      </w:r>
      <w:r>
        <w:rPr>
          <w:rFonts w:hint="eastAsia"/>
          <w:sz w:val="84"/>
          <w:szCs w:val="84"/>
        </w:rPr>
        <w:t>8</w:t>
      </w:r>
      <w:r>
        <w:rPr>
          <w:sz w:val="84"/>
          <w:szCs w:val="84"/>
        </w:rPr>
        <w:t>年度部门决算公开</w:t>
      </w:r>
    </w:p>
    <w:p w14:paraId="295A826C">
      <w:pPr>
        <w:widowControl/>
        <w:jc w:val="center"/>
        <w:rPr>
          <w:rFonts w:ascii="黑体" w:eastAsia="黑体"/>
          <w:color w:val="002060"/>
          <w:sz w:val="72"/>
          <w:szCs w:val="72"/>
        </w:rPr>
      </w:pPr>
    </w:p>
    <w:p w14:paraId="5069880F">
      <w:pPr>
        <w:widowControl/>
        <w:jc w:val="center"/>
        <w:rPr>
          <w:rFonts w:ascii="黑体" w:eastAsia="黑体"/>
          <w:b/>
          <w:sz w:val="72"/>
          <w:szCs w:val="72"/>
        </w:rPr>
      </w:pPr>
    </w:p>
    <w:p w14:paraId="66165056">
      <w:pPr>
        <w:widowControl/>
        <w:jc w:val="center"/>
        <w:rPr>
          <w:rFonts w:ascii="黑体" w:eastAsia="黑体"/>
          <w:b/>
          <w:sz w:val="72"/>
          <w:szCs w:val="72"/>
        </w:rPr>
      </w:pPr>
    </w:p>
    <w:p w14:paraId="5CCDAB0D">
      <w:pPr>
        <w:widowControl/>
        <w:jc w:val="center"/>
        <w:rPr>
          <w:rFonts w:ascii="黑体" w:eastAsia="黑体"/>
          <w:b/>
          <w:sz w:val="72"/>
          <w:szCs w:val="72"/>
        </w:rPr>
      </w:pPr>
    </w:p>
    <w:p w14:paraId="3D9E7F4E">
      <w:pPr>
        <w:widowControl/>
        <w:jc w:val="center"/>
        <w:rPr>
          <w:rFonts w:ascii="黑体" w:eastAsia="黑体"/>
          <w:b/>
          <w:sz w:val="72"/>
          <w:szCs w:val="72"/>
        </w:rPr>
      </w:pPr>
    </w:p>
    <w:p w14:paraId="63F46C2A">
      <w:pPr>
        <w:widowControl/>
        <w:spacing w:line="580" w:lineRule="exact"/>
        <w:rPr>
          <w:rFonts w:ascii="黑体" w:eastAsia="黑体"/>
          <w:b/>
          <w:sz w:val="72"/>
          <w:szCs w:val="72"/>
        </w:rPr>
      </w:pPr>
    </w:p>
    <w:p w14:paraId="7441FCB1">
      <w:pPr>
        <w:widowControl/>
        <w:spacing w:line="580" w:lineRule="exact"/>
        <w:jc w:val="center"/>
        <w:rPr>
          <w:b/>
          <w:sz w:val="44"/>
          <w:szCs w:val="44"/>
        </w:rPr>
      </w:pPr>
      <w:r>
        <w:rPr>
          <w:b/>
          <w:sz w:val="44"/>
          <w:szCs w:val="44"/>
        </w:rPr>
        <w:t>廊坊市广阳区</w:t>
      </w:r>
      <w:bookmarkStart w:id="0" w:name="_GoBack"/>
      <w:r>
        <w:rPr>
          <w:b/>
          <w:sz w:val="44"/>
          <w:szCs w:val="44"/>
        </w:rPr>
        <w:t>九州镇人民政府</w:t>
      </w:r>
      <w:bookmarkEnd w:id="0"/>
    </w:p>
    <w:p w14:paraId="1B87A808">
      <w:pPr>
        <w:jc w:val="center"/>
      </w:pPr>
    </w:p>
    <w:p w14:paraId="574AC13E"/>
    <w:p w14:paraId="2DBE1E96"/>
    <w:p w14:paraId="7326B588"/>
    <w:p w14:paraId="1791C543"/>
    <w:p w14:paraId="1DE0FB1E"/>
    <w:p w14:paraId="24130843"/>
    <w:p w14:paraId="166F68E5"/>
    <w:p w14:paraId="0EA32421"/>
    <w:p w14:paraId="0D450C1F"/>
    <w:p w14:paraId="714192A5">
      <w:pPr>
        <w:widowControl/>
        <w:jc w:val="center"/>
        <w:rPr>
          <w:color w:val="000000"/>
          <w:sz w:val="72"/>
          <w:szCs w:val="72"/>
        </w:rPr>
      </w:pPr>
      <w:r>
        <w:rPr>
          <w:rFonts w:hint="eastAsia" w:ascii="黑体" w:eastAsia="黑体"/>
          <w:color w:val="000000"/>
          <w:sz w:val="72"/>
          <w:szCs w:val="72"/>
        </w:rPr>
        <w:t>第一部分  部门概况</w:t>
      </w:r>
    </w:p>
    <w:p w14:paraId="41902DEE"/>
    <w:p w14:paraId="0F3F28A7">
      <w:pPr>
        <w:pStyle w:val="2"/>
        <w:spacing w:before="0" w:after="0" w:line="600" w:lineRule="exact"/>
        <w:ind w:left="72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14:paraId="0C1A80D3">
      <w:pPr>
        <w:pStyle w:val="23"/>
        <w:widowControl/>
        <w:snapToGrid w:val="0"/>
        <w:spacing w:line="300" w:lineRule="auto"/>
        <w:ind w:firstLine="640"/>
        <w:jc w:val="both"/>
        <w:rPr>
          <w:rFonts w:ascii="仿宋_GB2312" w:eastAsia="仿宋_GB2312" w:cs="仿宋_GB2312"/>
          <w:kern w:val="2"/>
          <w:sz w:val="32"/>
          <w:szCs w:val="32"/>
        </w:rPr>
      </w:pPr>
      <w:r>
        <w:rPr>
          <w:rFonts w:hint="eastAsia" w:ascii="仿宋_GB2312" w:eastAsia="仿宋_GB2312" w:cs="仿宋_GB2312"/>
          <w:kern w:val="2"/>
          <w:sz w:val="32"/>
          <w:szCs w:val="32"/>
        </w:rPr>
        <w:t>（一）围绕区政府各时期的中心工作和重点工作，加强调查研究，及时了解、掌握经济和社会发展动态，及时反应信息情况，提出建议。</w:t>
      </w:r>
    </w:p>
    <w:p w14:paraId="7F4FEC71">
      <w:pPr>
        <w:pStyle w:val="23"/>
        <w:widowControl/>
        <w:snapToGrid w:val="0"/>
        <w:spacing w:line="300" w:lineRule="auto"/>
        <w:ind w:firstLine="640"/>
        <w:jc w:val="both"/>
        <w:rPr>
          <w:rFonts w:ascii="仿宋_GB2312" w:eastAsia="仿宋_GB2312" w:cs="仿宋_GB2312"/>
          <w:kern w:val="2"/>
          <w:sz w:val="32"/>
          <w:szCs w:val="32"/>
        </w:rPr>
      </w:pPr>
      <w:r>
        <w:rPr>
          <w:rFonts w:hint="eastAsia" w:ascii="仿宋_GB2312" w:eastAsia="仿宋_GB2312" w:cs="仿宋_GB2312"/>
          <w:kern w:val="2"/>
          <w:sz w:val="32"/>
          <w:szCs w:val="32"/>
        </w:rPr>
        <w:t>（二）负责区政府各种会议的准备工作，协助区政领导同志组织各类会议。</w:t>
      </w:r>
    </w:p>
    <w:p w14:paraId="08403D83">
      <w:pPr>
        <w:pStyle w:val="23"/>
        <w:widowControl/>
        <w:snapToGrid w:val="0"/>
        <w:spacing w:line="300" w:lineRule="auto"/>
        <w:ind w:firstLine="640"/>
        <w:jc w:val="both"/>
        <w:rPr>
          <w:rFonts w:ascii="仿宋_GB2312" w:eastAsia="仿宋_GB2312" w:cs="仿宋_GB2312"/>
          <w:kern w:val="2"/>
          <w:sz w:val="32"/>
          <w:szCs w:val="32"/>
        </w:rPr>
      </w:pPr>
      <w:r>
        <w:rPr>
          <w:rFonts w:hint="eastAsia" w:ascii="仿宋_GB2312" w:eastAsia="仿宋_GB2312" w:cs="仿宋_GB2312"/>
          <w:kern w:val="2"/>
          <w:sz w:val="32"/>
          <w:szCs w:val="32"/>
        </w:rPr>
        <w:t>（三）负责区政府重要文、电的起草、审核把关和政府机关的文书处理工作；负责区政府机关的档案管理、印信管理和保密工作。</w:t>
      </w:r>
    </w:p>
    <w:p w14:paraId="6457DD24">
      <w:pPr>
        <w:pStyle w:val="23"/>
        <w:widowControl/>
        <w:snapToGrid w:val="0"/>
        <w:spacing w:line="300" w:lineRule="auto"/>
        <w:ind w:firstLine="640"/>
        <w:jc w:val="both"/>
        <w:rPr>
          <w:rFonts w:ascii="仿宋_GB2312" w:eastAsia="仿宋_GB2312" w:cs="仿宋_GB2312"/>
          <w:kern w:val="2"/>
          <w:sz w:val="32"/>
          <w:szCs w:val="32"/>
        </w:rPr>
      </w:pPr>
      <w:r>
        <w:rPr>
          <w:rFonts w:hint="eastAsia" w:ascii="仿宋_GB2312" w:eastAsia="仿宋_GB2312" w:cs="仿宋_GB2312"/>
          <w:kern w:val="2"/>
          <w:sz w:val="32"/>
          <w:szCs w:val="32"/>
        </w:rPr>
        <w:t>（四）负责区政府工作报告、领导同志重要讲话及其他重要材料的起草、修改工作。</w:t>
      </w:r>
    </w:p>
    <w:p w14:paraId="053926BF">
      <w:pPr>
        <w:pStyle w:val="23"/>
        <w:widowControl/>
        <w:snapToGrid w:val="0"/>
        <w:spacing w:line="300" w:lineRule="auto"/>
        <w:ind w:firstLine="640"/>
        <w:jc w:val="both"/>
        <w:rPr>
          <w:rFonts w:ascii="仿宋_GB2312" w:eastAsia="仿宋_GB2312" w:cs="仿宋_GB2312"/>
          <w:kern w:val="2"/>
          <w:sz w:val="32"/>
          <w:szCs w:val="32"/>
        </w:rPr>
      </w:pPr>
      <w:r>
        <w:rPr>
          <w:rFonts w:hint="eastAsia" w:ascii="仿宋_GB2312" w:eastAsia="仿宋_GB2312" w:cs="仿宋_GB2312"/>
          <w:kern w:val="2"/>
          <w:sz w:val="32"/>
          <w:szCs w:val="32"/>
        </w:rPr>
        <w:t>（五）根据工作需要，负责与区委、人大、政协、纪委、中省直驻廊单位和驻廊部队的联系；协调乡镇、街办处、部门之间的关系和工作，对重要的问题提出处理意见，报区政府领导审定。</w:t>
      </w:r>
    </w:p>
    <w:p w14:paraId="42E5A9E1">
      <w:pPr>
        <w:pStyle w:val="23"/>
        <w:widowControl/>
        <w:snapToGrid w:val="0"/>
        <w:spacing w:line="300" w:lineRule="auto"/>
        <w:ind w:firstLine="640"/>
        <w:jc w:val="both"/>
        <w:rPr>
          <w:rFonts w:ascii="仿宋_GB2312" w:eastAsia="仿宋_GB2312" w:cs="仿宋_GB2312"/>
          <w:kern w:val="2"/>
          <w:sz w:val="32"/>
          <w:szCs w:val="32"/>
        </w:rPr>
      </w:pPr>
      <w:r>
        <w:rPr>
          <w:rFonts w:hint="eastAsia" w:ascii="仿宋_GB2312" w:eastAsia="仿宋_GB2312" w:cs="仿宋_GB2312"/>
          <w:kern w:val="2"/>
          <w:sz w:val="32"/>
          <w:szCs w:val="32"/>
        </w:rPr>
        <w:t>（六）督促检查区政府各部门、各乡镇人民政府、街道办事处对省政府、市政府、区政府重要文件，区政府会议决定事项及区政府领导同志重要批示的执行、落实情况，并向区政府领导同志报告。</w:t>
      </w:r>
    </w:p>
    <w:p w14:paraId="73AB0261">
      <w:pPr>
        <w:pStyle w:val="23"/>
        <w:widowControl/>
        <w:snapToGrid w:val="0"/>
        <w:spacing w:line="300" w:lineRule="auto"/>
        <w:ind w:firstLine="640"/>
        <w:jc w:val="both"/>
        <w:rPr>
          <w:rFonts w:ascii="仿宋_GB2312" w:eastAsia="仿宋_GB2312" w:cs="仿宋_GB2312"/>
          <w:kern w:val="2"/>
          <w:sz w:val="32"/>
          <w:szCs w:val="32"/>
        </w:rPr>
      </w:pPr>
      <w:r>
        <w:rPr>
          <w:rFonts w:hint="eastAsia" w:ascii="仿宋_GB2312" w:eastAsia="仿宋_GB2312" w:cs="仿宋_GB2312"/>
          <w:kern w:val="2"/>
          <w:sz w:val="32"/>
          <w:szCs w:val="32"/>
        </w:rPr>
        <w:t>（七）负责区政府机关值班工作，及时向区政府领导同志报告重要情况，协助领导同志组织处理突发事件、重大灾情和重大事故。</w:t>
      </w:r>
    </w:p>
    <w:p w14:paraId="3F31176B">
      <w:pPr>
        <w:pStyle w:val="23"/>
        <w:widowControl/>
        <w:snapToGrid w:val="0"/>
        <w:spacing w:line="300" w:lineRule="auto"/>
        <w:ind w:firstLine="640"/>
        <w:jc w:val="both"/>
        <w:rPr>
          <w:rFonts w:ascii="仿宋_GB2312" w:eastAsia="仿宋_GB2312" w:cs="仿宋_GB2312"/>
          <w:kern w:val="2"/>
          <w:sz w:val="32"/>
          <w:szCs w:val="32"/>
        </w:rPr>
      </w:pPr>
      <w:r>
        <w:rPr>
          <w:rFonts w:hint="eastAsia" w:ascii="仿宋_GB2312" w:eastAsia="仿宋_GB2312" w:cs="仿宋_GB2312"/>
          <w:kern w:val="2"/>
          <w:sz w:val="32"/>
          <w:szCs w:val="32"/>
        </w:rPr>
        <w:t>（八）负责全国、省、市、区人大代表建议、批评、意见及全国、省、市、区政协提案的办理工作。</w:t>
      </w:r>
    </w:p>
    <w:p w14:paraId="60BFBE77">
      <w:pPr>
        <w:pStyle w:val="23"/>
        <w:widowControl/>
        <w:snapToGrid w:val="0"/>
        <w:spacing w:line="300" w:lineRule="auto"/>
        <w:ind w:firstLine="640"/>
        <w:jc w:val="both"/>
        <w:rPr>
          <w:rFonts w:ascii="仿宋_GB2312" w:eastAsia="仿宋_GB2312" w:cs="仿宋_GB2312"/>
          <w:kern w:val="2"/>
          <w:sz w:val="32"/>
          <w:szCs w:val="32"/>
        </w:rPr>
      </w:pPr>
      <w:r>
        <w:rPr>
          <w:rFonts w:hint="eastAsia" w:ascii="仿宋_GB2312" w:eastAsia="仿宋_GB2312" w:cs="仿宋_GB2312"/>
          <w:kern w:val="2"/>
          <w:sz w:val="32"/>
          <w:szCs w:val="32"/>
        </w:rPr>
        <w:t>（九）负责区政府外宾、内宾接待，公务接待工作。</w:t>
      </w:r>
    </w:p>
    <w:p w14:paraId="4B56A3F0">
      <w:pPr>
        <w:pStyle w:val="23"/>
        <w:widowControl/>
        <w:snapToGrid w:val="0"/>
        <w:spacing w:line="300" w:lineRule="auto"/>
        <w:ind w:firstLine="640"/>
        <w:jc w:val="both"/>
        <w:rPr>
          <w:rFonts w:ascii="仿宋_GB2312" w:eastAsia="仿宋_GB2312" w:cs="仿宋_GB2312"/>
          <w:kern w:val="2"/>
          <w:sz w:val="32"/>
          <w:szCs w:val="32"/>
        </w:rPr>
      </w:pPr>
      <w:r>
        <w:rPr>
          <w:rFonts w:hint="eastAsia" w:ascii="仿宋_GB2312" w:eastAsia="仿宋_GB2312" w:cs="仿宋_GB2312"/>
          <w:kern w:val="2"/>
          <w:sz w:val="32"/>
          <w:szCs w:val="32"/>
        </w:rPr>
        <w:t>（十）负责经济体制改革工作，负责区政府机关事务管理工作。</w:t>
      </w:r>
    </w:p>
    <w:p w14:paraId="3FDF3294">
      <w:pPr>
        <w:pStyle w:val="23"/>
        <w:widowControl/>
        <w:snapToGrid w:val="0"/>
        <w:spacing w:line="300" w:lineRule="auto"/>
        <w:ind w:firstLine="640"/>
        <w:jc w:val="both"/>
        <w:rPr>
          <w:rFonts w:ascii="仿宋_GB2312" w:eastAsia="仿宋_GB2312" w:cs="仿宋_GB2312"/>
          <w:kern w:val="2"/>
          <w:sz w:val="32"/>
          <w:szCs w:val="32"/>
        </w:rPr>
      </w:pPr>
      <w:r>
        <w:rPr>
          <w:rFonts w:hint="eastAsia" w:ascii="仿宋_GB2312" w:eastAsia="仿宋_GB2312" w:cs="仿宋_GB2312"/>
          <w:kern w:val="2"/>
          <w:sz w:val="32"/>
          <w:szCs w:val="32"/>
        </w:rPr>
        <w:t>（十一）负责全区民族宗教工作；负责全区法制工作。</w:t>
      </w:r>
    </w:p>
    <w:p w14:paraId="7504B115">
      <w:pPr>
        <w:pStyle w:val="23"/>
        <w:widowControl/>
        <w:snapToGrid w:val="0"/>
        <w:spacing w:line="300" w:lineRule="auto"/>
        <w:ind w:firstLine="640"/>
        <w:jc w:val="both"/>
        <w:rPr>
          <w:rFonts w:ascii="仿宋_GB2312" w:eastAsia="仿宋_GB2312" w:cs="仿宋_GB2312"/>
          <w:kern w:val="2"/>
          <w:sz w:val="32"/>
          <w:szCs w:val="32"/>
        </w:rPr>
      </w:pPr>
      <w:r>
        <w:rPr>
          <w:rFonts w:hint="eastAsia" w:ascii="仿宋_GB2312" w:eastAsia="仿宋_GB2312" w:cs="仿宋_GB2312"/>
          <w:kern w:val="2"/>
          <w:sz w:val="32"/>
          <w:szCs w:val="32"/>
        </w:rPr>
        <w:t>（十二）办理区政府领导交办的其他事项。</w:t>
      </w:r>
    </w:p>
    <w:p w14:paraId="0B37ACE6">
      <w:pPr>
        <w:pStyle w:val="2"/>
        <w:spacing w:before="0" w:after="0" w:line="600" w:lineRule="exact"/>
        <w:ind w:firstLine="640"/>
        <w:jc w:val="left"/>
        <w:rPr>
          <w:rFonts w:ascii="黑体" w:eastAsia="黑体" w:cs="黑体"/>
          <w:b w:val="0"/>
          <w:bCs w:val="0"/>
          <w:kern w:val="0"/>
          <w:sz w:val="32"/>
          <w:szCs w:val="32"/>
        </w:rPr>
      </w:pPr>
      <w:r>
        <w:rPr>
          <w:rFonts w:hint="eastAsia" w:ascii="黑体" w:eastAsia="黑体" w:cs="黑体"/>
          <w:b w:val="0"/>
          <w:bCs w:val="0"/>
          <w:kern w:val="0"/>
          <w:sz w:val="32"/>
          <w:szCs w:val="32"/>
        </w:rPr>
        <w:t>二、机构设置</w:t>
      </w:r>
    </w:p>
    <w:p w14:paraId="3454EE5D">
      <w:pPr>
        <w:spacing w:after="0" w:line="560" w:lineRule="exact"/>
        <w:ind w:firstLine="640"/>
        <w:rPr>
          <w:rFonts w:ascii="仿宋_GB2312" w:eastAsia="仿宋_GB2312" w:cs="ArialUnicodeMS"/>
          <w:kern w:val="0"/>
          <w:sz w:val="32"/>
          <w:szCs w:val="32"/>
        </w:rPr>
      </w:pPr>
      <w:r>
        <w:rPr>
          <w:rFonts w:hint="eastAsia" w:ascii="仿宋_GB2312" w:eastAsia="仿宋_GB2312" w:cs="ArialUnicodeMS"/>
          <w:kern w:val="0"/>
          <w:sz w:val="32"/>
          <w:szCs w:val="32"/>
        </w:rPr>
        <w:t>从决算编报单位构成看，纳入2018 年度本部门决算汇编范围的独立核算单位（以下简称“单位”）共1个，具体情况如下：</w:t>
      </w:r>
    </w:p>
    <w:tbl>
      <w:tblPr>
        <w:tblStyle w:val="13"/>
        <w:tblpPr w:leftFromText="180" w:rightFromText="180" w:vertAnchor="text" w:horzAnchor="page" w:tblpXSpec="center" w:tblpY="10"/>
        <w:tblOverlap w:val="never"/>
        <w:tblW w:w="9580" w:type="dxa"/>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985"/>
        <w:gridCol w:w="3485"/>
        <w:gridCol w:w="2445"/>
        <w:gridCol w:w="2665"/>
      </w:tblGrid>
      <w:tr w14:paraId="561D109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11" w:hRule="atLeast"/>
        </w:trPr>
        <w:tc>
          <w:tcPr>
            <w:tcW w:w="985" w:type="dxa"/>
            <w:vAlign w:val="center"/>
          </w:tcPr>
          <w:p w14:paraId="65B72054">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序号</w:t>
            </w:r>
          </w:p>
        </w:tc>
        <w:tc>
          <w:tcPr>
            <w:tcW w:w="3485" w:type="dxa"/>
            <w:vAlign w:val="center"/>
          </w:tcPr>
          <w:p w14:paraId="042C2465">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单位名称</w:t>
            </w:r>
          </w:p>
        </w:tc>
        <w:tc>
          <w:tcPr>
            <w:tcW w:w="2445" w:type="dxa"/>
            <w:vAlign w:val="center"/>
          </w:tcPr>
          <w:p w14:paraId="1CFAB6EA">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单位基本性质</w:t>
            </w:r>
          </w:p>
        </w:tc>
        <w:tc>
          <w:tcPr>
            <w:tcW w:w="2665" w:type="dxa"/>
            <w:vAlign w:val="center"/>
          </w:tcPr>
          <w:p w14:paraId="74496B2B">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经费形式</w:t>
            </w:r>
          </w:p>
        </w:tc>
      </w:tr>
      <w:tr w14:paraId="3439F2D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985" w:type="dxa"/>
          </w:tcPr>
          <w:p w14:paraId="53B9C78B">
            <w:pPr>
              <w:spacing w:after="0"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1</w:t>
            </w:r>
          </w:p>
        </w:tc>
        <w:tc>
          <w:tcPr>
            <w:tcW w:w="3485" w:type="dxa"/>
          </w:tcPr>
          <w:p w14:paraId="1603AC5D">
            <w:pPr>
              <w:spacing w:after="0" w:line="560" w:lineRule="exact"/>
              <w:rPr>
                <w:rFonts w:ascii="仿宋_GB2312" w:eastAsia="仿宋_GB2312" w:cs="ArialUnicodeMS"/>
                <w:kern w:val="0"/>
                <w:sz w:val="28"/>
                <w:szCs w:val="28"/>
              </w:rPr>
            </w:pPr>
            <w:r>
              <w:rPr>
                <w:rFonts w:ascii="仿宋_GB2312" w:eastAsia="仿宋_GB2312" w:cs="ArialUnicodeMS"/>
                <w:kern w:val="0"/>
                <w:sz w:val="28"/>
                <w:szCs w:val="28"/>
              </w:rPr>
              <w:t>九州镇人民政府</w:t>
            </w:r>
          </w:p>
        </w:tc>
        <w:tc>
          <w:tcPr>
            <w:tcW w:w="2445" w:type="dxa"/>
          </w:tcPr>
          <w:p w14:paraId="7221E3BE">
            <w:pPr>
              <w:spacing w:after="0" w:line="560" w:lineRule="exact"/>
              <w:jc w:val="center"/>
              <w:rPr>
                <w:rFonts w:ascii="仿宋_GB2312" w:eastAsia="仿宋_GB2312" w:cs="ArialUnicodeMS"/>
                <w:kern w:val="0"/>
                <w:sz w:val="28"/>
                <w:szCs w:val="28"/>
              </w:rPr>
            </w:pPr>
            <w:r>
              <w:rPr>
                <w:rFonts w:ascii="仿宋_GB2312" w:eastAsia="仿宋_GB2312" w:cs="ArialUnicodeMS"/>
                <w:kern w:val="0"/>
                <w:sz w:val="28"/>
                <w:szCs w:val="28"/>
              </w:rPr>
              <w:t>行政</w:t>
            </w:r>
          </w:p>
        </w:tc>
        <w:tc>
          <w:tcPr>
            <w:tcW w:w="2665" w:type="dxa"/>
          </w:tcPr>
          <w:p w14:paraId="40A944E7">
            <w:pPr>
              <w:spacing w:after="0" w:line="560" w:lineRule="exact"/>
              <w:jc w:val="center"/>
              <w:rPr>
                <w:rFonts w:ascii="仿宋_GB2312" w:eastAsia="仿宋_GB2312" w:cs="ArialUnicodeMS"/>
                <w:kern w:val="0"/>
                <w:sz w:val="28"/>
                <w:szCs w:val="28"/>
              </w:rPr>
            </w:pPr>
            <w:r>
              <w:rPr>
                <w:rFonts w:ascii="仿宋_GB2312" w:eastAsia="仿宋_GB2312" w:cs="ArialUnicodeMS"/>
                <w:kern w:val="0"/>
                <w:sz w:val="28"/>
                <w:szCs w:val="28"/>
              </w:rPr>
              <w:t>财政拨款</w:t>
            </w:r>
          </w:p>
        </w:tc>
      </w:tr>
      <w:tr w14:paraId="5EC5F57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06" w:hRule="atLeast"/>
        </w:trPr>
        <w:tc>
          <w:tcPr>
            <w:tcW w:w="9580" w:type="dxa"/>
            <w:gridSpan w:val="4"/>
            <w:tcBorders>
              <w:top w:val="single" w:color="auto" w:sz="4" w:space="0"/>
              <w:left w:val="nil"/>
              <w:bottom w:val="nil"/>
              <w:right w:val="nil"/>
            </w:tcBorders>
          </w:tcPr>
          <w:p w14:paraId="3FB0E164">
            <w:pPr>
              <w:spacing w:after="0" w:line="560" w:lineRule="exact"/>
              <w:ind w:firstLine="560"/>
              <w:jc w:val="left"/>
              <w:rPr>
                <w:rFonts w:ascii="仿宋_GB2312" w:eastAsia="仿宋_GB2312" w:cs="ArialUnicodeMS"/>
                <w:kern w:val="0"/>
                <w:sz w:val="28"/>
                <w:szCs w:val="28"/>
              </w:rPr>
            </w:pPr>
          </w:p>
        </w:tc>
      </w:tr>
    </w:tbl>
    <w:p w14:paraId="6C452D43">
      <w:pPr>
        <w:widowControl/>
        <w:spacing w:line="560" w:lineRule="exact"/>
        <w:rPr>
          <w:rFonts w:ascii="黑体" w:eastAsia="黑体" w:cs="MS-UIGothic,Bold"/>
          <w:bCs/>
          <w:kern w:val="0"/>
          <w:sz w:val="52"/>
          <w:szCs w:val="52"/>
        </w:rPr>
      </w:pPr>
    </w:p>
    <w:p w14:paraId="26F21681">
      <w:pPr>
        <w:widowControl/>
        <w:spacing w:line="560" w:lineRule="exact"/>
        <w:jc w:val="center"/>
        <w:rPr>
          <w:rFonts w:ascii="黑体" w:eastAsia="黑体" w:cs="MS-UIGothic,Bold"/>
          <w:bCs/>
          <w:kern w:val="0"/>
          <w:sz w:val="52"/>
          <w:szCs w:val="52"/>
        </w:rPr>
        <w:sectPr>
          <w:pgSz w:w="11906" w:h="16838"/>
          <w:pgMar w:top="2098" w:right="1474" w:bottom="1984" w:left="1588" w:header="851" w:footer="992" w:gutter="0"/>
          <w:cols w:space="720" w:num="1"/>
          <w:docGrid w:type="lines" w:linePitch="312" w:charSpace="0"/>
        </w:sectPr>
      </w:pPr>
    </w:p>
    <w:p w14:paraId="422D3F59">
      <w:pPr>
        <w:widowControl/>
        <w:spacing w:line="1200" w:lineRule="exact"/>
        <w:jc w:val="center"/>
        <w:rPr>
          <w:rFonts w:ascii="黑体" w:eastAsia="黑体"/>
          <w:color w:val="000000"/>
          <w:sz w:val="72"/>
          <w:szCs w:val="96"/>
        </w:rPr>
      </w:pPr>
    </w:p>
    <w:p w14:paraId="32C53FF8">
      <w:pPr>
        <w:widowControl/>
        <w:spacing w:line="1200" w:lineRule="exact"/>
        <w:jc w:val="center"/>
        <w:rPr>
          <w:rFonts w:ascii="黑体" w:eastAsia="黑体"/>
          <w:color w:val="000000"/>
          <w:sz w:val="72"/>
          <w:szCs w:val="96"/>
        </w:rPr>
      </w:pPr>
    </w:p>
    <w:p w14:paraId="5C46D093">
      <w:pPr>
        <w:widowControl/>
        <w:spacing w:line="1200" w:lineRule="exact"/>
        <w:jc w:val="center"/>
        <w:rPr>
          <w:rFonts w:ascii="黑体" w:eastAsia="黑体"/>
          <w:color w:val="000000"/>
          <w:sz w:val="72"/>
          <w:szCs w:val="96"/>
        </w:rPr>
      </w:pPr>
    </w:p>
    <w:p w14:paraId="76C8BFD0">
      <w:pPr>
        <w:widowControl/>
        <w:spacing w:line="1200" w:lineRule="exact"/>
        <w:jc w:val="center"/>
        <w:rPr>
          <w:rFonts w:ascii="黑体" w:eastAsia="黑体"/>
          <w:color w:val="000000"/>
          <w:sz w:val="72"/>
          <w:szCs w:val="96"/>
        </w:rPr>
      </w:pPr>
      <w:r>
        <w:rPr>
          <w:rFonts w:hint="eastAsia" w:ascii="黑体" w:eastAsia="黑体"/>
          <w:color w:val="000000"/>
          <w:sz w:val="72"/>
          <w:szCs w:val="96"/>
        </w:rPr>
        <w:t>第二部分</w:t>
      </w:r>
    </w:p>
    <w:p w14:paraId="6F4D7EA4">
      <w:pPr>
        <w:widowControl/>
        <w:spacing w:line="1200" w:lineRule="exact"/>
        <w:jc w:val="center"/>
        <w:rPr>
          <w:color w:val="000000"/>
          <w:sz w:val="72"/>
          <w:szCs w:val="96"/>
        </w:rPr>
      </w:pPr>
      <w:r>
        <w:rPr>
          <w:rFonts w:hint="eastAsia" w:ascii="黑体" w:eastAsia="黑体"/>
          <w:color w:val="000000"/>
          <w:sz w:val="72"/>
          <w:szCs w:val="96"/>
        </w:rPr>
        <w:t>2018年度部门决算报表</w:t>
      </w:r>
    </w:p>
    <w:p w14:paraId="2B0DB81D">
      <w:pPr>
        <w:widowControl/>
        <w:spacing w:line="560" w:lineRule="exact"/>
        <w:jc w:val="center"/>
        <w:rPr>
          <w:rFonts w:ascii="黑体" w:eastAsia="黑体" w:cs="MS-UIGothic,Bold"/>
          <w:bCs/>
          <w:kern w:val="0"/>
          <w:sz w:val="52"/>
          <w:szCs w:val="52"/>
        </w:rPr>
      </w:pPr>
    </w:p>
    <w:p w14:paraId="4AE3BE10">
      <w:pPr>
        <w:widowControl/>
        <w:spacing w:line="560" w:lineRule="exact"/>
        <w:jc w:val="center"/>
        <w:rPr>
          <w:rFonts w:ascii="黑体" w:eastAsia="黑体" w:cs="MS-UIGothic,Bold"/>
          <w:bCs/>
          <w:kern w:val="0"/>
          <w:sz w:val="52"/>
          <w:szCs w:val="52"/>
        </w:rPr>
      </w:pPr>
    </w:p>
    <w:p w14:paraId="3E3121E5">
      <w:pPr>
        <w:widowControl/>
        <w:spacing w:line="560" w:lineRule="exact"/>
        <w:jc w:val="center"/>
        <w:rPr>
          <w:rFonts w:ascii="黑体" w:eastAsia="黑体" w:cs="MS-UIGothic,Bold"/>
          <w:bCs/>
          <w:kern w:val="0"/>
          <w:sz w:val="52"/>
          <w:szCs w:val="52"/>
        </w:rPr>
      </w:pPr>
    </w:p>
    <w:p w14:paraId="4D1D3204">
      <w:pPr>
        <w:widowControl/>
        <w:spacing w:line="560" w:lineRule="exact"/>
        <w:jc w:val="center"/>
        <w:rPr>
          <w:rFonts w:ascii="黑体" w:eastAsia="黑体" w:cs="MS-UIGothic,Bold"/>
          <w:bCs/>
          <w:kern w:val="0"/>
          <w:sz w:val="52"/>
          <w:szCs w:val="52"/>
        </w:rPr>
      </w:pPr>
    </w:p>
    <w:p w14:paraId="20F12DDB">
      <w:pPr>
        <w:widowControl/>
        <w:spacing w:line="560" w:lineRule="exact"/>
        <w:jc w:val="center"/>
        <w:rPr>
          <w:rFonts w:ascii="黑体" w:eastAsia="黑体" w:cs="MS-UIGothic,Bold"/>
          <w:bCs/>
          <w:kern w:val="0"/>
          <w:sz w:val="52"/>
          <w:szCs w:val="52"/>
        </w:rPr>
      </w:pPr>
    </w:p>
    <w:p w14:paraId="095C4BD7">
      <w:pPr>
        <w:widowControl/>
        <w:spacing w:line="560" w:lineRule="exact"/>
        <w:jc w:val="center"/>
        <w:rPr>
          <w:rFonts w:ascii="黑体" w:eastAsia="黑体" w:cs="MS-UIGothic,Bold"/>
          <w:bCs/>
          <w:kern w:val="0"/>
          <w:sz w:val="52"/>
          <w:szCs w:val="52"/>
        </w:rPr>
      </w:pPr>
    </w:p>
    <w:p w14:paraId="2F50ACBA">
      <w:pPr>
        <w:widowControl/>
        <w:spacing w:line="560" w:lineRule="exact"/>
        <w:jc w:val="center"/>
        <w:rPr>
          <w:rFonts w:ascii="黑体" w:eastAsia="黑体" w:cs="MS-UIGothic,Bold"/>
          <w:bCs/>
          <w:kern w:val="0"/>
          <w:sz w:val="52"/>
          <w:szCs w:val="52"/>
        </w:rPr>
      </w:pPr>
    </w:p>
    <w:p w14:paraId="234C9024">
      <w:pPr>
        <w:widowControl/>
        <w:spacing w:line="560" w:lineRule="exact"/>
        <w:jc w:val="center"/>
        <w:rPr>
          <w:rFonts w:ascii="黑体" w:eastAsia="黑体" w:cs="MS-UIGothic,Bold"/>
          <w:bCs/>
          <w:kern w:val="0"/>
          <w:sz w:val="52"/>
          <w:szCs w:val="52"/>
        </w:rPr>
      </w:pPr>
    </w:p>
    <w:p w14:paraId="2FD68E14">
      <w:pPr>
        <w:widowControl/>
        <w:spacing w:line="560" w:lineRule="exact"/>
        <w:jc w:val="center"/>
        <w:rPr>
          <w:rFonts w:ascii="黑体" w:eastAsia="黑体" w:cs="MS-UIGothic,Bold"/>
          <w:bCs/>
          <w:kern w:val="0"/>
          <w:sz w:val="52"/>
          <w:szCs w:val="52"/>
        </w:rPr>
      </w:pPr>
    </w:p>
    <w:p w14:paraId="61BE8CE8">
      <w:pPr>
        <w:widowControl/>
        <w:spacing w:line="560" w:lineRule="exact"/>
        <w:jc w:val="center"/>
        <w:rPr>
          <w:rFonts w:ascii="黑体" w:eastAsia="黑体" w:cs="MS-UIGothic,Bold"/>
          <w:bCs/>
          <w:kern w:val="0"/>
          <w:sz w:val="52"/>
          <w:szCs w:val="52"/>
        </w:rPr>
      </w:pPr>
    </w:p>
    <w:p w14:paraId="41152258">
      <w:pPr>
        <w:widowControl/>
        <w:spacing w:line="560" w:lineRule="exact"/>
        <w:jc w:val="center"/>
        <w:rPr>
          <w:rFonts w:ascii="黑体" w:eastAsia="黑体" w:cs="MS-UIGothic,Bold"/>
          <w:bCs/>
          <w:kern w:val="0"/>
          <w:sz w:val="52"/>
          <w:szCs w:val="52"/>
        </w:rPr>
      </w:pPr>
    </w:p>
    <w:p w14:paraId="487CCC9A">
      <w:pPr>
        <w:widowControl/>
        <w:spacing w:line="560" w:lineRule="exact"/>
        <w:jc w:val="center"/>
        <w:rPr>
          <w:rFonts w:ascii="黑体" w:eastAsia="黑体" w:cs="MS-UIGothic,Bold"/>
          <w:bCs/>
          <w:kern w:val="0"/>
          <w:sz w:val="52"/>
          <w:szCs w:val="52"/>
        </w:rPr>
      </w:pPr>
    </w:p>
    <w:p w14:paraId="1892A757">
      <w:pPr>
        <w:widowControl/>
        <w:spacing w:line="580" w:lineRule="exact"/>
        <w:ind w:firstLine="640"/>
        <w:rPr>
          <w:rFonts w:eastAsia="仿宋_GB2312"/>
          <w:sz w:val="20"/>
          <w:szCs w:val="32"/>
        </w:rPr>
      </w:pPr>
      <w:r>
        <w:rPr>
          <w:rFonts w:eastAsia="黑体"/>
          <w:sz w:val="32"/>
          <w:szCs w:val="32"/>
        </w:rPr>
        <w:t>第二部分   201</w:t>
      </w:r>
      <w:r>
        <w:rPr>
          <w:rFonts w:hint="eastAsia" w:eastAsia="黑体"/>
          <w:sz w:val="32"/>
          <w:szCs w:val="32"/>
        </w:rPr>
        <w:t>8</w:t>
      </w:r>
      <w:r>
        <w:rPr>
          <w:rFonts w:eastAsia="黑体"/>
          <w:sz w:val="32"/>
          <w:szCs w:val="32"/>
        </w:rPr>
        <w:t>年度部门决算报表</w:t>
      </w:r>
    </w:p>
    <w:p w14:paraId="7D954086">
      <w:pPr>
        <w:widowControl/>
        <w:spacing w:line="580" w:lineRule="exact"/>
        <w:ind w:left="640" w:firstLine="640"/>
        <w:rPr>
          <w:rFonts w:eastAsia="仿宋_GB2312"/>
          <w:sz w:val="32"/>
          <w:szCs w:val="32"/>
        </w:rPr>
      </w:pPr>
      <w:r>
        <w:rPr>
          <w:rFonts w:eastAsia="仿宋_GB2312"/>
          <w:sz w:val="32"/>
          <w:szCs w:val="32"/>
        </w:rPr>
        <w:t>一、收入支出决算总表</w:t>
      </w:r>
    </w:p>
    <w:p w14:paraId="4D4D7FA8">
      <w:pPr>
        <w:widowControl/>
        <w:spacing w:line="580" w:lineRule="exact"/>
        <w:ind w:left="640" w:firstLine="640"/>
        <w:rPr>
          <w:rFonts w:eastAsia="仿宋_GB2312"/>
          <w:sz w:val="32"/>
          <w:szCs w:val="32"/>
        </w:rPr>
      </w:pPr>
      <w:r>
        <w:rPr>
          <w:rFonts w:eastAsia="仿宋_GB2312"/>
          <w:sz w:val="32"/>
          <w:szCs w:val="32"/>
        </w:rPr>
        <w:t>二、收入决算表</w:t>
      </w:r>
    </w:p>
    <w:p w14:paraId="319EF066">
      <w:pPr>
        <w:widowControl/>
        <w:spacing w:line="580" w:lineRule="exact"/>
        <w:ind w:left="640" w:firstLine="640"/>
        <w:rPr>
          <w:rFonts w:eastAsia="仿宋_GB2312"/>
          <w:sz w:val="32"/>
          <w:szCs w:val="32"/>
        </w:rPr>
      </w:pPr>
      <w:r>
        <w:rPr>
          <w:rFonts w:eastAsia="仿宋_GB2312"/>
          <w:sz w:val="32"/>
          <w:szCs w:val="32"/>
        </w:rPr>
        <w:t>三、支出决算表</w:t>
      </w:r>
    </w:p>
    <w:p w14:paraId="516713CC">
      <w:pPr>
        <w:widowControl/>
        <w:spacing w:line="580" w:lineRule="exact"/>
        <w:ind w:left="640" w:firstLine="640"/>
        <w:rPr>
          <w:rFonts w:eastAsia="仿宋_GB2312"/>
          <w:sz w:val="32"/>
          <w:szCs w:val="32"/>
        </w:rPr>
      </w:pPr>
      <w:r>
        <w:rPr>
          <w:rFonts w:eastAsia="仿宋_GB2312"/>
          <w:sz w:val="32"/>
          <w:szCs w:val="32"/>
        </w:rPr>
        <w:t>四、财政拨款收入支出决算总表</w:t>
      </w:r>
    </w:p>
    <w:p w14:paraId="5183030D">
      <w:pPr>
        <w:widowControl/>
        <w:spacing w:line="580" w:lineRule="exact"/>
        <w:ind w:left="640" w:firstLine="640"/>
        <w:rPr>
          <w:rFonts w:eastAsia="仿宋_GB2312"/>
          <w:sz w:val="32"/>
          <w:szCs w:val="32"/>
        </w:rPr>
      </w:pPr>
      <w:r>
        <w:rPr>
          <w:rFonts w:eastAsia="仿宋_GB2312"/>
          <w:sz w:val="32"/>
          <w:szCs w:val="32"/>
        </w:rPr>
        <w:t>五、一般公共预算财政拨款支出决算表</w:t>
      </w:r>
    </w:p>
    <w:p w14:paraId="3E239972">
      <w:pPr>
        <w:widowControl/>
        <w:spacing w:line="580" w:lineRule="exact"/>
        <w:ind w:left="640" w:firstLine="640"/>
        <w:rPr>
          <w:rFonts w:eastAsia="仿宋_GB2312"/>
          <w:sz w:val="32"/>
          <w:szCs w:val="32"/>
        </w:rPr>
      </w:pPr>
      <w:r>
        <w:rPr>
          <w:rFonts w:eastAsia="仿宋_GB2312"/>
          <w:sz w:val="32"/>
          <w:szCs w:val="32"/>
        </w:rPr>
        <w:t>六、一般公共预算财政拨款基本支出决算表</w:t>
      </w:r>
    </w:p>
    <w:p w14:paraId="5856A3EF">
      <w:pPr>
        <w:widowControl/>
        <w:spacing w:line="580" w:lineRule="exact"/>
        <w:ind w:left="640" w:firstLine="640"/>
        <w:rPr>
          <w:rFonts w:eastAsia="仿宋_GB2312"/>
          <w:sz w:val="32"/>
          <w:szCs w:val="32"/>
        </w:rPr>
      </w:pPr>
      <w:r>
        <w:rPr>
          <w:rFonts w:eastAsia="仿宋_GB2312"/>
          <w:sz w:val="32"/>
          <w:szCs w:val="32"/>
        </w:rPr>
        <w:t>七、</w:t>
      </w:r>
      <w:r>
        <w:rPr>
          <w:rFonts w:hint="eastAsia" w:eastAsia="仿宋_GB2312"/>
          <w:sz w:val="32"/>
          <w:szCs w:val="32"/>
        </w:rPr>
        <w:t>一般公共预算财政拨款</w:t>
      </w:r>
      <w:r>
        <w:rPr>
          <w:rFonts w:eastAsia="仿宋_GB2312"/>
          <w:sz w:val="32"/>
          <w:szCs w:val="32"/>
        </w:rPr>
        <w:t>“三公”经费</w:t>
      </w:r>
      <w:r>
        <w:rPr>
          <w:rFonts w:hint="eastAsia" w:eastAsia="仿宋_GB2312"/>
          <w:sz w:val="32"/>
          <w:szCs w:val="32"/>
        </w:rPr>
        <w:t>支出决算表</w:t>
      </w:r>
    </w:p>
    <w:p w14:paraId="6F08F02B">
      <w:pPr>
        <w:widowControl/>
        <w:spacing w:line="580" w:lineRule="exact"/>
        <w:ind w:left="640" w:firstLine="640"/>
        <w:rPr>
          <w:rFonts w:eastAsia="仿宋_GB2312"/>
          <w:sz w:val="32"/>
          <w:szCs w:val="32"/>
        </w:rPr>
      </w:pPr>
      <w:r>
        <w:rPr>
          <w:rFonts w:hint="eastAsia" w:eastAsia="仿宋_GB2312"/>
          <w:sz w:val="32"/>
          <w:szCs w:val="32"/>
        </w:rPr>
        <w:t>八、</w:t>
      </w:r>
      <w:r>
        <w:rPr>
          <w:rFonts w:eastAsia="仿宋_GB2312"/>
          <w:sz w:val="32"/>
          <w:szCs w:val="32"/>
        </w:rPr>
        <w:t>政府性基金预算财政拨款收入支出决算表</w:t>
      </w:r>
    </w:p>
    <w:p w14:paraId="212BDFCA">
      <w:pPr>
        <w:widowControl/>
        <w:spacing w:line="580" w:lineRule="exact"/>
        <w:ind w:left="640" w:firstLine="640"/>
        <w:rPr>
          <w:rFonts w:eastAsia="仿宋_GB2312"/>
          <w:sz w:val="32"/>
          <w:szCs w:val="32"/>
        </w:rPr>
      </w:pPr>
      <w:r>
        <w:rPr>
          <w:rFonts w:hint="eastAsia" w:eastAsia="仿宋_GB2312"/>
          <w:sz w:val="32"/>
          <w:szCs w:val="32"/>
        </w:rPr>
        <w:t>九</w:t>
      </w:r>
      <w:r>
        <w:rPr>
          <w:rFonts w:eastAsia="仿宋_GB2312"/>
          <w:sz w:val="32"/>
          <w:szCs w:val="32"/>
        </w:rPr>
        <w:t>、国有资本经营预算</w:t>
      </w:r>
      <w:r>
        <w:rPr>
          <w:rFonts w:hint="eastAsia" w:eastAsia="仿宋_GB2312"/>
          <w:sz w:val="32"/>
          <w:szCs w:val="32"/>
        </w:rPr>
        <w:t>财政拨款</w:t>
      </w:r>
      <w:r>
        <w:rPr>
          <w:rFonts w:eastAsia="仿宋_GB2312"/>
          <w:sz w:val="32"/>
          <w:szCs w:val="32"/>
        </w:rPr>
        <w:t>支出决算表</w:t>
      </w:r>
    </w:p>
    <w:p w14:paraId="5F0EA309">
      <w:pPr>
        <w:widowControl/>
        <w:spacing w:line="580" w:lineRule="exact"/>
        <w:ind w:left="640" w:firstLine="640"/>
        <w:rPr>
          <w:rFonts w:eastAsia="仿宋_GB2312"/>
          <w:sz w:val="32"/>
          <w:szCs w:val="32"/>
        </w:rPr>
      </w:pPr>
      <w:r>
        <w:rPr>
          <w:rFonts w:hint="eastAsia" w:eastAsia="仿宋_GB2312"/>
          <w:sz w:val="32"/>
          <w:szCs w:val="32"/>
        </w:rPr>
        <w:t>十</w:t>
      </w:r>
      <w:r>
        <w:rPr>
          <w:rFonts w:eastAsia="仿宋_GB2312"/>
          <w:sz w:val="32"/>
          <w:szCs w:val="32"/>
        </w:rPr>
        <w:t>、政府采购情况表</w:t>
      </w:r>
    </w:p>
    <w:p w14:paraId="5363C84A">
      <w:pPr>
        <w:rPr>
          <w:rFonts w:ascii="宋体" w:cs="ArialUnicodeMS"/>
          <w:color w:val="000000"/>
          <w:kern w:val="0"/>
        </w:rPr>
      </w:pPr>
    </w:p>
    <w:p w14:paraId="7A07FD6A">
      <w:pPr>
        <w:tabs>
          <w:tab w:val="left" w:pos="1086"/>
        </w:tabs>
        <w:jc w:val="left"/>
        <w:rPr>
          <w:rFonts w:ascii="仿宋_GB2312" w:eastAsia="仿宋_GB2312"/>
          <w:b/>
          <w:sz w:val="28"/>
          <w:szCs w:val="28"/>
          <w:highlight w:val="yellow"/>
        </w:rPr>
        <w:sectPr>
          <w:pgSz w:w="11906" w:h="16838"/>
          <w:pgMar w:top="2098" w:right="1474" w:bottom="1984" w:left="1588" w:header="851" w:footer="992" w:gutter="0"/>
          <w:cols w:space="720" w:num="1"/>
          <w:docGrid w:type="lines" w:linePitch="312" w:charSpace="0"/>
        </w:sectPr>
      </w:pPr>
      <w:r>
        <w:rPr>
          <w:rFonts w:hint="eastAsia"/>
        </w:rPr>
        <w:tab/>
      </w:r>
    </w:p>
    <w:p w14:paraId="1381F1FC">
      <w:pPr>
        <w:widowControl/>
        <w:spacing w:line="1200" w:lineRule="exact"/>
        <w:jc w:val="center"/>
        <w:rPr>
          <w:rFonts w:ascii="黑体" w:eastAsia="黑体"/>
          <w:color w:val="000000"/>
          <w:sz w:val="96"/>
          <w:szCs w:val="96"/>
        </w:rPr>
      </w:pPr>
    </w:p>
    <w:p w14:paraId="737E737F">
      <w:pPr>
        <w:widowControl/>
        <w:spacing w:line="1200" w:lineRule="exact"/>
        <w:jc w:val="center"/>
        <w:rPr>
          <w:rFonts w:ascii="黑体" w:eastAsia="黑体"/>
          <w:color w:val="000000"/>
          <w:sz w:val="96"/>
          <w:szCs w:val="96"/>
        </w:rPr>
      </w:pPr>
    </w:p>
    <w:p w14:paraId="568775F6">
      <w:pPr>
        <w:widowControl/>
        <w:spacing w:line="1200" w:lineRule="exact"/>
        <w:jc w:val="center"/>
        <w:rPr>
          <w:rFonts w:ascii="黑体" w:eastAsia="黑体"/>
          <w:color w:val="000000"/>
          <w:sz w:val="96"/>
          <w:szCs w:val="96"/>
        </w:rPr>
      </w:pPr>
    </w:p>
    <w:p w14:paraId="5F1C6EDB">
      <w:pPr>
        <w:widowControl/>
        <w:spacing w:line="1200" w:lineRule="exact"/>
        <w:jc w:val="center"/>
        <w:rPr>
          <w:rFonts w:ascii="黑体" w:eastAsia="黑体"/>
          <w:color w:val="000000"/>
          <w:sz w:val="72"/>
          <w:szCs w:val="72"/>
        </w:rPr>
      </w:pPr>
      <w:r>
        <w:rPr>
          <w:rFonts w:hint="eastAsia" w:ascii="黑体" w:eastAsia="黑体"/>
          <w:color w:val="000000"/>
          <w:sz w:val="72"/>
          <w:szCs w:val="72"/>
        </w:rPr>
        <w:t>第三部分</w:t>
      </w:r>
    </w:p>
    <w:p w14:paraId="7DD2F488">
      <w:pPr>
        <w:widowControl/>
        <w:spacing w:line="1200" w:lineRule="exact"/>
        <w:jc w:val="center"/>
        <w:rPr>
          <w:color w:val="000000"/>
          <w:sz w:val="72"/>
          <w:szCs w:val="72"/>
        </w:rPr>
      </w:pPr>
      <w:r>
        <w:rPr>
          <w:rFonts w:hint="eastAsia" w:ascii="黑体" w:eastAsia="黑体"/>
          <w:color w:val="000000"/>
          <w:sz w:val="72"/>
          <w:szCs w:val="72"/>
        </w:rPr>
        <w:t>部门决算情况说明</w:t>
      </w:r>
    </w:p>
    <w:p w14:paraId="7DB72944">
      <w:pPr>
        <w:rPr>
          <w:rFonts w:ascii="宋体" w:cs="ArialUnicodeMS"/>
          <w:color w:val="000000"/>
          <w:kern w:val="0"/>
        </w:rPr>
        <w:sectPr>
          <w:pgSz w:w="11906" w:h="16838"/>
          <w:pgMar w:top="2098" w:right="1474" w:bottom="1984" w:left="1588" w:header="851" w:footer="992" w:gutter="0"/>
          <w:cols w:space="720" w:num="1"/>
          <w:docGrid w:type="lines" w:linePitch="312" w:charSpace="0"/>
        </w:sectPr>
      </w:pPr>
    </w:p>
    <w:p w14:paraId="2C6B893A">
      <w:pPr>
        <w:pStyle w:val="3"/>
        <w:numPr>
          <w:ilvl w:val="0"/>
          <w:numId w:val="1"/>
        </w:numPr>
        <w:spacing w:before="0" w:after="0" w:line="580" w:lineRule="exact"/>
        <w:rPr>
          <w:rFonts w:ascii="黑体" w:eastAsia="黑体"/>
          <w:b w:val="0"/>
          <w:bCs w:val="0"/>
        </w:rPr>
      </w:pPr>
      <w:r>
        <w:rPr>
          <w:rFonts w:hint="eastAsia" w:ascii="黑体" w:eastAsia="黑体"/>
          <w:b w:val="0"/>
          <w:bCs w:val="0"/>
        </w:rPr>
        <w:t>收入</w:t>
      </w:r>
      <w:r>
        <w:rPr>
          <w:rFonts w:hint="eastAsia" w:ascii="黑体" w:eastAsia="黑体" w:cs="黑体"/>
          <w:b w:val="0"/>
          <w:bCs w:val="0"/>
          <w:kern w:val="0"/>
        </w:rPr>
        <w:t>支出</w:t>
      </w:r>
      <w:r>
        <w:rPr>
          <w:rFonts w:hint="eastAsia" w:ascii="黑体" w:eastAsia="黑体"/>
          <w:b w:val="0"/>
          <w:bCs w:val="0"/>
        </w:rPr>
        <w:t>决算总体情况说明</w:t>
      </w:r>
    </w:p>
    <w:p w14:paraId="640D9CAF">
      <w:pPr>
        <w:widowControl/>
        <w:spacing w:line="580" w:lineRule="exact"/>
        <w:ind w:firstLine="640"/>
        <w:rPr>
          <w:rFonts w:eastAsia="仿宋_GB2312"/>
          <w:color w:val="000000"/>
          <w:kern w:val="0"/>
          <w:sz w:val="32"/>
          <w:szCs w:val="32"/>
        </w:rPr>
      </w:pPr>
      <w:r>
        <w:rPr>
          <w:rFonts w:eastAsia="仿宋_GB2312"/>
          <w:color w:val="000000"/>
          <w:kern w:val="0"/>
          <w:sz w:val="32"/>
          <w:szCs w:val="32"/>
        </w:rPr>
        <w:t>廊坊市广阳区九州镇人民政府2018年度决算</w:t>
      </w:r>
      <w:r>
        <w:rPr>
          <w:rFonts w:hint="eastAsia" w:ascii="仿宋_GB2312" w:eastAsia="仿宋_GB2312" w:cs="DengXian-Regular"/>
          <w:sz w:val="32"/>
          <w:szCs w:val="32"/>
        </w:rPr>
        <w:t>收支总计（含结转和结余）</w:t>
      </w:r>
      <w:r>
        <w:rPr>
          <w:rFonts w:eastAsia="仿宋_GB2312"/>
          <w:color w:val="000000"/>
          <w:kern w:val="0"/>
          <w:sz w:val="32"/>
          <w:szCs w:val="32"/>
        </w:rPr>
        <w:t>5475.71万元。与2017年相比，决算收支总计分别增加935.05万元，</w:t>
      </w:r>
      <w:r>
        <w:rPr>
          <w:rFonts w:hint="eastAsia" w:eastAsia="仿宋_GB2312"/>
          <w:color w:val="000000"/>
          <w:kern w:val="0"/>
          <w:sz w:val="32"/>
          <w:szCs w:val="32"/>
        </w:rPr>
        <w:t>分别</w:t>
      </w:r>
      <w:r>
        <w:rPr>
          <w:rFonts w:eastAsia="仿宋_GB2312"/>
          <w:color w:val="000000"/>
          <w:kern w:val="0"/>
          <w:sz w:val="32"/>
          <w:szCs w:val="32"/>
        </w:rPr>
        <w:t>增加20.6%，主要原因是较上年增加了一般公共服务支出资金项目，同时教育支出类资金也有所增加，主要原因是人员数量增加以及工资津贴调整。决算收入总计中，年初结转和结余0万元；决算支出总计中，含结余分配0万元、年末结转和结余0万元。</w:t>
      </w:r>
    </w:p>
    <w:p w14:paraId="1B1DC8DC">
      <w:pPr>
        <w:pStyle w:val="3"/>
        <w:spacing w:before="0" w:after="0" w:line="580" w:lineRule="exact"/>
        <w:ind w:firstLine="640"/>
        <w:rPr>
          <w:rFonts w:ascii="黑体" w:eastAsia="黑体"/>
          <w:b w:val="0"/>
          <w:bCs w:val="0"/>
        </w:rPr>
      </w:pPr>
      <w:r>
        <w:rPr>
          <w:rFonts w:hint="eastAsia" w:ascii="黑体" w:eastAsia="黑体"/>
          <w:b w:val="0"/>
          <w:bCs w:val="0"/>
        </w:rPr>
        <w:t>二、收入决算情况说明</w:t>
      </w:r>
    </w:p>
    <w:p w14:paraId="3E0F0AC9">
      <w:pPr>
        <w:adjustRightInd w:val="0"/>
        <w:snapToGrid w:val="0"/>
        <w:spacing w:after="0" w:line="580" w:lineRule="exact"/>
        <w:ind w:firstLine="640"/>
      </w:pPr>
      <w:r>
        <w:rPr>
          <w:rFonts w:hint="eastAsia" w:ascii="仿宋_GB2312" w:eastAsia="仿宋_GB2312" w:cs="DengXian-Regular"/>
          <w:sz w:val="32"/>
          <w:szCs w:val="32"/>
        </w:rPr>
        <w:t>本部门2018年度本年收入合计</w:t>
      </w:r>
      <w:r>
        <w:rPr>
          <w:rFonts w:ascii="仿宋_GB2312" w:eastAsia="仿宋_GB2312" w:cs="DengXian-Regular"/>
          <w:sz w:val="32"/>
          <w:szCs w:val="32"/>
        </w:rPr>
        <w:t>5475.71</w:t>
      </w:r>
      <w:r>
        <w:rPr>
          <w:rFonts w:hint="eastAsia" w:ascii="仿宋_GB2312" w:eastAsia="仿宋_GB2312" w:cs="DengXian-Regular"/>
          <w:sz w:val="32"/>
          <w:szCs w:val="32"/>
        </w:rPr>
        <w:t>万元，其中：财政拨款收入</w:t>
      </w:r>
      <w:r>
        <w:rPr>
          <w:rFonts w:ascii="仿宋_GB2312" w:eastAsia="仿宋_GB2312" w:cs="DengXian-Regular"/>
          <w:sz w:val="32"/>
          <w:szCs w:val="32"/>
        </w:rPr>
        <w:t>5475.71</w:t>
      </w:r>
      <w:r>
        <w:rPr>
          <w:rFonts w:hint="eastAsia" w:ascii="仿宋_GB2312" w:eastAsia="仿宋_GB2312" w:cs="DengXian-Regular"/>
          <w:sz w:val="32"/>
          <w:szCs w:val="32"/>
        </w:rPr>
        <w:t>万元，占</w:t>
      </w:r>
      <w:r>
        <w:rPr>
          <w:rFonts w:ascii="仿宋_GB2312" w:eastAsia="仿宋_GB2312" w:cs="DengXian-Regular"/>
          <w:sz w:val="32"/>
          <w:szCs w:val="32"/>
        </w:rPr>
        <w:t>100</w:t>
      </w:r>
      <w:r>
        <w:rPr>
          <w:rFonts w:hint="eastAsia" w:ascii="仿宋_GB2312" w:eastAsia="仿宋_GB2312" w:cs="DengXian-Regular"/>
          <w:sz w:val="32"/>
          <w:szCs w:val="32"/>
        </w:rPr>
        <w:t>%；事业收入</w:t>
      </w:r>
      <w:r>
        <w:rPr>
          <w:rFonts w:ascii="仿宋_GB2312" w:eastAsia="仿宋_GB2312" w:cs="DengXian-Regular"/>
          <w:sz w:val="32"/>
          <w:szCs w:val="32"/>
        </w:rPr>
        <w:t>0</w:t>
      </w:r>
      <w:r>
        <w:rPr>
          <w:rFonts w:hint="eastAsia" w:ascii="仿宋_GB2312" w:eastAsia="仿宋_GB2312" w:cs="DengXian-Regular"/>
          <w:sz w:val="32"/>
          <w:szCs w:val="32"/>
        </w:rPr>
        <w:t>万元，占</w:t>
      </w:r>
      <w:r>
        <w:rPr>
          <w:rFonts w:ascii="仿宋_GB2312" w:eastAsia="仿宋_GB2312" w:cs="DengXian-Regular"/>
          <w:sz w:val="32"/>
          <w:szCs w:val="32"/>
        </w:rPr>
        <w:t>0</w:t>
      </w:r>
      <w:r>
        <w:rPr>
          <w:rFonts w:hint="eastAsia" w:ascii="仿宋_GB2312" w:eastAsia="仿宋_GB2312" w:cs="DengXian-Regular"/>
          <w:sz w:val="32"/>
          <w:szCs w:val="32"/>
        </w:rPr>
        <w:t>%；经营收入</w:t>
      </w:r>
      <w:r>
        <w:rPr>
          <w:rFonts w:ascii="仿宋_GB2312" w:eastAsia="仿宋_GB2312" w:cs="DengXian-Regular"/>
          <w:sz w:val="32"/>
          <w:szCs w:val="32"/>
        </w:rPr>
        <w:t>0</w:t>
      </w:r>
      <w:r>
        <w:rPr>
          <w:rFonts w:hint="eastAsia" w:ascii="仿宋_GB2312" w:eastAsia="仿宋_GB2312" w:cs="DengXian-Regular"/>
          <w:sz w:val="32"/>
          <w:szCs w:val="32"/>
        </w:rPr>
        <w:t>万元，占</w:t>
      </w:r>
      <w:r>
        <w:rPr>
          <w:rFonts w:ascii="仿宋_GB2312" w:eastAsia="仿宋_GB2312" w:cs="DengXian-Regular"/>
          <w:sz w:val="32"/>
          <w:szCs w:val="32"/>
        </w:rPr>
        <w:t>0</w:t>
      </w:r>
      <w:r>
        <w:rPr>
          <w:rFonts w:hint="eastAsia" w:ascii="仿宋_GB2312" w:eastAsia="仿宋_GB2312" w:cs="DengXian-Regular"/>
          <w:sz w:val="32"/>
          <w:szCs w:val="32"/>
        </w:rPr>
        <w:t>%；其他收入</w:t>
      </w:r>
      <w:r>
        <w:rPr>
          <w:rFonts w:ascii="仿宋_GB2312" w:eastAsia="仿宋_GB2312" w:cs="DengXian-Regular"/>
          <w:sz w:val="32"/>
          <w:szCs w:val="32"/>
        </w:rPr>
        <w:t>0</w:t>
      </w:r>
      <w:r>
        <w:rPr>
          <w:rFonts w:hint="eastAsia" w:ascii="仿宋_GB2312" w:eastAsia="仿宋_GB2312" w:cs="DengXian-Regular"/>
          <w:sz w:val="32"/>
          <w:szCs w:val="32"/>
        </w:rPr>
        <w:t>万元，占</w:t>
      </w:r>
      <w:r>
        <w:rPr>
          <w:rFonts w:ascii="仿宋_GB2312" w:eastAsia="仿宋_GB2312" w:cs="DengXian-Regular"/>
          <w:sz w:val="32"/>
          <w:szCs w:val="32"/>
        </w:rPr>
        <w:t>0</w:t>
      </w:r>
      <w:r>
        <w:rPr>
          <w:rFonts w:hint="eastAsia" w:ascii="仿宋_GB2312" w:eastAsia="仿宋_GB2312" w:cs="DengXian-Regular"/>
          <w:sz w:val="32"/>
          <w:szCs w:val="32"/>
        </w:rPr>
        <w:t>%。</w:t>
      </w:r>
    </w:p>
    <w:p w14:paraId="1C6CDD5A">
      <w:pPr>
        <w:pStyle w:val="3"/>
        <w:spacing w:before="0" w:after="0" w:line="580" w:lineRule="exact"/>
        <w:ind w:firstLine="640"/>
        <w:rPr>
          <w:rFonts w:ascii="黑体" w:eastAsia="黑体"/>
          <w:b w:val="0"/>
          <w:bCs w:val="0"/>
        </w:rPr>
      </w:pPr>
      <w:r>
        <w:rPr>
          <w:rFonts w:hint="eastAsia" w:ascii="黑体" w:eastAsia="黑体"/>
          <w:b w:val="0"/>
          <w:bCs w:val="0"/>
        </w:rPr>
        <w:t>三、支出决算情况说明</w:t>
      </w:r>
    </w:p>
    <w:p w14:paraId="36D5B4F2">
      <w:pPr>
        <w:adjustRightInd w:val="0"/>
        <w:snapToGrid w:val="0"/>
        <w:spacing w:after="0" w:line="580" w:lineRule="exact"/>
        <w:ind w:firstLine="640"/>
        <w:rPr>
          <w:rFonts w:ascii="仿宋_GB2312" w:eastAsia="仿宋_GB2312" w:cs="DengXian-Regular"/>
          <w:sz w:val="32"/>
          <w:szCs w:val="32"/>
        </w:rPr>
      </w:pPr>
      <w:r>
        <w:rPr>
          <w:rFonts w:hint="eastAsia" w:ascii="仿宋_GB2312" w:eastAsia="仿宋_GB2312" w:cs="DengXian-Regular"/>
          <w:sz w:val="32"/>
          <w:szCs w:val="32"/>
        </w:rPr>
        <w:t>本部门2018年度本年支出合计</w:t>
      </w:r>
      <w:r>
        <w:rPr>
          <w:rFonts w:ascii="仿宋_GB2312" w:eastAsia="仿宋_GB2312" w:cs="DengXian-Regular"/>
          <w:sz w:val="32"/>
          <w:szCs w:val="32"/>
        </w:rPr>
        <w:t>5475.71</w:t>
      </w:r>
      <w:r>
        <w:rPr>
          <w:rFonts w:hint="eastAsia" w:ascii="仿宋_GB2312" w:eastAsia="仿宋_GB2312" w:cs="DengXian-Regular"/>
          <w:sz w:val="32"/>
          <w:szCs w:val="32"/>
        </w:rPr>
        <w:t>万元，其中：基本支出</w:t>
      </w:r>
      <w:r>
        <w:rPr>
          <w:rFonts w:ascii="仿宋_GB2312" w:eastAsia="仿宋_GB2312" w:cs="DengXian-Regular"/>
          <w:sz w:val="32"/>
          <w:szCs w:val="32"/>
        </w:rPr>
        <w:t>5475.71</w:t>
      </w:r>
      <w:r>
        <w:rPr>
          <w:rFonts w:hint="eastAsia" w:ascii="仿宋_GB2312" w:eastAsia="仿宋_GB2312" w:cs="DengXian-Regular"/>
          <w:sz w:val="32"/>
          <w:szCs w:val="32"/>
        </w:rPr>
        <w:t>万元，占</w:t>
      </w:r>
      <w:r>
        <w:rPr>
          <w:rFonts w:ascii="仿宋_GB2312" w:eastAsia="仿宋_GB2312" w:cs="DengXian-Regular"/>
          <w:sz w:val="32"/>
          <w:szCs w:val="32"/>
        </w:rPr>
        <w:t>100</w:t>
      </w:r>
      <w:r>
        <w:rPr>
          <w:rFonts w:hint="eastAsia" w:ascii="仿宋_GB2312" w:eastAsia="仿宋_GB2312" w:cs="DengXian-Regular"/>
          <w:sz w:val="32"/>
          <w:szCs w:val="32"/>
        </w:rPr>
        <w:t>%；项目支出</w:t>
      </w:r>
      <w:r>
        <w:rPr>
          <w:rFonts w:ascii="仿宋_GB2312" w:eastAsia="仿宋_GB2312" w:cs="DengXian-Regular"/>
          <w:sz w:val="32"/>
          <w:szCs w:val="32"/>
        </w:rPr>
        <w:t>0</w:t>
      </w:r>
      <w:r>
        <w:rPr>
          <w:rFonts w:hint="eastAsia" w:ascii="仿宋_GB2312" w:eastAsia="仿宋_GB2312" w:cs="DengXian-Regular"/>
          <w:sz w:val="32"/>
          <w:szCs w:val="32"/>
        </w:rPr>
        <w:t>万元，占</w:t>
      </w:r>
      <w:r>
        <w:rPr>
          <w:rFonts w:ascii="仿宋_GB2312" w:eastAsia="仿宋_GB2312" w:cs="DengXian-Regular"/>
          <w:sz w:val="32"/>
          <w:szCs w:val="32"/>
        </w:rPr>
        <w:t>0</w:t>
      </w:r>
      <w:r>
        <w:rPr>
          <w:rFonts w:hint="eastAsia" w:ascii="仿宋_GB2312" w:eastAsia="仿宋_GB2312" w:cs="DengXian-Regular"/>
          <w:sz w:val="32"/>
          <w:szCs w:val="32"/>
        </w:rPr>
        <w:t>%；经营支出</w:t>
      </w:r>
      <w:r>
        <w:rPr>
          <w:rFonts w:ascii="仿宋_GB2312" w:eastAsia="仿宋_GB2312" w:cs="DengXian-Regular"/>
          <w:sz w:val="32"/>
          <w:szCs w:val="32"/>
        </w:rPr>
        <w:t>0</w:t>
      </w:r>
      <w:r>
        <w:rPr>
          <w:rFonts w:hint="eastAsia" w:ascii="仿宋_GB2312" w:eastAsia="仿宋_GB2312" w:cs="DengXian-Regular"/>
          <w:sz w:val="32"/>
          <w:szCs w:val="32"/>
        </w:rPr>
        <w:t>万元，占</w:t>
      </w:r>
      <w:r>
        <w:rPr>
          <w:rFonts w:ascii="仿宋_GB2312" w:eastAsia="仿宋_GB2312" w:cs="DengXian-Regular"/>
          <w:sz w:val="32"/>
          <w:szCs w:val="32"/>
        </w:rPr>
        <w:t>0</w:t>
      </w:r>
      <w:r>
        <w:rPr>
          <w:rFonts w:hint="eastAsia" w:ascii="仿宋_GB2312" w:eastAsia="仿宋_GB2312" w:cs="DengXian-Regular"/>
          <w:sz w:val="32"/>
          <w:szCs w:val="32"/>
        </w:rPr>
        <w:t>%。</w:t>
      </w:r>
    </w:p>
    <w:p w14:paraId="128728F6">
      <w:pPr>
        <w:pStyle w:val="3"/>
        <w:spacing w:before="0" w:after="0" w:line="580" w:lineRule="exact"/>
        <w:ind w:firstLine="640"/>
        <w:rPr>
          <w:rFonts w:ascii="黑体" w:eastAsia="黑体"/>
          <w:b w:val="0"/>
          <w:bCs w:val="0"/>
        </w:rPr>
      </w:pPr>
      <w:r>
        <w:rPr>
          <w:rFonts w:hint="eastAsia" w:ascii="黑体" w:eastAsia="黑体"/>
          <w:b w:val="0"/>
          <w:bCs w:val="0"/>
        </w:rPr>
        <w:t>四、</w:t>
      </w:r>
      <w:r>
        <w:rPr>
          <w:rFonts w:hint="eastAsia" w:ascii="黑体" w:eastAsia="黑体" w:cs="黑体"/>
          <w:b w:val="0"/>
          <w:bCs w:val="0"/>
          <w:kern w:val="0"/>
        </w:rPr>
        <w:t>财政</w:t>
      </w:r>
      <w:r>
        <w:rPr>
          <w:rFonts w:hint="eastAsia" w:ascii="黑体" w:eastAsia="黑体"/>
          <w:b w:val="0"/>
          <w:bCs w:val="0"/>
        </w:rPr>
        <w:t>拨款收入支出决算情况说明</w:t>
      </w:r>
    </w:p>
    <w:p w14:paraId="591992B2">
      <w:pPr>
        <w:spacing w:after="0" w:line="580" w:lineRule="exact"/>
        <w:ind w:firstLine="643"/>
        <w:rPr>
          <w:rFonts w:ascii="楷体_GB2312" w:eastAsia="楷体_GB2312" w:cs="DengXian-Bold"/>
          <w:b/>
          <w:bCs/>
          <w:sz w:val="32"/>
          <w:szCs w:val="32"/>
        </w:rPr>
      </w:pPr>
      <w:r>
        <w:rPr>
          <w:rFonts w:hint="eastAsia" w:ascii="楷体_GB2312" w:eastAsia="楷体_GB2312" w:cs="DengXian-Bold"/>
          <w:b/>
          <w:bCs/>
          <w:sz w:val="32"/>
          <w:szCs w:val="32"/>
        </w:rPr>
        <w:t>（一）财政拨款收支与2017 年度决算对比情况</w:t>
      </w:r>
    </w:p>
    <w:p w14:paraId="196307C9">
      <w:pPr>
        <w:adjustRightInd w:val="0"/>
        <w:snapToGrid w:val="0"/>
        <w:spacing w:after="0" w:line="580" w:lineRule="exact"/>
        <w:ind w:firstLine="640"/>
        <w:rPr>
          <w:rFonts w:ascii="仿宋_GB2312" w:eastAsia="仿宋_GB2312" w:cs="DengXian-Regular"/>
          <w:sz w:val="32"/>
          <w:szCs w:val="32"/>
        </w:rPr>
      </w:pPr>
      <w:r>
        <w:rPr>
          <w:rFonts w:hint="eastAsia" w:ascii="仿宋_GB2312" w:eastAsia="仿宋_GB2312" w:cs="DengXian-Regular"/>
          <w:sz w:val="32"/>
          <w:szCs w:val="32"/>
        </w:rPr>
        <w:t>本部门2018年度形成的财政拨款收支均为一般公共预算财政拨款，其中一般公共预算财政拨款本年收入</w:t>
      </w:r>
      <w:r>
        <w:rPr>
          <w:rFonts w:ascii="仿宋_GB2312" w:eastAsia="仿宋_GB2312" w:cs="DengXian-Regular"/>
          <w:sz w:val="32"/>
          <w:szCs w:val="32"/>
        </w:rPr>
        <w:t>4783.47</w:t>
      </w:r>
      <w:r>
        <w:rPr>
          <w:rFonts w:hint="eastAsia" w:ascii="仿宋_GB2312" w:eastAsia="仿宋_GB2312" w:cs="DengXian-Regular"/>
          <w:sz w:val="32"/>
          <w:szCs w:val="32"/>
        </w:rPr>
        <w:t>万元,比2017年度增加</w:t>
      </w:r>
      <w:r>
        <w:rPr>
          <w:rFonts w:ascii="仿宋_GB2312" w:eastAsia="仿宋_GB2312" w:cs="DengXian-Regular"/>
          <w:sz w:val="32"/>
          <w:szCs w:val="32"/>
        </w:rPr>
        <w:t>796.09</w:t>
      </w:r>
      <w:r>
        <w:rPr>
          <w:rFonts w:hint="eastAsia" w:ascii="仿宋_GB2312" w:eastAsia="仿宋_GB2312" w:cs="DengXian-Regular"/>
          <w:sz w:val="32"/>
          <w:szCs w:val="32"/>
        </w:rPr>
        <w:t>万元，增长</w:t>
      </w:r>
      <w:r>
        <w:rPr>
          <w:rFonts w:ascii="仿宋_GB2312" w:eastAsia="仿宋_GB2312" w:cs="DengXian-Regular"/>
          <w:sz w:val="32"/>
          <w:szCs w:val="32"/>
        </w:rPr>
        <w:t>19.9</w:t>
      </w:r>
      <w:r>
        <w:rPr>
          <w:rFonts w:hint="eastAsia" w:ascii="仿宋_GB2312" w:eastAsia="仿宋_GB2312" w:cs="DengXian-Regular"/>
          <w:sz w:val="32"/>
          <w:szCs w:val="32"/>
        </w:rPr>
        <w:t>%，</w:t>
      </w:r>
      <w:r>
        <w:rPr>
          <w:rFonts w:eastAsia="仿宋_GB2312"/>
          <w:color w:val="000000"/>
          <w:kern w:val="0"/>
          <w:sz w:val="32"/>
          <w:szCs w:val="32"/>
        </w:rPr>
        <w:t>主要原因是较上年增加了一般公共服务支出资金项目，同时教育支出类资金也有所增加，主要原因是人员数量增加以及工资津贴调整</w:t>
      </w:r>
      <w:r>
        <w:rPr>
          <w:rFonts w:hint="eastAsia" w:ascii="仿宋_GB2312" w:eastAsia="仿宋_GB2312" w:cs="DengXian-Regular"/>
          <w:sz w:val="32"/>
          <w:szCs w:val="32"/>
        </w:rPr>
        <w:t>；本年支出</w:t>
      </w:r>
      <w:r>
        <w:rPr>
          <w:rFonts w:ascii="仿宋_GB2312" w:eastAsia="仿宋_GB2312" w:cs="DengXian-Regular"/>
          <w:sz w:val="32"/>
          <w:szCs w:val="32"/>
        </w:rPr>
        <w:t>5475.71</w:t>
      </w:r>
      <w:r>
        <w:rPr>
          <w:rFonts w:hint="eastAsia" w:ascii="仿宋_GB2312" w:eastAsia="仿宋_GB2312" w:cs="DengXian-Regular"/>
          <w:sz w:val="32"/>
          <w:szCs w:val="32"/>
        </w:rPr>
        <w:t>万元，增加</w:t>
      </w:r>
      <w:r>
        <w:rPr>
          <w:rFonts w:ascii="仿宋_GB2312" w:eastAsia="仿宋_GB2312" w:cs="DengXian-Regular"/>
          <w:sz w:val="32"/>
          <w:szCs w:val="32"/>
        </w:rPr>
        <w:t>935.05</w:t>
      </w:r>
      <w:r>
        <w:rPr>
          <w:rFonts w:hint="eastAsia" w:ascii="仿宋_GB2312" w:eastAsia="仿宋_GB2312" w:cs="DengXian-Regular"/>
          <w:sz w:val="32"/>
          <w:szCs w:val="32"/>
        </w:rPr>
        <w:t>万元，增长</w:t>
      </w:r>
      <w:r>
        <w:rPr>
          <w:rFonts w:ascii="仿宋_GB2312" w:eastAsia="仿宋_GB2312" w:cs="DengXian-Regular"/>
          <w:sz w:val="32"/>
          <w:szCs w:val="32"/>
        </w:rPr>
        <w:t>20.5</w:t>
      </w:r>
      <w:r>
        <w:rPr>
          <w:rFonts w:hint="eastAsia" w:ascii="仿宋_GB2312" w:eastAsia="仿宋_GB2312" w:cs="DengXian-Regular"/>
          <w:sz w:val="32"/>
          <w:szCs w:val="32"/>
        </w:rPr>
        <w:t>%，主要原因是</w:t>
      </w:r>
      <w:r>
        <w:rPr>
          <w:rFonts w:eastAsia="仿宋_GB2312"/>
          <w:color w:val="000000"/>
          <w:kern w:val="0"/>
          <w:sz w:val="32"/>
          <w:szCs w:val="32"/>
        </w:rPr>
        <w:t>较上年增加了一般公共服务支出资金项目，同时教育支出类资金也有所增加，主要原因是人员数量增加以及工资津贴调整</w:t>
      </w:r>
      <w:r>
        <w:rPr>
          <w:rFonts w:hint="eastAsia" w:ascii="仿宋_GB2312" w:eastAsia="仿宋_GB2312" w:cs="DengXian-Regular"/>
          <w:sz w:val="32"/>
          <w:szCs w:val="32"/>
        </w:rPr>
        <w:t>。</w:t>
      </w:r>
    </w:p>
    <w:p w14:paraId="4E65851E">
      <w:pPr>
        <w:spacing w:after="0" w:line="580" w:lineRule="exact"/>
        <w:ind w:firstLine="643"/>
        <w:rPr>
          <w:rFonts w:ascii="仿宋_GB2312" w:eastAsia="仿宋_GB2312" w:cs="DengXian-Bold"/>
          <w:b/>
          <w:bCs/>
          <w:sz w:val="32"/>
          <w:szCs w:val="32"/>
        </w:rPr>
      </w:pPr>
      <w:r>
        <w:rPr>
          <w:rFonts w:hint="eastAsia" w:ascii="楷体_GB2312" w:eastAsia="楷体_GB2312" w:cs="DengXian-Bold"/>
          <w:b/>
          <w:bCs/>
          <w:sz w:val="32"/>
          <w:szCs w:val="32"/>
        </w:rPr>
        <w:t>（二）财政拨款收支与年初预算数对比情况</w:t>
      </w:r>
    </w:p>
    <w:p w14:paraId="7F49EC19">
      <w:pPr>
        <w:adjustRightInd w:val="0"/>
        <w:snapToGrid w:val="0"/>
        <w:spacing w:after="0" w:line="580" w:lineRule="exact"/>
        <w:ind w:firstLine="800"/>
        <w:rPr>
          <w:rFonts w:ascii="仿宋_GB2312" w:eastAsia="仿宋_GB2312" w:cs="DengXian-Regular"/>
          <w:sz w:val="32"/>
          <w:szCs w:val="32"/>
          <w:highlight w:val="yellow"/>
        </w:rPr>
      </w:pPr>
      <w:r>
        <w:rPr>
          <w:rFonts w:hint="eastAsia" w:ascii="仿宋_GB2312" w:eastAsia="仿宋_GB2312" w:cs="DengXian-Regular"/>
          <w:sz w:val="32"/>
          <w:szCs w:val="32"/>
        </w:rPr>
        <w:t>本部门2018年度一般公共预算财政拨款收入</w:t>
      </w:r>
      <w:r>
        <w:rPr>
          <w:rFonts w:ascii="仿宋_GB2312" w:eastAsia="仿宋_GB2312" w:cs="DengXian-Regular"/>
          <w:sz w:val="32"/>
          <w:szCs w:val="32"/>
        </w:rPr>
        <w:t>4783.47</w:t>
      </w:r>
      <w:r>
        <w:rPr>
          <w:rFonts w:hint="eastAsia" w:ascii="仿宋_GB2312" w:eastAsia="仿宋_GB2312" w:cs="DengXian-Regular"/>
          <w:sz w:val="32"/>
          <w:szCs w:val="32"/>
        </w:rPr>
        <w:t>万元，完成年初预算的</w:t>
      </w:r>
      <w:r>
        <w:rPr>
          <w:rFonts w:ascii="仿宋_GB2312" w:eastAsia="仿宋_GB2312" w:cs="DengXian-Regular"/>
          <w:sz w:val="32"/>
          <w:szCs w:val="32"/>
        </w:rPr>
        <w:t>114</w:t>
      </w:r>
      <w:r>
        <w:rPr>
          <w:rFonts w:hint="eastAsia" w:ascii="仿宋_GB2312" w:eastAsia="仿宋_GB2312" w:cs="DengXian-Regular"/>
          <w:sz w:val="32"/>
          <w:szCs w:val="32"/>
        </w:rPr>
        <w:t>%,比年初预算增加</w:t>
      </w:r>
      <w:r>
        <w:rPr>
          <w:rFonts w:ascii="仿宋_GB2312" w:eastAsia="仿宋_GB2312" w:cs="DengXian-Regular"/>
          <w:sz w:val="32"/>
          <w:szCs w:val="32"/>
        </w:rPr>
        <w:t>692.24</w:t>
      </w:r>
      <w:r>
        <w:rPr>
          <w:rFonts w:hint="eastAsia" w:ascii="仿宋_GB2312" w:eastAsia="仿宋_GB2312" w:cs="DengXian-Regular"/>
          <w:sz w:val="32"/>
          <w:szCs w:val="32"/>
        </w:rPr>
        <w:t>万元，决算数大于预算数，主要原因是</w:t>
      </w:r>
      <w:r>
        <w:rPr>
          <w:rFonts w:eastAsia="仿宋_GB2312"/>
          <w:color w:val="000000"/>
          <w:kern w:val="0"/>
          <w:sz w:val="32"/>
          <w:szCs w:val="32"/>
        </w:rPr>
        <w:t>较上年增加了一般公共服务支出资金项目，同时教育支出类资金也有所增加，主要原因是人员数量增加以及工资津贴调整</w:t>
      </w:r>
      <w:r>
        <w:rPr>
          <w:rFonts w:hint="eastAsia" w:ascii="仿宋_GB2312" w:eastAsia="仿宋_GB2312" w:cs="DengXian-Regular"/>
          <w:sz w:val="32"/>
          <w:szCs w:val="32"/>
        </w:rPr>
        <w:t>；本年支出</w:t>
      </w:r>
      <w:r>
        <w:rPr>
          <w:rFonts w:ascii="仿宋_GB2312" w:eastAsia="仿宋_GB2312" w:cs="DengXian-Regular"/>
          <w:sz w:val="32"/>
          <w:szCs w:val="32"/>
        </w:rPr>
        <w:t>5475.71</w:t>
      </w:r>
      <w:r>
        <w:rPr>
          <w:rFonts w:hint="eastAsia" w:ascii="仿宋_GB2312" w:eastAsia="仿宋_GB2312" w:cs="DengXian-Regular"/>
          <w:sz w:val="32"/>
          <w:szCs w:val="32"/>
        </w:rPr>
        <w:t>万元，完成年初预算的</w:t>
      </w:r>
      <w:r>
        <w:rPr>
          <w:rFonts w:ascii="仿宋_GB2312" w:eastAsia="仿宋_GB2312" w:cs="DengXian-Regular"/>
          <w:sz w:val="32"/>
          <w:szCs w:val="32"/>
        </w:rPr>
        <w:t>114</w:t>
      </w:r>
      <w:r>
        <w:rPr>
          <w:rFonts w:hint="eastAsia" w:ascii="仿宋_GB2312" w:eastAsia="仿宋_GB2312" w:cs="DengXian-Regular"/>
          <w:sz w:val="32"/>
          <w:szCs w:val="32"/>
        </w:rPr>
        <w:t>%,比年初预算增加</w:t>
      </w:r>
      <w:r>
        <w:rPr>
          <w:rFonts w:ascii="仿宋_GB2312" w:eastAsia="仿宋_GB2312" w:cs="DengXian-Regular"/>
          <w:sz w:val="32"/>
          <w:szCs w:val="32"/>
        </w:rPr>
        <w:t>692.24</w:t>
      </w:r>
      <w:r>
        <w:rPr>
          <w:rFonts w:hint="eastAsia" w:ascii="仿宋_GB2312" w:eastAsia="仿宋_GB2312" w:cs="DengXian-Regular"/>
          <w:sz w:val="32"/>
          <w:szCs w:val="32"/>
        </w:rPr>
        <w:t>万元，决算数大于预算数，主要原因是</w:t>
      </w:r>
      <w:r>
        <w:rPr>
          <w:rFonts w:eastAsia="仿宋_GB2312"/>
          <w:color w:val="000000"/>
          <w:kern w:val="0"/>
          <w:sz w:val="32"/>
          <w:szCs w:val="32"/>
        </w:rPr>
        <w:t>较上年增加了一般公共服务支出资金项目，同时教育支出类资金也有所增加，主要原因是人员数量增加以及工资津贴调整</w:t>
      </w:r>
      <w:r>
        <w:rPr>
          <w:rFonts w:hint="eastAsia" w:ascii="仿宋_GB2312" w:eastAsia="仿宋_GB2312" w:cs="DengXian-Regular"/>
          <w:sz w:val="32"/>
          <w:szCs w:val="32"/>
        </w:rPr>
        <w:t>。</w:t>
      </w:r>
    </w:p>
    <w:p w14:paraId="280940CF">
      <w:pPr>
        <w:numPr>
          <w:ilvl w:val="0"/>
          <w:numId w:val="2"/>
        </w:numPr>
        <w:adjustRightInd w:val="0"/>
        <w:snapToGrid w:val="0"/>
        <w:spacing w:after="0" w:line="580" w:lineRule="exact"/>
        <w:ind w:left="420"/>
        <w:rPr>
          <w:rFonts w:ascii="楷体_GB2312" w:eastAsia="楷体_GB2312" w:cs="DengXian-Bold"/>
          <w:b/>
          <w:bCs/>
          <w:sz w:val="32"/>
          <w:szCs w:val="32"/>
        </w:rPr>
      </w:pPr>
      <w:r>
        <w:rPr>
          <w:rFonts w:hint="eastAsia" w:ascii="楷体_GB2312" w:eastAsia="楷体_GB2312" w:cs="DengXian-Bold"/>
          <w:b/>
          <w:bCs/>
          <w:sz w:val="32"/>
          <w:szCs w:val="32"/>
        </w:rPr>
        <w:t>财政拨款支出决算结构情况。</w:t>
      </w:r>
    </w:p>
    <w:p w14:paraId="548EE759">
      <w:pPr>
        <w:adjustRightInd w:val="0"/>
        <w:snapToGrid w:val="0"/>
        <w:spacing w:after="0" w:line="580" w:lineRule="exact"/>
        <w:ind w:firstLine="640"/>
        <w:rPr>
          <w:rFonts w:ascii="仿宋_GB2312" w:eastAsia="仿宋_GB2312" w:cs="DengXian-Regular"/>
          <w:sz w:val="32"/>
          <w:szCs w:val="32"/>
        </w:rPr>
      </w:pPr>
      <w:r>
        <w:rPr>
          <w:rFonts w:hint="eastAsia" w:ascii="仿宋_GB2312" w:eastAsia="仿宋_GB2312" w:cs="DengXian-Regular"/>
          <w:sz w:val="32"/>
          <w:szCs w:val="32"/>
        </w:rPr>
        <w:t>2018 年度财政拨款支出</w:t>
      </w:r>
      <w:r>
        <w:rPr>
          <w:rFonts w:ascii="仿宋_GB2312" w:eastAsia="仿宋_GB2312" w:cs="DengXian-Regular"/>
          <w:sz w:val="32"/>
          <w:szCs w:val="32"/>
        </w:rPr>
        <w:t>5475.71</w:t>
      </w:r>
      <w:r>
        <w:rPr>
          <w:rFonts w:hint="eastAsia" w:ascii="仿宋_GB2312" w:eastAsia="仿宋_GB2312" w:cs="DengXian-Regular"/>
          <w:sz w:val="32"/>
          <w:szCs w:val="32"/>
        </w:rPr>
        <w:t>万元，主要用于以下方面：一般公共服务（类）支出</w:t>
      </w:r>
      <w:r>
        <w:rPr>
          <w:rFonts w:ascii="仿宋_GB2312" w:eastAsia="仿宋_GB2312" w:cs="DengXian-Regular"/>
          <w:sz w:val="32"/>
          <w:szCs w:val="32"/>
        </w:rPr>
        <w:t>1538.46</w:t>
      </w:r>
      <w:r>
        <w:rPr>
          <w:rFonts w:hint="eastAsia" w:ascii="仿宋_GB2312" w:eastAsia="仿宋_GB2312" w:cs="DengXian-Regular"/>
          <w:sz w:val="32"/>
          <w:szCs w:val="32"/>
        </w:rPr>
        <w:t>万元，占</w:t>
      </w:r>
      <w:r>
        <w:rPr>
          <w:rFonts w:ascii="仿宋_GB2312" w:eastAsia="仿宋_GB2312" w:cs="DengXian-Regular"/>
          <w:sz w:val="32"/>
          <w:szCs w:val="32"/>
        </w:rPr>
        <w:t>28.0</w:t>
      </w:r>
      <w:r>
        <w:rPr>
          <w:rFonts w:hint="eastAsia" w:ascii="仿宋_GB2312" w:eastAsia="仿宋_GB2312" w:cs="DengXian-Regular"/>
          <w:sz w:val="32"/>
          <w:szCs w:val="32"/>
        </w:rPr>
        <w:t>%；教育（类）支出</w:t>
      </w:r>
      <w:r>
        <w:rPr>
          <w:rFonts w:ascii="仿宋_GB2312" w:eastAsia="仿宋_GB2312" w:cs="DengXian-Regular"/>
          <w:sz w:val="32"/>
          <w:szCs w:val="32"/>
        </w:rPr>
        <w:t>3833.78</w:t>
      </w:r>
      <w:r>
        <w:rPr>
          <w:rFonts w:hint="eastAsia" w:ascii="仿宋_GB2312" w:eastAsia="仿宋_GB2312" w:cs="DengXian-Regular"/>
          <w:sz w:val="32"/>
          <w:szCs w:val="32"/>
        </w:rPr>
        <w:t>万元，占</w:t>
      </w:r>
      <w:r>
        <w:rPr>
          <w:rFonts w:ascii="仿宋_GB2312" w:eastAsia="仿宋_GB2312" w:cs="DengXian-Regular"/>
          <w:sz w:val="32"/>
          <w:szCs w:val="32"/>
        </w:rPr>
        <w:t>70.0</w:t>
      </w:r>
      <w:r>
        <w:rPr>
          <w:rFonts w:hint="eastAsia" w:ascii="仿宋_GB2312" w:eastAsia="仿宋_GB2312" w:cs="DengXian-Regular"/>
          <w:sz w:val="32"/>
          <w:szCs w:val="32"/>
        </w:rPr>
        <w:t>%；</w:t>
      </w:r>
      <w:r>
        <w:rPr>
          <w:rFonts w:ascii="仿宋_GB2312" w:eastAsia="仿宋_GB2312" w:cs="DengXian-Regular"/>
          <w:sz w:val="32"/>
          <w:szCs w:val="32"/>
        </w:rPr>
        <w:t>公共安全（类）支出0万元，占0%；教育（类）支出0万元，占0%；科学技术（类）支出0万元，占0%；社会保障和就业（类）支出0万元，占0%；住房保障（类）支出0万元，占0%；医疗卫生与计划生育</w:t>
      </w:r>
      <w:r>
        <w:rPr>
          <w:rFonts w:hint="eastAsia" w:ascii="仿宋_GB2312" w:eastAsia="仿宋_GB2312" w:cs="DengXian-Regular"/>
          <w:sz w:val="32"/>
          <w:szCs w:val="32"/>
        </w:rPr>
        <w:t>（类）支出</w:t>
      </w:r>
      <w:r>
        <w:rPr>
          <w:rFonts w:ascii="仿宋_GB2312" w:eastAsia="仿宋_GB2312" w:cs="DengXian-Regular"/>
          <w:sz w:val="32"/>
          <w:szCs w:val="32"/>
        </w:rPr>
        <w:t>66.9</w:t>
      </w:r>
      <w:r>
        <w:rPr>
          <w:rFonts w:hint="eastAsia" w:ascii="仿宋_GB2312" w:eastAsia="仿宋_GB2312" w:cs="DengXian-Regular"/>
          <w:sz w:val="32"/>
          <w:szCs w:val="32"/>
        </w:rPr>
        <w:t xml:space="preserve">万元，占 </w:t>
      </w:r>
      <w:r>
        <w:rPr>
          <w:rFonts w:ascii="仿宋_GB2312" w:eastAsia="仿宋_GB2312" w:cs="DengXian-Regular"/>
          <w:sz w:val="32"/>
          <w:szCs w:val="32"/>
        </w:rPr>
        <w:t>1.0</w:t>
      </w:r>
      <w:r>
        <w:rPr>
          <w:rFonts w:hint="eastAsia" w:ascii="仿宋_GB2312" w:eastAsia="仿宋_GB2312" w:cs="DengXian-Regular"/>
          <w:sz w:val="32"/>
          <w:szCs w:val="32"/>
        </w:rPr>
        <w:t>%；</w:t>
      </w:r>
      <w:r>
        <w:rPr>
          <w:rFonts w:ascii="仿宋_GB2312" w:eastAsia="仿宋_GB2312" w:cs="DengXian-Regular"/>
          <w:sz w:val="32"/>
          <w:szCs w:val="32"/>
        </w:rPr>
        <w:t>农林水</w:t>
      </w:r>
      <w:r>
        <w:rPr>
          <w:rFonts w:hint="eastAsia" w:ascii="仿宋_GB2312" w:eastAsia="仿宋_GB2312" w:cs="DengXian-Regular"/>
          <w:sz w:val="32"/>
          <w:szCs w:val="32"/>
        </w:rPr>
        <w:t>（类）支出</w:t>
      </w:r>
      <w:r>
        <w:rPr>
          <w:rFonts w:ascii="仿宋_GB2312" w:eastAsia="仿宋_GB2312" w:cs="DengXian-Regular"/>
          <w:sz w:val="32"/>
          <w:szCs w:val="32"/>
        </w:rPr>
        <w:t>36.56</w:t>
      </w:r>
      <w:r>
        <w:rPr>
          <w:rFonts w:hint="eastAsia" w:ascii="仿宋_GB2312" w:eastAsia="仿宋_GB2312" w:cs="DengXian-Regular"/>
          <w:sz w:val="32"/>
          <w:szCs w:val="32"/>
        </w:rPr>
        <w:t>万元，占1.0%。</w:t>
      </w:r>
    </w:p>
    <w:p w14:paraId="4DAF4077">
      <w:pPr>
        <w:adjustRightInd w:val="0"/>
        <w:snapToGrid w:val="0"/>
        <w:spacing w:after="0" w:line="580" w:lineRule="exact"/>
        <w:ind w:left="420"/>
        <w:rPr>
          <w:rFonts w:ascii="楷体_GB2312" w:eastAsia="楷体_GB2312" w:cs="DengXian-Bold"/>
          <w:b/>
          <w:bCs/>
          <w:sz w:val="32"/>
          <w:szCs w:val="32"/>
        </w:rPr>
      </w:pPr>
      <w:r>
        <w:rPr>
          <w:rFonts w:hint="eastAsia" w:ascii="楷体_GB2312" w:eastAsia="楷体_GB2312" w:cs="DengXian-Bold"/>
          <w:b/>
          <w:bCs/>
          <w:sz w:val="32"/>
          <w:szCs w:val="32"/>
        </w:rPr>
        <w:t>（四）一般公共预算财政拨款基本支出决算情况说明</w:t>
      </w:r>
    </w:p>
    <w:p w14:paraId="0D20F621">
      <w:pPr>
        <w:adjustRightInd w:val="0"/>
        <w:snapToGrid w:val="0"/>
        <w:spacing w:after="0" w:line="580" w:lineRule="exact"/>
        <w:ind w:firstLine="800"/>
        <w:rPr>
          <w:rFonts w:ascii="仿宋_GB2312" w:eastAsia="仿宋_GB2312" w:cs="DengXian-Regular"/>
          <w:sz w:val="32"/>
          <w:szCs w:val="32"/>
          <w:highlight w:val="yellow"/>
        </w:rPr>
      </w:pPr>
      <w:r>
        <w:rPr>
          <w:rFonts w:hint="eastAsia" w:ascii="仿宋_GB2312" w:eastAsia="仿宋_GB2312" w:cs="DengXian-Regular"/>
          <w:sz w:val="32"/>
          <w:szCs w:val="32"/>
        </w:rPr>
        <w:t>2018 年度一般公共预算财政拨款基本支出</w:t>
      </w:r>
      <w:r>
        <w:rPr>
          <w:rFonts w:ascii="仿宋_GB2312" w:eastAsia="仿宋_GB2312" w:cs="DengXian-Regular"/>
          <w:sz w:val="32"/>
          <w:szCs w:val="32"/>
        </w:rPr>
        <w:t>5475.71</w:t>
      </w:r>
      <w:r>
        <w:rPr>
          <w:rFonts w:hint="eastAsia" w:ascii="仿宋_GB2312" w:eastAsia="仿宋_GB2312" w:cs="DengXian-Regular"/>
          <w:sz w:val="32"/>
          <w:szCs w:val="32"/>
        </w:rPr>
        <w:t xml:space="preserve">万元，其中：人员经费 </w:t>
      </w:r>
      <w:r>
        <w:rPr>
          <w:rFonts w:ascii="仿宋_GB2312" w:eastAsia="仿宋_GB2312" w:cs="DengXian-Regular"/>
          <w:sz w:val="32"/>
          <w:szCs w:val="32"/>
        </w:rPr>
        <w:t>5195.72</w:t>
      </w:r>
      <w:r>
        <w:rPr>
          <w:rFonts w:hint="eastAsia" w:ascii="仿宋_GB2312" w:eastAsia="仿宋_GB2312" w:cs="DengXian-Regular"/>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等；公用经费</w:t>
      </w:r>
      <w:r>
        <w:rPr>
          <w:rFonts w:ascii="仿宋_GB2312" w:eastAsia="仿宋_GB2312" w:cs="DengXian-Regular"/>
          <w:sz w:val="32"/>
          <w:szCs w:val="32"/>
        </w:rPr>
        <w:t>279.98</w:t>
      </w:r>
      <w:r>
        <w:rPr>
          <w:rFonts w:hint="eastAsia" w:ascii="仿宋_GB2312" w:eastAsia="仿宋_GB2312" w:cs="DengXian-Regular"/>
          <w:sz w:val="32"/>
          <w:szCs w:val="32"/>
        </w:rPr>
        <w:t>万元，主要包括办公费、印刷费、咨询费、手续费、水费、电费、邮电费、取暖费、物业管理费、差旅费、维修（护）费、租赁费、会议费、培训费、专用材料费、劳务费、委托业务费、工会经费、福利费、公务用车运行维护费、其他交通费用、税金及附加费用、其他商品和服务支出、办公设备购置、专用设备购置、信息网络及软件购置更新、公务用车购置、其他资本性支出等。</w:t>
      </w:r>
    </w:p>
    <w:p w14:paraId="5B5C1873">
      <w:pPr>
        <w:pStyle w:val="3"/>
        <w:spacing w:before="0" w:after="0" w:line="580" w:lineRule="exact"/>
        <w:ind w:firstLine="640"/>
        <w:rPr>
          <w:rFonts w:ascii="黑体" w:eastAsia="黑体"/>
          <w:b w:val="0"/>
          <w:bCs w:val="0"/>
        </w:rPr>
      </w:pPr>
      <w:r>
        <w:rPr>
          <w:rFonts w:hint="eastAsia" w:ascii="黑体" w:eastAsia="黑体"/>
          <w:b w:val="0"/>
          <w:bCs w:val="0"/>
        </w:rPr>
        <w:t>五、一般公共预算财政拨款“三公” 经费支出决算情况说明</w:t>
      </w:r>
    </w:p>
    <w:p w14:paraId="2C1C3AFE">
      <w:pPr>
        <w:adjustRightInd w:val="0"/>
        <w:snapToGrid w:val="0"/>
        <w:spacing w:line="584" w:lineRule="exact"/>
        <w:ind w:firstLine="800"/>
        <w:rPr>
          <w:rFonts w:ascii="仿宋_GB2312" w:eastAsia="仿宋_GB2312" w:cs="DengXian-Regular"/>
          <w:highlight w:val="yellow"/>
        </w:rPr>
      </w:pPr>
      <w:r>
        <w:rPr>
          <w:rFonts w:eastAsia="仿宋_GB2312"/>
          <w:sz w:val="32"/>
          <w:szCs w:val="32"/>
        </w:rPr>
        <w:t>本部门201</w:t>
      </w:r>
      <w:r>
        <w:rPr>
          <w:rFonts w:hint="eastAsia" w:eastAsia="仿宋_GB2312"/>
          <w:sz w:val="32"/>
          <w:szCs w:val="32"/>
        </w:rPr>
        <w:t>8</w:t>
      </w:r>
      <w:r>
        <w:rPr>
          <w:rFonts w:eastAsia="仿宋_GB2312"/>
          <w:sz w:val="32"/>
          <w:szCs w:val="32"/>
        </w:rPr>
        <w:t>年度一般公共预算财政拨款“三公”经费支出共计0.71万元，</w:t>
      </w:r>
      <w:r>
        <w:rPr>
          <w:rFonts w:hint="eastAsia" w:eastAsia="仿宋_GB2312"/>
          <w:sz w:val="32"/>
          <w:szCs w:val="32"/>
        </w:rPr>
        <w:t>比</w:t>
      </w:r>
      <w:r>
        <w:rPr>
          <w:rFonts w:eastAsia="仿宋_GB2312"/>
          <w:sz w:val="32"/>
          <w:szCs w:val="32"/>
        </w:rPr>
        <w:t>年初预算减少0万元，降低0%；主要原因是</w:t>
      </w:r>
      <w:r>
        <w:rPr>
          <w:rFonts w:hint="eastAsia" w:eastAsia="仿宋_GB2312"/>
          <w:color w:val="000000"/>
          <w:kern w:val="0"/>
          <w:sz w:val="32"/>
          <w:szCs w:val="32"/>
        </w:rPr>
        <w:t>各单位切实压缩公务用车费用支出，相应减少公务用车运行费用支出</w:t>
      </w:r>
      <w:r>
        <w:rPr>
          <w:rFonts w:eastAsia="仿宋_GB2312"/>
          <w:color w:val="000000"/>
          <w:kern w:val="0"/>
          <w:sz w:val="32"/>
          <w:szCs w:val="32"/>
        </w:rPr>
        <w:t>。</w:t>
      </w:r>
      <w:r>
        <w:rPr>
          <w:rFonts w:hint="eastAsia" w:eastAsia="仿宋_GB2312"/>
          <w:sz w:val="32"/>
          <w:szCs w:val="32"/>
        </w:rPr>
        <w:t>比</w:t>
      </w:r>
      <w:r>
        <w:rPr>
          <w:rFonts w:eastAsia="仿宋_GB2312"/>
          <w:sz w:val="32"/>
          <w:szCs w:val="32"/>
        </w:rPr>
        <w:t>201</w:t>
      </w:r>
      <w:r>
        <w:rPr>
          <w:rFonts w:hint="eastAsia" w:eastAsia="仿宋_GB2312"/>
          <w:sz w:val="32"/>
          <w:szCs w:val="32"/>
        </w:rPr>
        <w:t>7</w:t>
      </w:r>
      <w:r>
        <w:rPr>
          <w:rFonts w:eastAsia="仿宋_GB2312"/>
          <w:sz w:val="32"/>
          <w:szCs w:val="32"/>
        </w:rPr>
        <w:t>年度决算减少0.81万元，降低46.7%，主要原因是</w:t>
      </w:r>
      <w:r>
        <w:rPr>
          <w:rFonts w:hint="eastAsia" w:eastAsia="仿宋_GB2312"/>
          <w:color w:val="000000"/>
          <w:kern w:val="0"/>
          <w:sz w:val="32"/>
          <w:szCs w:val="32"/>
        </w:rPr>
        <w:t>各单位切实压缩公务用车费用支出，相应减少公务用车运行费用支出</w:t>
      </w:r>
      <w:r>
        <w:rPr>
          <w:rFonts w:eastAsia="仿宋_GB2312"/>
          <w:color w:val="000000"/>
          <w:kern w:val="0"/>
          <w:sz w:val="32"/>
          <w:szCs w:val="32"/>
        </w:rPr>
        <w:t>。</w:t>
      </w:r>
      <w:r>
        <w:rPr>
          <w:rFonts w:eastAsia="仿宋_GB2312"/>
          <w:sz w:val="32"/>
          <w:szCs w:val="32"/>
        </w:rPr>
        <w:t>具体情况如下：</w:t>
      </w:r>
    </w:p>
    <w:p w14:paraId="76C3B5D2">
      <w:pPr>
        <w:adjustRightInd w:val="0"/>
        <w:snapToGrid w:val="0"/>
        <w:spacing w:line="584" w:lineRule="exact"/>
        <w:ind w:firstLine="643"/>
        <w:rPr>
          <w:rFonts w:eastAsia="仿宋_GB2312"/>
          <w:sz w:val="32"/>
          <w:szCs w:val="32"/>
          <w:highlight w:val="yellow"/>
        </w:rPr>
      </w:pPr>
      <w:r>
        <w:rPr>
          <w:rFonts w:eastAsia="楷体_GB2312"/>
          <w:b/>
          <w:bCs/>
          <w:sz w:val="32"/>
          <w:szCs w:val="32"/>
        </w:rPr>
        <w:t>（一）因公出国（境）费支出0万元。</w:t>
      </w:r>
      <w:r>
        <w:rPr>
          <w:rFonts w:eastAsia="仿宋_GB2312"/>
          <w:sz w:val="32"/>
          <w:szCs w:val="32"/>
        </w:rPr>
        <w:t>本部门201</w:t>
      </w:r>
      <w:r>
        <w:rPr>
          <w:rFonts w:hint="eastAsia" w:eastAsia="仿宋_GB2312"/>
          <w:sz w:val="32"/>
          <w:szCs w:val="32"/>
        </w:rPr>
        <w:t>8</w:t>
      </w:r>
      <w:r>
        <w:rPr>
          <w:rFonts w:eastAsia="仿宋_GB2312"/>
          <w:sz w:val="32"/>
          <w:szCs w:val="32"/>
        </w:rPr>
        <w:t>年度未发生</w:t>
      </w:r>
      <w:r>
        <w:rPr>
          <w:rFonts w:hint="eastAsia" w:ascii="仿宋_GB2312" w:eastAsia="仿宋_GB2312" w:cs="DengXian-Regular"/>
          <w:sz w:val="32"/>
          <w:szCs w:val="32"/>
        </w:rPr>
        <w:t>因公出国（境）</w:t>
      </w:r>
      <w:r>
        <w:rPr>
          <w:rFonts w:ascii="仿宋_GB2312" w:eastAsia="仿宋_GB2312" w:cs="DengXian-Regular"/>
          <w:sz w:val="32"/>
          <w:szCs w:val="32"/>
        </w:rPr>
        <w:t>费支出，</w:t>
      </w:r>
      <w:r>
        <w:rPr>
          <w:rFonts w:eastAsia="仿宋_GB2312"/>
          <w:sz w:val="32"/>
          <w:szCs w:val="32"/>
        </w:rPr>
        <w:t>较年初预算无增减变化；较201</w:t>
      </w:r>
      <w:r>
        <w:rPr>
          <w:rFonts w:hint="eastAsia" w:eastAsia="仿宋_GB2312"/>
          <w:sz w:val="32"/>
          <w:szCs w:val="32"/>
        </w:rPr>
        <w:t>7</w:t>
      </w:r>
      <w:r>
        <w:rPr>
          <w:rFonts w:eastAsia="仿宋_GB2312"/>
          <w:sz w:val="32"/>
          <w:szCs w:val="32"/>
        </w:rPr>
        <w:t>年度决算无增减变化</w:t>
      </w:r>
      <w:r>
        <w:rPr>
          <w:rFonts w:hint="eastAsia" w:eastAsia="仿宋_GB2312"/>
          <w:sz w:val="32"/>
          <w:szCs w:val="32"/>
        </w:rPr>
        <w:t>。</w:t>
      </w:r>
    </w:p>
    <w:p w14:paraId="662EEB46">
      <w:pPr>
        <w:widowControl/>
        <w:spacing w:line="580" w:lineRule="exact"/>
        <w:ind w:firstLine="643"/>
        <w:rPr>
          <w:rFonts w:eastAsia="仿宋_GB2312"/>
          <w:b/>
          <w:bCs/>
          <w:sz w:val="32"/>
          <w:szCs w:val="32"/>
        </w:rPr>
      </w:pPr>
      <w:r>
        <w:rPr>
          <w:rFonts w:eastAsia="楷体_GB2312"/>
          <w:b/>
          <w:bCs/>
          <w:sz w:val="32"/>
          <w:szCs w:val="32"/>
        </w:rPr>
        <w:t>（二）公务用车购置及运行维护费支出0.71万元。</w:t>
      </w:r>
      <w:r>
        <w:rPr>
          <w:rFonts w:hint="eastAsia" w:ascii="仿宋_GB2312" w:eastAsia="仿宋_GB2312" w:cs="DengXian-Regular"/>
          <w:sz w:val="32"/>
          <w:szCs w:val="32"/>
        </w:rPr>
        <w:t>本部门2018年度</w:t>
      </w:r>
      <w:r>
        <w:rPr>
          <w:rFonts w:ascii="仿宋_GB2312" w:eastAsia="仿宋_GB2312" w:cs="DengXian-Regular"/>
          <w:sz w:val="32"/>
          <w:szCs w:val="32"/>
        </w:rPr>
        <w:t>未购置</w:t>
      </w:r>
      <w:r>
        <w:rPr>
          <w:rFonts w:hint="eastAsia" w:ascii="仿宋_GB2312" w:eastAsia="仿宋_GB2312" w:cs="DengXian-Regular"/>
          <w:sz w:val="32"/>
          <w:szCs w:val="32"/>
        </w:rPr>
        <w:t>公务用车购置</w:t>
      </w:r>
      <w:r>
        <w:rPr>
          <w:rFonts w:ascii="仿宋_GB2312" w:eastAsia="仿宋_GB2312" w:cs="DengXian-Regular"/>
          <w:sz w:val="32"/>
          <w:szCs w:val="32"/>
        </w:rPr>
        <w:t>，</w:t>
      </w:r>
      <w:r>
        <w:rPr>
          <w:rFonts w:hint="eastAsia" w:ascii="仿宋_GB2312" w:eastAsia="仿宋_GB2312" w:cs="DengXian-Regular"/>
          <w:sz w:val="32"/>
          <w:szCs w:val="32"/>
        </w:rPr>
        <w:t>运行维护费比年初预算</w:t>
      </w:r>
      <w:r>
        <w:rPr>
          <w:rFonts w:eastAsia="仿宋_GB2312"/>
          <w:sz w:val="32"/>
          <w:szCs w:val="32"/>
        </w:rPr>
        <w:t>减少0万元</w:t>
      </w:r>
      <w:r>
        <w:rPr>
          <w:rFonts w:hint="eastAsia" w:ascii="仿宋_GB2312" w:eastAsia="仿宋_GB2312" w:cs="DengXian-Regular"/>
          <w:sz w:val="32"/>
          <w:szCs w:val="32"/>
        </w:rPr>
        <w:t>，</w:t>
      </w:r>
      <w:r>
        <w:rPr>
          <w:rFonts w:eastAsia="仿宋_GB2312"/>
          <w:sz w:val="32"/>
          <w:szCs w:val="32"/>
        </w:rPr>
        <w:t>降低0%</w:t>
      </w:r>
      <w:r>
        <w:rPr>
          <w:rFonts w:hint="eastAsia" w:ascii="仿宋_GB2312" w:eastAsia="仿宋_GB2312" w:cs="DengXian-Regular"/>
          <w:sz w:val="32"/>
          <w:szCs w:val="32"/>
        </w:rPr>
        <w:t>；</w:t>
      </w:r>
      <w:r>
        <w:rPr>
          <w:rFonts w:hint="eastAsia" w:eastAsia="仿宋_GB2312"/>
          <w:sz w:val="32"/>
          <w:szCs w:val="32"/>
        </w:rPr>
        <w:t>比</w:t>
      </w:r>
      <w:r>
        <w:rPr>
          <w:rFonts w:eastAsia="仿宋_GB2312"/>
          <w:sz w:val="32"/>
          <w:szCs w:val="32"/>
        </w:rPr>
        <w:t>201</w:t>
      </w:r>
      <w:r>
        <w:rPr>
          <w:rFonts w:hint="eastAsia" w:eastAsia="仿宋_GB2312"/>
          <w:sz w:val="32"/>
          <w:szCs w:val="32"/>
        </w:rPr>
        <w:t>7</w:t>
      </w:r>
      <w:r>
        <w:rPr>
          <w:rFonts w:eastAsia="仿宋_GB2312"/>
          <w:sz w:val="32"/>
          <w:szCs w:val="32"/>
        </w:rPr>
        <w:t>年度决算减少0.81万元，降低46.7%，主要</w:t>
      </w:r>
      <w:r>
        <w:rPr>
          <w:rFonts w:hint="eastAsia" w:ascii="仿宋_GB2312" w:eastAsia="仿宋_GB2312" w:cs="DengXian-Regular"/>
          <w:sz w:val="32"/>
          <w:szCs w:val="32"/>
        </w:rPr>
        <w:t>原因</w:t>
      </w:r>
      <w:r>
        <w:rPr>
          <w:rFonts w:eastAsia="仿宋_GB2312"/>
          <w:sz w:val="32"/>
          <w:szCs w:val="32"/>
        </w:rPr>
        <w:t>是</w:t>
      </w:r>
      <w:r>
        <w:rPr>
          <w:rFonts w:hint="eastAsia" w:eastAsia="仿宋_GB2312"/>
          <w:color w:val="000000"/>
          <w:kern w:val="0"/>
          <w:sz w:val="32"/>
          <w:szCs w:val="32"/>
        </w:rPr>
        <w:t>各单位切实压缩公务用车费用支出，相应减少公务用车运行费用支出。</w:t>
      </w:r>
      <w:r>
        <w:rPr>
          <w:rFonts w:eastAsia="仿宋_GB2312"/>
          <w:color w:val="000000"/>
          <w:kern w:val="0"/>
          <w:sz w:val="32"/>
          <w:szCs w:val="32"/>
        </w:rPr>
        <w:t>其中：</w:t>
      </w:r>
    </w:p>
    <w:p w14:paraId="136F25FB">
      <w:pPr>
        <w:adjustRightInd w:val="0"/>
        <w:snapToGrid w:val="0"/>
        <w:spacing w:line="584" w:lineRule="exact"/>
        <w:ind w:firstLine="643"/>
        <w:rPr>
          <w:rFonts w:eastAsia="仿宋_GB2312"/>
          <w:b/>
          <w:sz w:val="32"/>
          <w:szCs w:val="32"/>
        </w:rPr>
      </w:pPr>
      <w:r>
        <w:rPr>
          <w:rFonts w:eastAsia="仿宋_GB2312"/>
          <w:b/>
          <w:sz w:val="32"/>
          <w:szCs w:val="32"/>
        </w:rPr>
        <w:t>公务用车购置费支出0万元。</w:t>
      </w:r>
      <w:r>
        <w:rPr>
          <w:rFonts w:eastAsia="仿宋_GB2312"/>
          <w:sz w:val="32"/>
          <w:szCs w:val="32"/>
        </w:rPr>
        <w:t>本部门201</w:t>
      </w:r>
      <w:r>
        <w:rPr>
          <w:rFonts w:hint="eastAsia" w:eastAsia="仿宋_GB2312"/>
          <w:sz w:val="32"/>
          <w:szCs w:val="32"/>
        </w:rPr>
        <w:t>8</w:t>
      </w:r>
      <w:r>
        <w:rPr>
          <w:rFonts w:eastAsia="仿宋_GB2312"/>
          <w:sz w:val="32"/>
          <w:szCs w:val="32"/>
        </w:rPr>
        <w:t>年度未购置公务用车。公务用车购置费支出较年初预算无增减变化；较201</w:t>
      </w:r>
      <w:r>
        <w:rPr>
          <w:rFonts w:hint="eastAsia" w:eastAsia="仿宋_GB2312"/>
          <w:sz w:val="32"/>
          <w:szCs w:val="32"/>
        </w:rPr>
        <w:t>7</w:t>
      </w:r>
      <w:r>
        <w:rPr>
          <w:rFonts w:eastAsia="仿宋_GB2312"/>
          <w:sz w:val="32"/>
          <w:szCs w:val="32"/>
        </w:rPr>
        <w:t>年度决算无增减变化。</w:t>
      </w:r>
    </w:p>
    <w:p w14:paraId="5154BA83">
      <w:pPr>
        <w:widowControl/>
        <w:spacing w:line="580" w:lineRule="exact"/>
        <w:ind w:firstLine="643"/>
        <w:rPr>
          <w:rFonts w:eastAsia="仿宋_GB2312"/>
          <w:color w:val="000000"/>
          <w:kern w:val="0"/>
          <w:sz w:val="32"/>
          <w:szCs w:val="32"/>
        </w:rPr>
      </w:pPr>
      <w:r>
        <w:rPr>
          <w:rFonts w:eastAsia="仿宋_GB2312"/>
          <w:b/>
          <w:sz w:val="32"/>
          <w:szCs w:val="32"/>
        </w:rPr>
        <w:t>公务用车运行维护费支出0.71万元。</w:t>
      </w:r>
      <w:r>
        <w:rPr>
          <w:rFonts w:eastAsia="仿宋_GB2312"/>
          <w:sz w:val="32"/>
          <w:szCs w:val="32"/>
        </w:rPr>
        <w:t>本部门201</w:t>
      </w:r>
      <w:r>
        <w:rPr>
          <w:rFonts w:hint="eastAsia" w:eastAsia="仿宋_GB2312"/>
          <w:sz w:val="32"/>
          <w:szCs w:val="32"/>
        </w:rPr>
        <w:t>8</w:t>
      </w:r>
      <w:r>
        <w:rPr>
          <w:rFonts w:eastAsia="仿宋_GB2312"/>
          <w:sz w:val="32"/>
          <w:szCs w:val="32"/>
        </w:rPr>
        <w:t>年末单位公务用车保有量3辆。公车运行维护费支出较年初预算数无变化；</w:t>
      </w:r>
      <w:r>
        <w:rPr>
          <w:rFonts w:hint="eastAsia" w:eastAsia="仿宋_GB2312"/>
          <w:sz w:val="32"/>
          <w:szCs w:val="32"/>
        </w:rPr>
        <w:t>比</w:t>
      </w:r>
      <w:r>
        <w:rPr>
          <w:rFonts w:eastAsia="仿宋_GB2312"/>
          <w:sz w:val="32"/>
          <w:szCs w:val="32"/>
        </w:rPr>
        <w:t>201</w:t>
      </w:r>
      <w:r>
        <w:rPr>
          <w:rFonts w:hint="eastAsia" w:eastAsia="仿宋_GB2312"/>
          <w:sz w:val="32"/>
          <w:szCs w:val="32"/>
        </w:rPr>
        <w:t>7</w:t>
      </w:r>
      <w:r>
        <w:rPr>
          <w:rFonts w:eastAsia="仿宋_GB2312"/>
          <w:sz w:val="32"/>
          <w:szCs w:val="32"/>
        </w:rPr>
        <w:t>年度决算减少0.81万元，降低46.7%，主要</w:t>
      </w:r>
      <w:r>
        <w:rPr>
          <w:rFonts w:hint="eastAsia" w:ascii="仿宋_GB2312" w:eastAsia="仿宋_GB2312" w:cs="DengXian-Regular"/>
          <w:sz w:val="32"/>
          <w:szCs w:val="32"/>
        </w:rPr>
        <w:t>原因</w:t>
      </w:r>
      <w:r>
        <w:rPr>
          <w:rFonts w:eastAsia="仿宋_GB2312"/>
          <w:sz w:val="32"/>
          <w:szCs w:val="32"/>
        </w:rPr>
        <w:t>是</w:t>
      </w:r>
      <w:r>
        <w:rPr>
          <w:rFonts w:hint="eastAsia" w:eastAsia="仿宋_GB2312"/>
          <w:color w:val="000000"/>
          <w:kern w:val="0"/>
          <w:sz w:val="32"/>
          <w:szCs w:val="32"/>
        </w:rPr>
        <w:t>各单位切实压缩公务用车费用支出，相应减少公务用车运行费用支出。</w:t>
      </w:r>
    </w:p>
    <w:p w14:paraId="4B79E7F1">
      <w:pPr>
        <w:adjustRightInd w:val="0"/>
        <w:snapToGrid w:val="0"/>
        <w:spacing w:line="584" w:lineRule="exact"/>
        <w:ind w:firstLine="643"/>
        <w:rPr>
          <w:rFonts w:eastAsia="仿宋_GB2312"/>
          <w:sz w:val="32"/>
          <w:szCs w:val="32"/>
          <w:highlight w:val="yellow"/>
        </w:rPr>
      </w:pPr>
      <w:r>
        <w:rPr>
          <w:rFonts w:eastAsia="楷体_GB2312"/>
          <w:b/>
          <w:bCs/>
          <w:sz w:val="32"/>
          <w:szCs w:val="32"/>
        </w:rPr>
        <w:t>（三）公务接待费支出0万元。</w:t>
      </w:r>
      <w:r>
        <w:rPr>
          <w:rFonts w:eastAsia="仿宋_GB2312"/>
          <w:sz w:val="32"/>
          <w:szCs w:val="32"/>
        </w:rPr>
        <w:t>本部门201</w:t>
      </w:r>
      <w:r>
        <w:rPr>
          <w:rFonts w:hint="eastAsia" w:eastAsia="仿宋_GB2312"/>
          <w:sz w:val="32"/>
          <w:szCs w:val="32"/>
        </w:rPr>
        <w:t>8</w:t>
      </w:r>
      <w:r>
        <w:rPr>
          <w:rFonts w:eastAsia="仿宋_GB2312"/>
          <w:sz w:val="32"/>
          <w:szCs w:val="32"/>
        </w:rPr>
        <w:t>年度未发生公务接待。公务接待费开支较年初预算无增减变化；较201</w:t>
      </w:r>
      <w:r>
        <w:rPr>
          <w:rFonts w:hint="eastAsia" w:eastAsia="仿宋_GB2312"/>
          <w:sz w:val="32"/>
          <w:szCs w:val="32"/>
        </w:rPr>
        <w:t>7</w:t>
      </w:r>
      <w:r>
        <w:rPr>
          <w:rFonts w:eastAsia="仿宋_GB2312"/>
          <w:sz w:val="32"/>
          <w:szCs w:val="32"/>
        </w:rPr>
        <w:t>年度决算无增减变化。</w:t>
      </w:r>
    </w:p>
    <w:p w14:paraId="2B5FB649">
      <w:pPr>
        <w:adjustRightInd w:val="0"/>
        <w:snapToGrid w:val="0"/>
        <w:spacing w:after="0" w:line="580" w:lineRule="exact"/>
        <w:ind w:firstLine="640"/>
        <w:rPr>
          <w:rFonts w:ascii="黑体" w:eastAsia="黑体"/>
          <w:sz w:val="32"/>
          <w:szCs w:val="40"/>
        </w:rPr>
      </w:pPr>
      <w:r>
        <w:rPr>
          <w:rFonts w:hint="eastAsia" w:ascii="黑体" w:eastAsia="黑体"/>
          <w:sz w:val="32"/>
          <w:szCs w:val="40"/>
        </w:rPr>
        <w:t>六、预算绩效情况说明</w:t>
      </w:r>
    </w:p>
    <w:p w14:paraId="7FDF2175">
      <w:pPr>
        <w:autoSpaceDE w:val="0"/>
        <w:autoSpaceDN w:val="0"/>
        <w:adjustRightInd w:val="0"/>
        <w:spacing w:line="520" w:lineRule="exact"/>
        <w:ind w:firstLine="640"/>
        <w:jc w:val="left"/>
        <w:rPr>
          <w:rFonts w:ascii="仿宋_GB2312" w:eastAsia="仿宋_GB2312" w:cs="DengXian-Regular"/>
          <w:sz w:val="32"/>
          <w:szCs w:val="32"/>
        </w:rPr>
      </w:pPr>
      <w:r>
        <w:rPr>
          <w:rFonts w:hint="eastAsia" w:ascii="仿宋_GB2312" w:eastAsia="仿宋_GB2312" w:cs="DengXian-Regular"/>
          <w:sz w:val="32"/>
          <w:szCs w:val="32"/>
        </w:rPr>
        <w:t>（一）预算绩效管理工作开展情况。</w:t>
      </w:r>
    </w:p>
    <w:p w14:paraId="6703AB47">
      <w:pPr>
        <w:autoSpaceDE w:val="0"/>
        <w:autoSpaceDN w:val="0"/>
        <w:adjustRightInd w:val="0"/>
        <w:spacing w:line="520" w:lineRule="exact"/>
        <w:ind w:firstLine="640"/>
        <w:jc w:val="left"/>
        <w:rPr>
          <w:rFonts w:ascii="仿宋_GB2312" w:eastAsia="仿宋_GB2312" w:cs="仿宋_GB2312"/>
          <w:kern w:val="0"/>
          <w:sz w:val="32"/>
          <w:szCs w:val="32"/>
        </w:rPr>
      </w:pPr>
      <w:r>
        <w:rPr>
          <w:rFonts w:hint="eastAsia" w:ascii="仿宋_GB2312" w:eastAsia="仿宋_GB2312" w:cs="仿宋_GB2312"/>
          <w:kern w:val="0"/>
          <w:sz w:val="32"/>
          <w:szCs w:val="32"/>
        </w:rPr>
        <w:t>我单位按照预算绩效管理</w:t>
      </w:r>
      <w:r>
        <w:rPr>
          <w:rFonts w:ascii="仿宋_GB2312" w:eastAsia="仿宋_GB2312" w:cs="仿宋_GB2312"/>
          <w:kern w:val="0"/>
          <w:sz w:val="32"/>
          <w:szCs w:val="32"/>
        </w:rPr>
        <w:t>工作</w:t>
      </w:r>
      <w:r>
        <w:rPr>
          <w:rFonts w:hint="eastAsia" w:ascii="仿宋_GB2312" w:eastAsia="仿宋_GB2312" w:cs="仿宋_GB2312"/>
          <w:kern w:val="0"/>
          <w:sz w:val="32"/>
          <w:szCs w:val="32"/>
        </w:rPr>
        <w:t>要求，严格执行绩效预算管理。201</w:t>
      </w:r>
      <w:r>
        <w:rPr>
          <w:rFonts w:ascii="仿宋_GB2312" w:eastAsia="仿宋_GB2312" w:cs="仿宋_GB2312"/>
          <w:kern w:val="0"/>
          <w:sz w:val="32"/>
          <w:szCs w:val="32"/>
        </w:rPr>
        <w:t>8</w:t>
      </w:r>
      <w:r>
        <w:rPr>
          <w:rFonts w:hint="eastAsia" w:ascii="仿宋_GB2312" w:eastAsia="仿宋_GB2312" w:cs="仿宋_GB2312"/>
          <w:kern w:val="0"/>
          <w:sz w:val="32"/>
          <w:szCs w:val="32"/>
        </w:rPr>
        <w:t>年我单位圆满完成</w:t>
      </w:r>
      <w:r>
        <w:rPr>
          <w:rFonts w:ascii="仿宋_GB2312" w:eastAsia="仿宋_GB2312" w:cs="仿宋_GB2312"/>
          <w:kern w:val="0"/>
          <w:sz w:val="32"/>
          <w:szCs w:val="32"/>
        </w:rPr>
        <w:t>各项工作任务。</w:t>
      </w:r>
    </w:p>
    <w:p w14:paraId="6AA8B82E">
      <w:pPr>
        <w:adjustRightInd w:val="0"/>
        <w:snapToGrid w:val="0"/>
        <w:spacing w:after="0" w:line="580" w:lineRule="exact"/>
        <w:ind w:firstLine="640"/>
        <w:rPr>
          <w:rFonts w:ascii="仿宋_GB2312" w:eastAsia="仿宋_GB2312" w:cs="DengXian-Regular"/>
          <w:sz w:val="32"/>
          <w:szCs w:val="32"/>
        </w:rPr>
      </w:pPr>
      <w:r>
        <w:rPr>
          <w:rFonts w:hint="eastAsia" w:ascii="仿宋_GB2312" w:eastAsia="仿宋_GB2312" w:cs="DengXian-Regular"/>
          <w:sz w:val="32"/>
          <w:szCs w:val="32"/>
        </w:rPr>
        <w:t>（二）项目绩效自评结果。</w:t>
      </w:r>
    </w:p>
    <w:p w14:paraId="67681BB0">
      <w:pPr>
        <w:adjustRightInd w:val="0"/>
        <w:snapToGrid w:val="0"/>
        <w:spacing w:after="0" w:line="580" w:lineRule="exact"/>
        <w:ind w:firstLine="640"/>
        <w:rPr>
          <w:rFonts w:ascii="仿宋_GB2312" w:eastAsia="仿宋_GB2312" w:cs="DengXian-Regular"/>
          <w:sz w:val="32"/>
          <w:szCs w:val="32"/>
          <w:highlight w:val="yellow"/>
        </w:rPr>
      </w:pPr>
      <w:r>
        <w:rPr>
          <w:rFonts w:ascii="仿宋_GB2312" w:eastAsia="仿宋_GB2312" w:cs="DengXian-Regular"/>
          <w:sz w:val="32"/>
          <w:szCs w:val="32"/>
        </w:rPr>
        <w:t>我单位严格按照相关工作安排，配合上级部门对项目资金进行绩效评价，切实提高财政资金使用绩效，保障各项资金落实到位</w:t>
      </w:r>
    </w:p>
    <w:p w14:paraId="55651576">
      <w:pPr>
        <w:adjustRightInd w:val="0"/>
        <w:snapToGrid w:val="0"/>
        <w:spacing w:after="0" w:line="580" w:lineRule="exact"/>
        <w:ind w:firstLine="640"/>
        <w:rPr>
          <w:rFonts w:ascii="仿宋_GB2312" w:eastAsia="仿宋_GB2312" w:cs="DengXian-Regular"/>
          <w:sz w:val="32"/>
          <w:szCs w:val="32"/>
        </w:rPr>
      </w:pPr>
      <w:r>
        <w:rPr>
          <w:rFonts w:hint="eastAsia" w:ascii="仿宋_GB2312" w:eastAsia="仿宋_GB2312" w:cs="DengXian-Regular"/>
          <w:sz w:val="32"/>
          <w:szCs w:val="32"/>
        </w:rPr>
        <w:t>（三）重点项目绩效评价结果。</w:t>
      </w:r>
    </w:p>
    <w:p w14:paraId="0A37172B">
      <w:pPr>
        <w:adjustRightInd w:val="0"/>
        <w:snapToGrid w:val="0"/>
        <w:spacing w:after="0" w:line="580" w:lineRule="exact"/>
        <w:ind w:firstLine="640"/>
        <w:rPr>
          <w:rFonts w:ascii="仿宋_GB2312" w:eastAsia="仿宋_GB2312" w:cs="DengXian-Regular"/>
          <w:sz w:val="32"/>
          <w:szCs w:val="32"/>
        </w:rPr>
      </w:pPr>
      <w:r>
        <w:rPr>
          <w:rFonts w:ascii="仿宋_GB2312" w:eastAsia="仿宋_GB2312" w:cs="DengXian-Regular"/>
          <w:sz w:val="32"/>
          <w:szCs w:val="32"/>
        </w:rPr>
        <w:t>我单位积极配合上级财政部门对项目资金进行绩效评价，从结果看，专项资金的使用情况基本达到了原定目标，绩效评价良好。</w:t>
      </w:r>
    </w:p>
    <w:p w14:paraId="7979418E">
      <w:pPr>
        <w:pStyle w:val="3"/>
        <w:spacing w:before="0" w:after="0" w:line="580" w:lineRule="exact"/>
        <w:ind w:firstLine="640"/>
        <w:rPr>
          <w:rFonts w:ascii="黑体" w:eastAsia="黑体" w:cs="Times New Roman"/>
          <w:b w:val="0"/>
          <w:bCs w:val="0"/>
        </w:rPr>
      </w:pPr>
      <w:r>
        <w:rPr>
          <w:rFonts w:hint="eastAsia" w:ascii="黑体" w:eastAsia="黑体" w:cs="Times New Roman"/>
          <w:b w:val="0"/>
          <w:bCs w:val="0"/>
        </w:rPr>
        <w:t>七、其他重要事项的说明</w:t>
      </w:r>
    </w:p>
    <w:p w14:paraId="322AEA33">
      <w:pPr>
        <w:pStyle w:val="4"/>
        <w:spacing w:before="0" w:after="0" w:line="580" w:lineRule="exact"/>
        <w:ind w:firstLine="643"/>
        <w:rPr>
          <w:rFonts w:ascii="楷体_GB2312" w:eastAsia="楷体_GB2312" w:cs="DengXian-Bold"/>
        </w:rPr>
      </w:pPr>
      <w:r>
        <w:rPr>
          <w:rFonts w:hint="eastAsia" w:ascii="楷体_GB2312" w:eastAsia="楷体_GB2312" w:cs="DengXian-Bold"/>
        </w:rPr>
        <w:t>（一）机关运行经费情况</w:t>
      </w:r>
    </w:p>
    <w:p w14:paraId="02904878">
      <w:pPr>
        <w:adjustRightInd w:val="0"/>
        <w:snapToGrid w:val="0"/>
        <w:spacing w:after="0" w:line="580" w:lineRule="exact"/>
        <w:ind w:firstLine="640"/>
        <w:rPr>
          <w:rFonts w:ascii="仿宋_GB2312" w:eastAsia="仿宋_GB2312" w:cs="DengXian-Regular"/>
          <w:sz w:val="32"/>
          <w:szCs w:val="32"/>
        </w:rPr>
      </w:pPr>
      <w:r>
        <w:rPr>
          <w:rFonts w:hint="eastAsia" w:ascii="仿宋_GB2312" w:eastAsia="仿宋_GB2312" w:cs="DengXian-Regular"/>
          <w:sz w:val="32"/>
          <w:szCs w:val="32"/>
        </w:rPr>
        <w:t>本部门2018年度机关运行经费支出</w:t>
      </w:r>
      <w:r>
        <w:rPr>
          <w:rFonts w:eastAsia="仿宋_GB2312"/>
          <w:sz w:val="32"/>
          <w:szCs w:val="32"/>
        </w:rPr>
        <w:t>279.98</w:t>
      </w:r>
      <w:r>
        <w:rPr>
          <w:rFonts w:hint="eastAsia" w:ascii="仿宋_GB2312" w:eastAsia="仿宋_GB2312" w:cs="DengXian-Regular"/>
          <w:sz w:val="32"/>
          <w:szCs w:val="32"/>
        </w:rPr>
        <w:t>万元，比年初预算数增加</w:t>
      </w:r>
      <w:r>
        <w:rPr>
          <w:rFonts w:ascii="仿宋_GB2312" w:eastAsia="仿宋_GB2312" w:cs="DengXian-Regular"/>
          <w:sz w:val="32"/>
          <w:szCs w:val="32"/>
        </w:rPr>
        <w:t>76.15</w:t>
      </w:r>
      <w:r>
        <w:rPr>
          <w:rFonts w:hint="eastAsia" w:ascii="仿宋_GB2312" w:eastAsia="仿宋_GB2312" w:cs="DengXian-Regular"/>
          <w:sz w:val="32"/>
          <w:szCs w:val="32"/>
        </w:rPr>
        <w:t>万元，增长</w:t>
      </w:r>
      <w:r>
        <w:rPr>
          <w:rFonts w:ascii="仿宋_GB2312" w:eastAsia="仿宋_GB2312" w:cs="DengXian-Regular"/>
          <w:sz w:val="32"/>
          <w:szCs w:val="32"/>
        </w:rPr>
        <w:t>37.3</w:t>
      </w:r>
      <w:r>
        <w:rPr>
          <w:rFonts w:eastAsia="仿宋_GB2312"/>
          <w:sz w:val="32"/>
          <w:szCs w:val="32"/>
        </w:rPr>
        <w:t>%</w:t>
      </w:r>
      <w:r>
        <w:rPr>
          <w:rFonts w:hint="eastAsia" w:ascii="仿宋_GB2312" w:eastAsia="仿宋_GB2312" w:cs="DengXian-Regular"/>
          <w:sz w:val="32"/>
          <w:szCs w:val="32"/>
        </w:rPr>
        <w:t>。主要原因是</w:t>
      </w:r>
      <w:r>
        <w:rPr>
          <w:rFonts w:ascii="仿宋_GB2312" w:eastAsia="仿宋_GB2312" w:cs="DengXian-Regular"/>
          <w:sz w:val="32"/>
          <w:szCs w:val="32"/>
        </w:rPr>
        <w:t>本年度水电及办公用品费用增加</w:t>
      </w:r>
      <w:r>
        <w:rPr>
          <w:rFonts w:hint="eastAsia" w:ascii="仿宋_GB2312" w:eastAsia="仿宋_GB2312" w:cs="DengXian-Regular"/>
          <w:sz w:val="32"/>
          <w:szCs w:val="32"/>
        </w:rPr>
        <w:t>。</w:t>
      </w:r>
      <w:r>
        <w:rPr>
          <w:rFonts w:eastAsia="仿宋_GB2312"/>
          <w:sz w:val="32"/>
          <w:szCs w:val="32"/>
        </w:rPr>
        <w:t>较201</w:t>
      </w:r>
      <w:r>
        <w:rPr>
          <w:rFonts w:hint="eastAsia" w:eastAsia="仿宋_GB2312"/>
          <w:sz w:val="32"/>
          <w:szCs w:val="32"/>
        </w:rPr>
        <w:t>7</w:t>
      </w:r>
      <w:r>
        <w:rPr>
          <w:rFonts w:eastAsia="仿宋_GB2312"/>
          <w:sz w:val="32"/>
          <w:szCs w:val="32"/>
        </w:rPr>
        <w:t>年度决算增加11.98万元，增长0.4%，主要</w:t>
      </w:r>
      <w:r>
        <w:rPr>
          <w:rFonts w:hint="eastAsia" w:ascii="仿宋_GB2312" w:eastAsia="仿宋_GB2312" w:cs="DengXian-Regular"/>
          <w:sz w:val="32"/>
          <w:szCs w:val="32"/>
        </w:rPr>
        <w:t>原因</w:t>
      </w:r>
      <w:r>
        <w:rPr>
          <w:rFonts w:eastAsia="仿宋_GB2312"/>
          <w:sz w:val="32"/>
          <w:szCs w:val="32"/>
        </w:rPr>
        <w:t>是</w:t>
      </w:r>
      <w:r>
        <w:rPr>
          <w:rFonts w:ascii="仿宋_GB2312" w:eastAsia="仿宋_GB2312" w:cs="DengXian-Regular"/>
          <w:sz w:val="32"/>
          <w:szCs w:val="32"/>
        </w:rPr>
        <w:t>本年度水电及办公用品费用增加</w:t>
      </w:r>
      <w:r>
        <w:rPr>
          <w:rFonts w:eastAsia="仿宋_GB2312"/>
          <w:sz w:val="32"/>
          <w:szCs w:val="32"/>
        </w:rPr>
        <w:t>。</w:t>
      </w:r>
    </w:p>
    <w:p w14:paraId="4A69951B">
      <w:pPr>
        <w:pStyle w:val="4"/>
        <w:spacing w:before="0" w:after="0" w:line="580" w:lineRule="exact"/>
        <w:ind w:firstLine="643"/>
        <w:rPr>
          <w:rFonts w:ascii="楷体_GB2312" w:eastAsia="楷体_GB2312" w:cs="DengXian-Bold"/>
        </w:rPr>
      </w:pPr>
      <w:r>
        <w:rPr>
          <w:rFonts w:hint="eastAsia" w:ascii="楷体_GB2312" w:eastAsia="楷体_GB2312" w:cs="DengXian-Bold"/>
        </w:rPr>
        <w:t>（二）政府采购情况</w:t>
      </w:r>
    </w:p>
    <w:p w14:paraId="12A9341E">
      <w:pPr>
        <w:widowControl/>
        <w:spacing w:after="0" w:line="580" w:lineRule="exact"/>
        <w:ind w:firstLine="640"/>
        <w:jc w:val="left"/>
        <w:rPr>
          <w:rFonts w:ascii="仿宋_GB2312" w:eastAsia="仿宋_GB2312" w:cs="DengXian-Regular"/>
          <w:sz w:val="32"/>
          <w:szCs w:val="32"/>
        </w:rPr>
      </w:pPr>
      <w:r>
        <w:rPr>
          <w:rFonts w:hint="eastAsia" w:ascii="仿宋_GB2312" w:eastAsia="仿宋_GB2312" w:cs="DengXian-Regular"/>
          <w:sz w:val="32"/>
          <w:szCs w:val="32"/>
        </w:rPr>
        <w:t>本部门2018年度政府采购支出总额</w:t>
      </w:r>
      <w:r>
        <w:rPr>
          <w:rFonts w:ascii="仿宋_GB2312" w:eastAsia="仿宋_GB2312" w:cs="DengXian-Regular"/>
          <w:sz w:val="32"/>
          <w:szCs w:val="32"/>
        </w:rPr>
        <w:t>7656.11</w:t>
      </w:r>
      <w:r>
        <w:rPr>
          <w:rFonts w:hint="eastAsia" w:ascii="仿宋_GB2312" w:eastAsia="仿宋_GB2312" w:cs="DengXian-Regular"/>
          <w:sz w:val="32"/>
          <w:szCs w:val="32"/>
        </w:rPr>
        <w:t>万元，从采购类型来看，</w:t>
      </w:r>
      <w:r>
        <w:rPr>
          <w:rFonts w:ascii="仿宋_GB2312" w:eastAsia="仿宋_GB2312" w:cs="仿宋_GB2312"/>
          <w:color w:val="000000"/>
          <w:kern w:val="0"/>
          <w:sz w:val="32"/>
          <w:szCs w:val="32"/>
        </w:rPr>
        <w:t>政府采购货物支出6843.13 万元、政府采购工程支出314.79万元、政府采购服务支出 498.2万元。授予中小企业合同金7656.11万元，占政府采购支出总额的100</w:t>
      </w:r>
      <w:r>
        <w:rPr>
          <w:rFonts w:hint="eastAsia" w:ascii="仿宋_GB2312" w:eastAsia="仿宋_GB2312" w:cs="仿宋_GB2312"/>
          <w:color w:val="000000"/>
          <w:kern w:val="0"/>
          <w:sz w:val="32"/>
          <w:szCs w:val="32"/>
        </w:rPr>
        <w:t>%，</w:t>
      </w:r>
      <w:r>
        <w:rPr>
          <w:rFonts w:ascii="仿宋_GB2312" w:eastAsia="仿宋_GB2312" w:cs="仿宋_GB2312"/>
          <w:color w:val="000000"/>
          <w:kern w:val="0"/>
          <w:sz w:val="32"/>
          <w:szCs w:val="32"/>
        </w:rPr>
        <w:t>其中授予小微企业合同金额0万元，占政府采购支出总额的 0%。</w:t>
      </w:r>
    </w:p>
    <w:p w14:paraId="1AC74663">
      <w:pPr>
        <w:pStyle w:val="4"/>
        <w:spacing w:before="0" w:after="0" w:line="580" w:lineRule="exact"/>
        <w:ind w:firstLine="643"/>
        <w:rPr>
          <w:rFonts w:ascii="楷体_GB2312" w:eastAsia="楷体_GB2312" w:cs="DengXian-Bold"/>
        </w:rPr>
      </w:pPr>
      <w:r>
        <w:rPr>
          <w:rFonts w:hint="eastAsia" w:ascii="楷体_GB2312" w:eastAsia="楷体_GB2312" w:cs="DengXian-Bold"/>
        </w:rPr>
        <w:t>（三）国有资产占用情况</w:t>
      </w:r>
    </w:p>
    <w:p w14:paraId="4BB6DC5B">
      <w:pPr>
        <w:adjustRightInd w:val="0"/>
        <w:snapToGrid w:val="0"/>
        <w:spacing w:after="0" w:line="580" w:lineRule="exact"/>
        <w:ind w:firstLine="640"/>
        <w:rPr>
          <w:rFonts w:ascii="仿宋_GB2312" w:eastAsia="仿宋_GB2312" w:cs="DengXian-Regular"/>
          <w:sz w:val="32"/>
          <w:szCs w:val="32"/>
        </w:rPr>
      </w:pPr>
      <w:r>
        <w:rPr>
          <w:rFonts w:hint="eastAsia" w:ascii="仿宋_GB2312" w:eastAsia="仿宋_GB2312" w:cs="DengXian-Regular"/>
          <w:sz w:val="32"/>
          <w:szCs w:val="32"/>
        </w:rPr>
        <w:t>截至2018年12月31日，本部门共有车辆</w:t>
      </w:r>
      <w:r>
        <w:rPr>
          <w:rFonts w:ascii="仿宋_GB2312" w:eastAsia="仿宋_GB2312" w:cs="DengXian-Regular"/>
          <w:sz w:val="32"/>
          <w:szCs w:val="32"/>
        </w:rPr>
        <w:t>3</w:t>
      </w:r>
      <w:r>
        <w:rPr>
          <w:rFonts w:hint="eastAsia" w:ascii="仿宋_GB2312" w:eastAsia="仿宋_GB2312" w:cs="DengXian-Regular"/>
          <w:sz w:val="32"/>
          <w:szCs w:val="32"/>
        </w:rPr>
        <w:t>辆，</w:t>
      </w:r>
      <w:r>
        <w:rPr>
          <w:rFonts w:ascii="仿宋_GB2312" w:eastAsia="仿宋_GB2312" w:cs="DengXian-Regular"/>
          <w:sz w:val="32"/>
          <w:szCs w:val="32"/>
        </w:rPr>
        <w:t>较</w:t>
      </w:r>
      <w:r>
        <w:rPr>
          <w:rFonts w:hint="eastAsia" w:ascii="仿宋_GB2312" w:eastAsia="仿宋_GB2312" w:cs="DengXian-Regular"/>
          <w:sz w:val="32"/>
          <w:szCs w:val="32"/>
        </w:rPr>
        <w:t>上年</w:t>
      </w:r>
      <w:r>
        <w:rPr>
          <w:rFonts w:ascii="仿宋_GB2312" w:eastAsia="仿宋_GB2312" w:cs="DengXian-Regular"/>
          <w:sz w:val="32"/>
          <w:szCs w:val="32"/>
        </w:rPr>
        <w:t>无变化</w:t>
      </w:r>
      <w:r>
        <w:rPr>
          <w:rFonts w:hint="eastAsia" w:ascii="仿宋_GB2312" w:eastAsia="仿宋_GB2312" w:cs="DengXian-Regular"/>
          <w:sz w:val="32"/>
          <w:szCs w:val="32"/>
        </w:rPr>
        <w:t>。其中，副部（省）级及以上领导用车</w:t>
      </w:r>
      <w:r>
        <w:rPr>
          <w:rFonts w:ascii="仿宋_GB2312" w:eastAsia="仿宋_GB2312" w:cs="DengXian-Regular"/>
          <w:sz w:val="32"/>
          <w:szCs w:val="32"/>
        </w:rPr>
        <w:t>0</w:t>
      </w:r>
      <w:r>
        <w:rPr>
          <w:rFonts w:hint="eastAsia" w:ascii="仿宋_GB2312" w:eastAsia="仿宋_GB2312" w:cs="DengXian-Regular"/>
          <w:sz w:val="32"/>
          <w:szCs w:val="32"/>
        </w:rPr>
        <w:t>辆，主要领导干部用车</w:t>
      </w:r>
      <w:r>
        <w:rPr>
          <w:rFonts w:ascii="仿宋_GB2312" w:eastAsia="仿宋_GB2312" w:cs="DengXian-Regular"/>
          <w:sz w:val="32"/>
          <w:szCs w:val="32"/>
        </w:rPr>
        <w:t>0</w:t>
      </w:r>
      <w:r>
        <w:rPr>
          <w:rFonts w:hint="eastAsia" w:ascii="仿宋_GB2312" w:eastAsia="仿宋_GB2312" w:cs="DengXian-Regular"/>
          <w:sz w:val="32"/>
          <w:szCs w:val="32"/>
        </w:rPr>
        <w:t>辆，机要通信用车</w:t>
      </w:r>
      <w:r>
        <w:rPr>
          <w:rFonts w:ascii="仿宋_GB2312" w:eastAsia="仿宋_GB2312" w:cs="DengXian-Regular"/>
          <w:sz w:val="32"/>
          <w:szCs w:val="32"/>
        </w:rPr>
        <w:t>2</w:t>
      </w:r>
      <w:r>
        <w:rPr>
          <w:rFonts w:hint="eastAsia" w:ascii="仿宋_GB2312" w:eastAsia="仿宋_GB2312" w:cs="DengXian-Regular"/>
          <w:sz w:val="32"/>
          <w:szCs w:val="32"/>
        </w:rPr>
        <w:t>辆，应急保障用车</w:t>
      </w:r>
      <w:r>
        <w:rPr>
          <w:rFonts w:ascii="仿宋_GB2312" w:eastAsia="仿宋_GB2312" w:cs="DengXian-Regular"/>
          <w:sz w:val="32"/>
          <w:szCs w:val="32"/>
        </w:rPr>
        <w:t>0</w:t>
      </w:r>
      <w:r>
        <w:rPr>
          <w:rFonts w:hint="eastAsia" w:ascii="仿宋_GB2312" w:eastAsia="仿宋_GB2312" w:cs="DengXian-Regular"/>
          <w:sz w:val="32"/>
          <w:szCs w:val="32"/>
        </w:rPr>
        <w:t>辆，执法执勤用车</w:t>
      </w:r>
      <w:r>
        <w:rPr>
          <w:rFonts w:ascii="仿宋_GB2312" w:eastAsia="仿宋_GB2312" w:cs="DengXian-Regular"/>
          <w:sz w:val="32"/>
          <w:szCs w:val="32"/>
        </w:rPr>
        <w:t>0</w:t>
      </w:r>
      <w:r>
        <w:rPr>
          <w:rFonts w:hint="eastAsia" w:ascii="仿宋_GB2312" w:eastAsia="仿宋_GB2312" w:cs="DengXian-Regular"/>
          <w:sz w:val="32"/>
          <w:szCs w:val="32"/>
        </w:rPr>
        <w:t>辆，特种专业技术用车</w:t>
      </w:r>
      <w:r>
        <w:rPr>
          <w:rFonts w:ascii="仿宋_GB2312" w:eastAsia="仿宋_GB2312" w:cs="DengXian-Regular"/>
          <w:sz w:val="32"/>
          <w:szCs w:val="32"/>
        </w:rPr>
        <w:t>0</w:t>
      </w:r>
      <w:r>
        <w:rPr>
          <w:rFonts w:hint="eastAsia" w:ascii="仿宋_GB2312" w:eastAsia="仿宋_GB2312" w:cs="DengXian-Regular"/>
          <w:sz w:val="32"/>
          <w:szCs w:val="32"/>
        </w:rPr>
        <w:t>辆，离退休干部用车</w:t>
      </w:r>
      <w:r>
        <w:rPr>
          <w:rFonts w:ascii="仿宋_GB2312" w:eastAsia="仿宋_GB2312" w:cs="DengXian-Regular"/>
          <w:sz w:val="32"/>
          <w:szCs w:val="32"/>
        </w:rPr>
        <w:t>0</w:t>
      </w:r>
      <w:r>
        <w:rPr>
          <w:rFonts w:hint="eastAsia" w:ascii="仿宋_GB2312" w:eastAsia="仿宋_GB2312" w:cs="DengXian-Regular"/>
          <w:sz w:val="32"/>
          <w:szCs w:val="32"/>
        </w:rPr>
        <w:t>辆，其他用车</w:t>
      </w:r>
      <w:r>
        <w:rPr>
          <w:rFonts w:ascii="仿宋_GB2312" w:eastAsia="仿宋_GB2312" w:cs="DengXian-Regular"/>
          <w:sz w:val="32"/>
          <w:szCs w:val="32"/>
        </w:rPr>
        <w:t>1</w:t>
      </w:r>
      <w:r>
        <w:rPr>
          <w:rFonts w:hint="eastAsia" w:ascii="仿宋_GB2312" w:eastAsia="仿宋_GB2312" w:cs="DengXian-Regular"/>
          <w:sz w:val="32"/>
          <w:szCs w:val="32"/>
        </w:rPr>
        <w:t>辆；单位价值</w:t>
      </w:r>
      <w:r>
        <w:rPr>
          <w:rFonts w:hint="eastAsia" w:ascii="仿宋_GB2312" w:eastAsia="仿宋_GB2312" w:cs="TimesNewRomanPSMT"/>
          <w:sz w:val="32"/>
          <w:szCs w:val="32"/>
        </w:rPr>
        <w:t>50</w:t>
      </w:r>
      <w:r>
        <w:rPr>
          <w:rFonts w:hint="eastAsia" w:ascii="仿宋_GB2312" w:eastAsia="仿宋_GB2312" w:cs="DengXian-Regular"/>
          <w:sz w:val="32"/>
          <w:szCs w:val="32"/>
        </w:rPr>
        <w:t>万元以上通用设备</w:t>
      </w:r>
      <w:r>
        <w:rPr>
          <w:rFonts w:ascii="仿宋_GB2312" w:eastAsia="仿宋_GB2312" w:cs="DengXian-Regular"/>
          <w:sz w:val="32"/>
          <w:szCs w:val="32"/>
        </w:rPr>
        <w:t>0</w:t>
      </w:r>
      <w:r>
        <w:rPr>
          <w:rFonts w:hint="eastAsia" w:ascii="仿宋_GB2312" w:eastAsia="仿宋_GB2312" w:cs="DengXian-Regular"/>
          <w:sz w:val="32"/>
          <w:szCs w:val="32"/>
        </w:rPr>
        <w:t>台（套），</w:t>
      </w:r>
      <w:r>
        <w:rPr>
          <w:rFonts w:ascii="仿宋_GB2312" w:eastAsia="仿宋_GB2312" w:cs="DengXian-Regular"/>
          <w:sz w:val="32"/>
          <w:szCs w:val="32"/>
        </w:rPr>
        <w:t>较</w:t>
      </w:r>
      <w:r>
        <w:rPr>
          <w:rFonts w:hint="eastAsia" w:ascii="仿宋_GB2312" w:eastAsia="仿宋_GB2312" w:cs="DengXian-Regular"/>
          <w:sz w:val="32"/>
          <w:szCs w:val="32"/>
        </w:rPr>
        <w:t>上年</w:t>
      </w:r>
      <w:r>
        <w:rPr>
          <w:rFonts w:ascii="仿宋_GB2312" w:eastAsia="仿宋_GB2312" w:cs="DengXian-Regular"/>
          <w:sz w:val="32"/>
          <w:szCs w:val="32"/>
        </w:rPr>
        <w:t>无变化</w:t>
      </w:r>
      <w:r>
        <w:rPr>
          <w:rFonts w:hint="eastAsia" w:ascii="仿宋_GB2312" w:eastAsia="仿宋_GB2312" w:cs="DengXian-Regular"/>
          <w:sz w:val="32"/>
          <w:szCs w:val="32"/>
        </w:rPr>
        <w:t>。 单位价值</w:t>
      </w:r>
      <w:r>
        <w:rPr>
          <w:rFonts w:hint="eastAsia" w:ascii="仿宋_GB2312" w:eastAsia="仿宋_GB2312" w:cs="TimesNewRomanPSMT"/>
          <w:sz w:val="32"/>
          <w:szCs w:val="32"/>
        </w:rPr>
        <w:t>100</w:t>
      </w:r>
      <w:r>
        <w:rPr>
          <w:rFonts w:hint="eastAsia" w:ascii="仿宋_GB2312" w:eastAsia="仿宋_GB2312" w:cs="DengXian-Regular"/>
          <w:sz w:val="32"/>
          <w:szCs w:val="32"/>
        </w:rPr>
        <w:t>万元以上专用设备</w:t>
      </w:r>
      <w:r>
        <w:rPr>
          <w:rFonts w:ascii="仿宋_GB2312" w:eastAsia="仿宋_GB2312" w:cs="DengXian-Regular"/>
          <w:sz w:val="32"/>
          <w:szCs w:val="32"/>
        </w:rPr>
        <w:t>0</w:t>
      </w:r>
      <w:r>
        <w:rPr>
          <w:rFonts w:hint="eastAsia" w:ascii="仿宋_GB2312" w:eastAsia="仿宋_GB2312" w:cs="DengXian-Regular"/>
          <w:sz w:val="32"/>
          <w:szCs w:val="32"/>
        </w:rPr>
        <w:t>台（套）</w:t>
      </w:r>
      <w:r>
        <w:rPr>
          <w:rFonts w:ascii="仿宋_GB2312" w:eastAsia="仿宋_GB2312" w:cs="DengXian-Regular"/>
          <w:sz w:val="32"/>
          <w:szCs w:val="32"/>
        </w:rPr>
        <w:t>，较</w:t>
      </w:r>
      <w:r>
        <w:rPr>
          <w:rFonts w:hint="eastAsia" w:ascii="仿宋_GB2312" w:eastAsia="仿宋_GB2312" w:cs="DengXian-Regular"/>
          <w:sz w:val="32"/>
          <w:szCs w:val="32"/>
        </w:rPr>
        <w:t>上年</w:t>
      </w:r>
      <w:r>
        <w:rPr>
          <w:rFonts w:ascii="仿宋_GB2312" w:eastAsia="仿宋_GB2312" w:cs="DengXian-Regular"/>
          <w:sz w:val="32"/>
          <w:szCs w:val="32"/>
        </w:rPr>
        <w:t>无变化</w:t>
      </w:r>
      <w:r>
        <w:rPr>
          <w:rFonts w:hint="eastAsia" w:ascii="仿宋_GB2312" w:eastAsia="仿宋_GB2312" w:cs="DengXian-Regular"/>
          <w:sz w:val="32"/>
          <w:szCs w:val="32"/>
        </w:rPr>
        <w:t>。</w:t>
      </w:r>
    </w:p>
    <w:p w14:paraId="4E5B5D5A">
      <w:pPr>
        <w:pStyle w:val="4"/>
        <w:spacing w:before="0" w:after="0" w:line="580" w:lineRule="exact"/>
        <w:ind w:firstLine="643"/>
        <w:rPr>
          <w:rFonts w:ascii="楷体_GB2312" w:eastAsia="楷体_GB2312" w:cs="DengXian-Bold"/>
        </w:rPr>
      </w:pPr>
      <w:r>
        <w:rPr>
          <w:rFonts w:hint="eastAsia" w:ascii="楷体_GB2312" w:eastAsia="楷体_GB2312" w:cs="DengXian-Bold"/>
        </w:rPr>
        <w:t>（四）其他需要说明的情况</w:t>
      </w:r>
    </w:p>
    <w:p w14:paraId="56460A04">
      <w:pPr>
        <w:adjustRightInd w:val="0"/>
        <w:snapToGrid w:val="0"/>
        <w:spacing w:after="0" w:line="580" w:lineRule="exact"/>
        <w:ind w:firstLine="640"/>
        <w:rPr>
          <w:rFonts w:ascii="仿宋_GB2312" w:eastAsia="仿宋_GB2312" w:cs="DengXian-Regular"/>
          <w:sz w:val="32"/>
          <w:szCs w:val="32"/>
        </w:rPr>
      </w:pPr>
      <w:r>
        <w:rPr>
          <w:rFonts w:hint="eastAsia" w:ascii="仿宋_GB2312" w:eastAsia="仿宋_GB2312" w:cs="DengXian-Regular"/>
          <w:sz w:val="32"/>
          <w:szCs w:val="32"/>
        </w:rPr>
        <w:t>1、本部门2018年度</w:t>
      </w:r>
      <w:r>
        <w:rPr>
          <w:rFonts w:ascii="仿宋_GB2312" w:eastAsia="仿宋_GB2312" w:cs="DengXian-Regular"/>
          <w:sz w:val="32"/>
          <w:szCs w:val="32"/>
        </w:rPr>
        <w:t>国有资本经营预算收入</w:t>
      </w:r>
      <w:r>
        <w:rPr>
          <w:rFonts w:hint="eastAsia" w:ascii="仿宋_GB2312" w:eastAsia="仿宋_GB2312" w:cs="DengXian-Regular"/>
          <w:sz w:val="32"/>
          <w:szCs w:val="32"/>
        </w:rPr>
        <w:t>无收支及结转结余情况，故</w:t>
      </w:r>
      <w:r>
        <w:rPr>
          <w:rFonts w:ascii="仿宋_GB2312" w:eastAsia="仿宋_GB2312" w:cs="DengXian-Regular"/>
          <w:sz w:val="32"/>
          <w:szCs w:val="32"/>
        </w:rPr>
        <w:t>此</w:t>
      </w:r>
      <w:r>
        <w:rPr>
          <w:rFonts w:hint="eastAsia" w:ascii="仿宋_GB2312" w:eastAsia="仿宋_GB2312" w:cs="DengXian-Regular"/>
          <w:sz w:val="32"/>
          <w:szCs w:val="32"/>
        </w:rPr>
        <w:t>表以空表列示。</w:t>
      </w:r>
    </w:p>
    <w:p w14:paraId="3740C167">
      <w:pPr>
        <w:adjustRightInd w:val="0"/>
        <w:snapToGrid w:val="0"/>
        <w:spacing w:after="0" w:line="580" w:lineRule="exact"/>
        <w:ind w:firstLine="640"/>
        <w:rPr>
          <w:rFonts w:ascii="仿宋_GB2312" w:eastAsia="仿宋_GB2312" w:cs="DengXian-Regular"/>
          <w:sz w:val="32"/>
          <w:szCs w:val="32"/>
        </w:rPr>
      </w:pPr>
      <w:r>
        <w:rPr>
          <w:rFonts w:hint="eastAsia" w:ascii="仿宋_GB2312" w:eastAsia="仿宋_GB2312" w:cs="DengXian-Regular"/>
          <w:sz w:val="32"/>
          <w:szCs w:val="32"/>
        </w:rPr>
        <w:t>2、由于决算公开表格中金额数值应当保留两位小数，公开数据为四舍五入计算结果，个别数据合计项与分项之和存在小数点后差额，特此说明。</w:t>
      </w:r>
    </w:p>
    <w:p w14:paraId="539C3C9C">
      <w:pPr>
        <w:widowControl/>
        <w:spacing w:after="0" w:line="580" w:lineRule="exact"/>
        <w:ind w:firstLine="883"/>
        <w:jc w:val="left"/>
        <w:rPr>
          <w:rFonts w:ascii="宋体" w:cs="MS-UIGothic,Bold"/>
          <w:b/>
          <w:bCs/>
          <w:kern w:val="0"/>
          <w:sz w:val="44"/>
          <w:szCs w:val="44"/>
        </w:rPr>
        <w:sectPr>
          <w:pgSz w:w="11906" w:h="16838"/>
          <w:pgMar w:top="2098" w:right="1474" w:bottom="1984" w:left="1588" w:header="851" w:footer="992" w:gutter="0"/>
          <w:cols w:space="720" w:num="1"/>
          <w:docGrid w:type="lines" w:linePitch="312" w:charSpace="0"/>
        </w:sectPr>
      </w:pPr>
    </w:p>
    <w:p w14:paraId="1F730DB2">
      <w:pPr>
        <w:widowControl/>
        <w:spacing w:line="1200" w:lineRule="exact"/>
        <w:jc w:val="center"/>
        <w:rPr>
          <w:rFonts w:ascii="黑体" w:eastAsia="黑体"/>
          <w:color w:val="000000"/>
          <w:sz w:val="96"/>
          <w:szCs w:val="96"/>
        </w:rPr>
      </w:pPr>
    </w:p>
    <w:p w14:paraId="14BD6A84">
      <w:pPr>
        <w:widowControl/>
        <w:spacing w:line="1200" w:lineRule="exact"/>
        <w:jc w:val="center"/>
        <w:rPr>
          <w:rFonts w:ascii="黑体" w:eastAsia="黑体"/>
          <w:color w:val="000000"/>
          <w:sz w:val="96"/>
          <w:szCs w:val="96"/>
        </w:rPr>
      </w:pPr>
    </w:p>
    <w:p w14:paraId="1AA8D452">
      <w:pPr>
        <w:widowControl/>
        <w:spacing w:line="1200" w:lineRule="exact"/>
        <w:jc w:val="center"/>
        <w:rPr>
          <w:rFonts w:ascii="黑体" w:eastAsia="黑体"/>
          <w:color w:val="000000"/>
          <w:sz w:val="96"/>
          <w:szCs w:val="96"/>
        </w:rPr>
      </w:pPr>
    </w:p>
    <w:p w14:paraId="13C7731E">
      <w:pPr>
        <w:widowControl/>
        <w:spacing w:line="1200" w:lineRule="exact"/>
        <w:jc w:val="center"/>
        <w:rPr>
          <w:rFonts w:ascii="黑体" w:eastAsia="黑体"/>
          <w:color w:val="000000"/>
          <w:sz w:val="96"/>
          <w:szCs w:val="96"/>
        </w:rPr>
      </w:pPr>
      <w:r>
        <w:rPr>
          <w:rFonts w:hint="eastAsia" w:ascii="黑体" w:eastAsia="黑体"/>
          <w:color w:val="000000"/>
          <w:sz w:val="96"/>
          <w:szCs w:val="96"/>
        </w:rPr>
        <w:t>第四部分</w:t>
      </w:r>
    </w:p>
    <w:p w14:paraId="0D5AC65C">
      <w:pPr>
        <w:widowControl/>
        <w:spacing w:line="1200" w:lineRule="exact"/>
        <w:jc w:val="center"/>
        <w:rPr>
          <w:color w:val="000000"/>
          <w:sz w:val="96"/>
          <w:szCs w:val="96"/>
        </w:rPr>
      </w:pPr>
      <w:r>
        <w:rPr>
          <w:rFonts w:hint="eastAsia" w:ascii="黑体" w:eastAsia="黑体"/>
          <w:color w:val="000000"/>
          <w:sz w:val="96"/>
          <w:szCs w:val="96"/>
        </w:rPr>
        <w:t>名词解释</w:t>
      </w:r>
    </w:p>
    <w:p w14:paraId="758C6678">
      <w:pPr>
        <w:rPr>
          <w:rFonts w:ascii="宋体" w:cs="ArialUnicodeMS"/>
          <w:color w:val="000000"/>
          <w:kern w:val="0"/>
        </w:rPr>
        <w:sectPr>
          <w:pgSz w:w="11906" w:h="16838"/>
          <w:pgMar w:top="2098" w:right="1474" w:bottom="1984" w:left="1588" w:header="851" w:footer="992" w:gutter="0"/>
          <w:cols w:space="720" w:num="1"/>
          <w:docGrid w:type="lines" w:linePitch="312" w:charSpace="0"/>
        </w:sectPr>
      </w:pPr>
    </w:p>
    <w:p w14:paraId="47363E4B">
      <w:pPr>
        <w:widowControl/>
        <w:spacing w:after="0" w:line="560" w:lineRule="exact"/>
        <w:ind w:firstLine="643"/>
        <w:rPr>
          <w:rFonts w:ascii="仿宋_GB2312" w:eastAsia="仿宋_GB2312"/>
          <w:color w:val="000000"/>
          <w:kern w:val="0"/>
          <w:sz w:val="32"/>
          <w:szCs w:val="32"/>
        </w:rPr>
      </w:pPr>
      <w:r>
        <w:rPr>
          <w:rFonts w:hint="eastAsia" w:ascii="仿宋_GB2312" w:eastAsia="仿宋_GB2312"/>
          <w:b/>
          <w:bCs/>
          <w:color w:val="000000"/>
          <w:kern w:val="0"/>
          <w:sz w:val="32"/>
          <w:szCs w:val="32"/>
        </w:rPr>
        <w:t>（一）财政拨款收入：</w:t>
      </w:r>
      <w:r>
        <w:rPr>
          <w:rFonts w:hint="eastAsia" w:ascii="仿宋_GB2312" w:eastAsia="仿宋_GB2312"/>
          <w:color w:val="000000"/>
          <w:kern w:val="0"/>
          <w:sz w:val="32"/>
          <w:szCs w:val="32"/>
        </w:rPr>
        <w:t>本年度从本级财政部门取得的财政拨款，包括一般公共预算财政拨款和政府性基金预算财政拨款。</w:t>
      </w:r>
    </w:p>
    <w:p w14:paraId="30B0F907">
      <w:pPr>
        <w:widowControl/>
        <w:spacing w:after="0" w:line="560" w:lineRule="exact"/>
        <w:ind w:firstLine="643"/>
        <w:rPr>
          <w:rFonts w:ascii="仿宋_GB2312" w:eastAsia="仿宋_GB2312"/>
          <w:color w:val="000000"/>
          <w:kern w:val="0"/>
          <w:sz w:val="32"/>
          <w:szCs w:val="32"/>
        </w:rPr>
      </w:pPr>
      <w:r>
        <w:rPr>
          <w:rFonts w:hint="eastAsia" w:ascii="仿宋_GB2312" w:eastAsia="仿宋_GB2312"/>
          <w:b/>
          <w:bCs/>
          <w:color w:val="000000"/>
          <w:kern w:val="0"/>
          <w:sz w:val="32"/>
          <w:szCs w:val="32"/>
        </w:rPr>
        <w:t>（二）事业收入：</w:t>
      </w:r>
      <w:r>
        <w:rPr>
          <w:rFonts w:hint="eastAsia" w:ascii="仿宋_GB2312" w:eastAsia="仿宋_GB2312"/>
          <w:color w:val="000000"/>
          <w:kern w:val="0"/>
          <w:sz w:val="32"/>
          <w:szCs w:val="32"/>
        </w:rPr>
        <w:t>指事业单位开展专业业务活动及辅助活动所取得的收入。</w:t>
      </w:r>
    </w:p>
    <w:p w14:paraId="1B57C942">
      <w:pPr>
        <w:widowControl/>
        <w:spacing w:after="0" w:line="560" w:lineRule="exact"/>
        <w:ind w:firstLine="643"/>
        <w:rPr>
          <w:rFonts w:ascii="仿宋_GB2312" w:eastAsia="仿宋_GB2312"/>
          <w:color w:val="000000"/>
          <w:kern w:val="0"/>
          <w:sz w:val="32"/>
          <w:szCs w:val="32"/>
        </w:rPr>
      </w:pPr>
      <w:r>
        <w:rPr>
          <w:rFonts w:hint="eastAsia" w:ascii="仿宋_GB2312" w:eastAsia="仿宋_GB2312"/>
          <w:b/>
          <w:bCs/>
          <w:color w:val="000000"/>
          <w:kern w:val="0"/>
          <w:sz w:val="32"/>
          <w:szCs w:val="32"/>
        </w:rPr>
        <w:t>（三）其他收入：</w:t>
      </w:r>
      <w:r>
        <w:rPr>
          <w:rFonts w:hint="eastAsia" w:ascii="仿宋_GB2312" w:eastAsia="仿宋_GB2312"/>
          <w:color w:val="000000"/>
          <w:kern w:val="0"/>
          <w:sz w:val="32"/>
          <w:szCs w:val="32"/>
        </w:rPr>
        <w:t>指除上述“财政拨款收入”“事业收入”“经营收入”等以外的收入。</w:t>
      </w:r>
    </w:p>
    <w:p w14:paraId="211DE2C4">
      <w:pPr>
        <w:widowControl/>
        <w:spacing w:after="0" w:line="560" w:lineRule="exact"/>
        <w:ind w:firstLine="643"/>
        <w:rPr>
          <w:rFonts w:ascii="仿宋_GB2312" w:eastAsia="仿宋_GB2312"/>
          <w:color w:val="000000"/>
          <w:kern w:val="0"/>
          <w:sz w:val="32"/>
          <w:szCs w:val="32"/>
        </w:rPr>
      </w:pPr>
      <w:r>
        <w:rPr>
          <w:rFonts w:hint="eastAsia" w:ascii="仿宋_GB2312" w:eastAsia="仿宋_GB2312"/>
          <w:b/>
          <w:bCs/>
          <w:color w:val="000000"/>
          <w:kern w:val="0"/>
          <w:sz w:val="32"/>
          <w:szCs w:val="32"/>
        </w:rPr>
        <w:t>（四）用事业基金弥补收支差额：</w:t>
      </w:r>
      <w:r>
        <w:rPr>
          <w:rFonts w:hint="eastAsia" w:ascii="仿宋_GB2312" w:eastAsia="仿宋_GB2312"/>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14:paraId="24BBEAD3">
      <w:pPr>
        <w:widowControl/>
        <w:spacing w:after="0" w:line="560" w:lineRule="exact"/>
        <w:ind w:firstLine="643"/>
        <w:rPr>
          <w:rFonts w:ascii="仿宋_GB2312" w:eastAsia="仿宋_GB2312"/>
          <w:color w:val="000000"/>
          <w:kern w:val="0"/>
          <w:sz w:val="32"/>
          <w:szCs w:val="32"/>
        </w:rPr>
      </w:pPr>
      <w:r>
        <w:rPr>
          <w:rFonts w:hint="eastAsia" w:ascii="仿宋_GB2312" w:eastAsia="仿宋_GB2312"/>
          <w:b/>
          <w:bCs/>
          <w:color w:val="000000"/>
          <w:kern w:val="0"/>
          <w:sz w:val="32"/>
          <w:szCs w:val="32"/>
        </w:rPr>
        <w:t>（五）年初结转和结余：</w:t>
      </w:r>
      <w:r>
        <w:rPr>
          <w:rFonts w:hint="eastAsia" w:ascii="仿宋_GB2312" w:eastAsia="仿宋_GB2312"/>
          <w:color w:val="000000"/>
          <w:kern w:val="0"/>
          <w:sz w:val="32"/>
          <w:szCs w:val="32"/>
        </w:rPr>
        <w:t>指以前年度尚未完成、结转到本年仍按原规定用途继续使用的资金，或项目已完成等产生的结余资金。</w:t>
      </w:r>
    </w:p>
    <w:p w14:paraId="51B32D83">
      <w:pPr>
        <w:widowControl/>
        <w:spacing w:after="0" w:line="560" w:lineRule="exact"/>
        <w:ind w:firstLine="643"/>
        <w:rPr>
          <w:rFonts w:ascii="仿宋_GB2312" w:eastAsia="仿宋_GB2312"/>
          <w:color w:val="000000"/>
          <w:kern w:val="0"/>
          <w:sz w:val="32"/>
          <w:szCs w:val="32"/>
        </w:rPr>
      </w:pPr>
      <w:r>
        <w:rPr>
          <w:rFonts w:hint="eastAsia" w:ascii="仿宋_GB2312" w:eastAsia="仿宋_GB2312"/>
          <w:b/>
          <w:bCs/>
          <w:color w:val="000000"/>
          <w:kern w:val="0"/>
          <w:sz w:val="32"/>
          <w:szCs w:val="32"/>
        </w:rPr>
        <w:t>（六）结余分配：</w:t>
      </w:r>
      <w:r>
        <w:rPr>
          <w:rFonts w:hint="eastAsia" w:ascii="仿宋_GB2312" w:eastAsia="仿宋_GB2312"/>
          <w:color w:val="000000"/>
          <w:kern w:val="0"/>
          <w:sz w:val="32"/>
          <w:szCs w:val="32"/>
        </w:rPr>
        <w:t>指事业单位按照事业单位会计制度的规定从非财政补助结余中分配的事业基金和职工福利基金等。</w:t>
      </w:r>
    </w:p>
    <w:p w14:paraId="6451162F">
      <w:pPr>
        <w:widowControl/>
        <w:spacing w:after="0" w:line="560" w:lineRule="exact"/>
        <w:ind w:firstLine="643"/>
        <w:rPr>
          <w:rFonts w:ascii="仿宋_GB2312" w:eastAsia="仿宋_GB2312"/>
          <w:color w:val="000000"/>
          <w:kern w:val="0"/>
          <w:sz w:val="32"/>
          <w:szCs w:val="32"/>
        </w:rPr>
      </w:pPr>
      <w:r>
        <w:rPr>
          <w:rFonts w:hint="eastAsia" w:ascii="仿宋_GB2312" w:eastAsia="仿宋_GB2312"/>
          <w:b/>
          <w:bCs/>
          <w:color w:val="000000"/>
          <w:kern w:val="0"/>
          <w:sz w:val="32"/>
          <w:szCs w:val="32"/>
        </w:rPr>
        <w:t>（七）年末结转和结余：</w:t>
      </w:r>
      <w:r>
        <w:rPr>
          <w:rFonts w:hint="eastAsia" w:ascii="仿宋_GB2312" w:eastAsia="仿宋_GB2312"/>
          <w:color w:val="000000"/>
          <w:kern w:val="0"/>
          <w:sz w:val="32"/>
          <w:szCs w:val="32"/>
        </w:rPr>
        <w:t>指单位按有关规定结转到下年或以后年度继续使用的资金，或项目已完成等产生的结余资金。</w:t>
      </w:r>
    </w:p>
    <w:p w14:paraId="706FF13D">
      <w:pPr>
        <w:widowControl/>
        <w:spacing w:after="0" w:line="560" w:lineRule="exact"/>
        <w:ind w:firstLine="643"/>
        <w:rPr>
          <w:rFonts w:ascii="仿宋_GB2312" w:eastAsia="仿宋_GB2312"/>
          <w:color w:val="000000"/>
          <w:kern w:val="0"/>
          <w:sz w:val="32"/>
          <w:szCs w:val="32"/>
        </w:rPr>
      </w:pPr>
      <w:r>
        <w:rPr>
          <w:rFonts w:hint="eastAsia" w:ascii="仿宋_GB2312" w:eastAsia="仿宋_GB2312"/>
          <w:b/>
          <w:bCs/>
          <w:color w:val="000000"/>
          <w:kern w:val="0"/>
          <w:sz w:val="32"/>
          <w:szCs w:val="32"/>
        </w:rPr>
        <w:t>（八）基本支出：</w:t>
      </w:r>
      <w:r>
        <w:rPr>
          <w:rFonts w:hint="eastAsia" w:ascii="仿宋_GB2312" w:eastAsia="仿宋_GB2312"/>
          <w:color w:val="000000"/>
          <w:kern w:val="0"/>
          <w:sz w:val="32"/>
          <w:szCs w:val="32"/>
        </w:rPr>
        <w:t>填列单位为保障机构正常运转、完成日常工作任务而发生的各项支出。</w:t>
      </w:r>
    </w:p>
    <w:p w14:paraId="2DD665CF">
      <w:pPr>
        <w:widowControl/>
        <w:spacing w:after="0" w:line="560" w:lineRule="exact"/>
        <w:ind w:firstLine="643"/>
        <w:rPr>
          <w:rFonts w:ascii="仿宋_GB2312" w:eastAsia="仿宋_GB2312"/>
          <w:color w:val="000000"/>
          <w:kern w:val="0"/>
          <w:sz w:val="32"/>
          <w:szCs w:val="32"/>
        </w:rPr>
      </w:pPr>
      <w:r>
        <w:rPr>
          <w:rFonts w:hint="eastAsia" w:ascii="仿宋_GB2312" w:eastAsia="仿宋_GB2312"/>
          <w:b/>
          <w:bCs/>
          <w:color w:val="000000"/>
          <w:kern w:val="0"/>
          <w:sz w:val="32"/>
          <w:szCs w:val="32"/>
        </w:rPr>
        <w:t>（九）项目支出：</w:t>
      </w:r>
      <w:r>
        <w:rPr>
          <w:rFonts w:hint="eastAsia" w:ascii="仿宋_GB2312" w:eastAsia="仿宋_GB2312"/>
          <w:color w:val="000000"/>
          <w:kern w:val="0"/>
          <w:sz w:val="32"/>
          <w:szCs w:val="32"/>
        </w:rPr>
        <w:t>填列单位为完成特定的行政工作任务或事业发展目标，在基本支出之外发生的各项支出</w:t>
      </w:r>
    </w:p>
    <w:p w14:paraId="542BDF7B">
      <w:pPr>
        <w:widowControl/>
        <w:spacing w:after="0" w:line="560" w:lineRule="exact"/>
        <w:ind w:firstLine="643"/>
        <w:rPr>
          <w:rFonts w:ascii="仿宋_GB2312" w:eastAsia="仿宋_GB2312"/>
          <w:color w:val="000000"/>
          <w:kern w:val="0"/>
          <w:sz w:val="32"/>
          <w:szCs w:val="32"/>
        </w:rPr>
      </w:pPr>
      <w:r>
        <w:rPr>
          <w:rFonts w:hint="eastAsia" w:ascii="仿宋_GB2312" w:eastAsia="仿宋_GB2312"/>
          <w:b/>
          <w:bCs/>
          <w:color w:val="000000"/>
          <w:kern w:val="0"/>
          <w:sz w:val="32"/>
          <w:szCs w:val="32"/>
        </w:rPr>
        <w:t>（十）资本性支出（基本建设）：</w:t>
      </w:r>
      <w:r>
        <w:rPr>
          <w:rFonts w:hint="eastAsia" w:ascii="仿宋_GB2312" w:eastAsia="仿宋_GB2312"/>
          <w:color w:val="000000"/>
          <w:kern w:val="0"/>
          <w:sz w:val="32"/>
          <w:szCs w:val="32"/>
        </w:rPr>
        <w:t>填列切块由发展改革部门安排的基本建设支出，对企业补助支出不在此科目反映。</w:t>
      </w:r>
    </w:p>
    <w:p w14:paraId="0AC9C8E9">
      <w:pPr>
        <w:widowControl/>
        <w:spacing w:after="0" w:line="560" w:lineRule="exact"/>
        <w:ind w:firstLine="643"/>
        <w:rPr>
          <w:rFonts w:ascii="仿宋_GB2312" w:eastAsia="仿宋_GB2312"/>
          <w:color w:val="000000"/>
          <w:kern w:val="0"/>
          <w:sz w:val="32"/>
          <w:szCs w:val="32"/>
        </w:rPr>
      </w:pPr>
      <w:r>
        <w:rPr>
          <w:rFonts w:hint="eastAsia" w:ascii="仿宋_GB2312" w:eastAsia="仿宋_GB2312"/>
          <w:b/>
          <w:bCs/>
          <w:color w:val="000000"/>
          <w:kern w:val="0"/>
          <w:sz w:val="32"/>
          <w:szCs w:val="32"/>
        </w:rPr>
        <w:t>（十一）资本性支出：</w:t>
      </w:r>
      <w:r>
        <w:rPr>
          <w:rFonts w:hint="eastAsia" w:ascii="仿宋_GB2312" w:eastAsia="仿宋_GB2312"/>
          <w:color w:val="000000"/>
          <w:kern w:val="0"/>
          <w:sz w:val="32"/>
          <w:szCs w:val="32"/>
        </w:rPr>
        <w:t>填列各单位安排的资本性支出。切块由发展改革部门安排的基本建设支出不在此科目反映。</w:t>
      </w:r>
    </w:p>
    <w:p w14:paraId="13B6F187">
      <w:pPr>
        <w:widowControl/>
        <w:spacing w:after="0" w:line="560" w:lineRule="exact"/>
        <w:ind w:firstLine="643"/>
        <w:rPr>
          <w:rFonts w:ascii="仿宋_GB2312" w:eastAsia="仿宋_GB2312"/>
          <w:color w:val="000000"/>
          <w:kern w:val="0"/>
          <w:sz w:val="32"/>
          <w:szCs w:val="32"/>
        </w:rPr>
      </w:pPr>
      <w:r>
        <w:rPr>
          <w:rFonts w:hint="eastAsia" w:ascii="仿宋_GB2312" w:eastAsia="仿宋_GB2312"/>
          <w:b/>
          <w:bCs/>
          <w:color w:val="000000"/>
          <w:kern w:val="0"/>
          <w:sz w:val="32"/>
          <w:szCs w:val="32"/>
        </w:rPr>
        <w:t>（十二）“三公”经费：</w:t>
      </w:r>
      <w:r>
        <w:rPr>
          <w:rFonts w:hint="eastAsia" w:ascii="仿宋_GB2312" w:eastAsia="仿宋_GB2312"/>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14:paraId="22F841BF">
      <w:pPr>
        <w:widowControl/>
        <w:spacing w:after="0" w:line="560" w:lineRule="exact"/>
        <w:ind w:firstLine="643"/>
        <w:rPr>
          <w:rFonts w:ascii="仿宋_GB2312" w:eastAsia="仿宋_GB2312"/>
          <w:color w:val="000000"/>
          <w:kern w:val="0"/>
          <w:sz w:val="32"/>
          <w:szCs w:val="32"/>
        </w:rPr>
      </w:pPr>
      <w:r>
        <w:rPr>
          <w:rFonts w:hint="eastAsia" w:ascii="仿宋_GB2312" w:eastAsia="仿宋_GB2312"/>
          <w:b/>
          <w:bCs/>
          <w:color w:val="000000"/>
          <w:kern w:val="0"/>
          <w:sz w:val="32"/>
          <w:szCs w:val="32"/>
        </w:rPr>
        <w:t>（十三）其他交通费用：</w:t>
      </w:r>
      <w:r>
        <w:rPr>
          <w:rFonts w:hint="eastAsia" w:ascii="仿宋_GB2312" w:eastAsia="仿宋_GB2312"/>
          <w:color w:val="000000"/>
          <w:kern w:val="0"/>
          <w:sz w:val="32"/>
          <w:szCs w:val="32"/>
        </w:rPr>
        <w:t>填列单位除公务用车运行维护费以外的其他交通费用。如公务交通补贴、租车费用、出租车费用、飞机、船舶等的燃料费、维修费、保险费等。</w:t>
      </w:r>
    </w:p>
    <w:p w14:paraId="19E9C591">
      <w:pPr>
        <w:widowControl/>
        <w:spacing w:after="0" w:line="560" w:lineRule="exact"/>
        <w:ind w:firstLine="643"/>
        <w:rPr>
          <w:rFonts w:ascii="仿宋_GB2312" w:eastAsia="仿宋_GB2312"/>
          <w:color w:val="000000"/>
          <w:kern w:val="0"/>
          <w:sz w:val="32"/>
          <w:szCs w:val="32"/>
        </w:rPr>
      </w:pPr>
      <w:r>
        <w:rPr>
          <w:rFonts w:hint="eastAsia" w:ascii="仿宋_GB2312" w:eastAsia="仿宋_GB2312"/>
          <w:b/>
          <w:bCs/>
          <w:color w:val="000000"/>
          <w:kern w:val="0"/>
          <w:sz w:val="32"/>
          <w:szCs w:val="32"/>
        </w:rPr>
        <w:t>（十四）公务用车购置：</w:t>
      </w:r>
      <w:r>
        <w:rPr>
          <w:rFonts w:hint="eastAsia" w:ascii="仿宋_GB2312" w:eastAsia="仿宋_GB2312"/>
          <w:color w:val="000000"/>
          <w:kern w:val="0"/>
          <w:sz w:val="32"/>
          <w:szCs w:val="32"/>
        </w:rPr>
        <w:t>填列单位公务用车购置支出（含车辆购置税、牌照费）。</w:t>
      </w:r>
    </w:p>
    <w:p w14:paraId="0165184B">
      <w:pPr>
        <w:widowControl/>
        <w:spacing w:after="0" w:line="560" w:lineRule="exact"/>
        <w:ind w:firstLine="643"/>
        <w:rPr>
          <w:rFonts w:ascii="仿宋_GB2312" w:eastAsia="仿宋_GB2312"/>
          <w:color w:val="000000"/>
          <w:kern w:val="0"/>
          <w:sz w:val="32"/>
          <w:szCs w:val="32"/>
        </w:rPr>
      </w:pPr>
      <w:r>
        <w:rPr>
          <w:rFonts w:hint="eastAsia" w:ascii="仿宋_GB2312" w:eastAsia="仿宋_GB2312"/>
          <w:b/>
          <w:bCs/>
          <w:color w:val="000000"/>
          <w:kern w:val="0"/>
          <w:sz w:val="32"/>
          <w:szCs w:val="32"/>
        </w:rPr>
        <w:t>（十五）其他交通工具购置：</w:t>
      </w:r>
      <w:r>
        <w:rPr>
          <w:rFonts w:hint="eastAsia" w:ascii="仿宋_GB2312" w:eastAsia="仿宋_GB2312"/>
          <w:color w:val="000000"/>
          <w:kern w:val="0"/>
          <w:sz w:val="32"/>
          <w:szCs w:val="32"/>
        </w:rPr>
        <w:t>填列单位除公务用车外的其他各类交通工具（如船舶、飞机）购置支出（含车辆购置税、牌照费）。</w:t>
      </w:r>
    </w:p>
    <w:p w14:paraId="093F3495">
      <w:pPr>
        <w:widowControl/>
        <w:spacing w:after="0" w:line="560" w:lineRule="exact"/>
        <w:ind w:firstLine="643"/>
        <w:rPr>
          <w:rFonts w:ascii="仿宋_GB2312" w:eastAsia="仿宋_GB2312"/>
          <w:color w:val="000000"/>
          <w:kern w:val="0"/>
          <w:sz w:val="32"/>
          <w:szCs w:val="32"/>
        </w:rPr>
      </w:pPr>
      <w:r>
        <w:rPr>
          <w:rFonts w:hint="eastAsia" w:ascii="仿宋_GB2312" w:eastAsia="仿宋_GB2312"/>
          <w:b/>
          <w:bCs/>
          <w:color w:val="000000"/>
          <w:kern w:val="0"/>
          <w:sz w:val="32"/>
          <w:szCs w:val="32"/>
        </w:rPr>
        <w:t>（十六）机关运行经费：</w:t>
      </w:r>
      <w:r>
        <w:rPr>
          <w:rFonts w:hint="eastAsia" w:ascii="仿宋_GB2312" w:eastAsia="仿宋_GB2312"/>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563822B6">
      <w:pPr>
        <w:widowControl/>
        <w:spacing w:after="0" w:line="560" w:lineRule="exact"/>
        <w:ind w:firstLine="643"/>
        <w:rPr>
          <w:rFonts w:ascii="仿宋_GB2312" w:eastAsia="仿宋_GB2312" w:cs="ArialUnicodeMS"/>
          <w:kern w:val="0"/>
          <w:sz w:val="32"/>
          <w:szCs w:val="32"/>
        </w:rPr>
      </w:pPr>
      <w:r>
        <w:rPr>
          <w:rFonts w:hint="eastAsia" w:ascii="仿宋_GB2312" w:eastAsia="仿宋_GB2312"/>
          <w:b/>
          <w:bCs/>
          <w:color w:val="000000"/>
          <w:kern w:val="0"/>
          <w:sz w:val="32"/>
          <w:szCs w:val="32"/>
        </w:rPr>
        <w:t>（十七）经费形式:</w:t>
      </w:r>
      <w:r>
        <w:rPr>
          <w:rFonts w:hint="eastAsia" w:ascii="仿宋_GB2312" w:eastAsia="仿宋_GB2312"/>
          <w:color w:val="000000"/>
          <w:kern w:val="0"/>
          <w:sz w:val="32"/>
          <w:szCs w:val="32"/>
        </w:rPr>
        <w:t>按照经费来源，</w:t>
      </w:r>
      <w:r>
        <w:rPr>
          <w:rFonts w:hint="eastAsia" w:ascii="仿宋_GB2312" w:eastAsia="仿宋_GB2312" w:cs="ArialUnicodeMS"/>
          <w:kern w:val="0"/>
          <w:sz w:val="32"/>
          <w:szCs w:val="32"/>
        </w:rPr>
        <w:t>可分为财政拨款、财政性资金基本保证、财政性资金定额或定项补助、财政性资金零补助四类。</w:t>
      </w:r>
    </w:p>
    <w:p w14:paraId="686BEA07">
      <w:pPr>
        <w:widowControl/>
        <w:spacing w:after="0" w:line="560" w:lineRule="exact"/>
        <w:ind w:firstLine="640"/>
        <w:rPr>
          <w:rFonts w:ascii="仿宋_GB2312" w:eastAsia="仿宋_GB2312" w:cs="ArialUnicodeMS"/>
          <w:kern w:val="0"/>
          <w:sz w:val="32"/>
          <w:szCs w:val="32"/>
        </w:rPr>
      </w:pPr>
    </w:p>
    <w:p w14:paraId="26CD3A5D">
      <w:pPr>
        <w:widowControl/>
        <w:spacing w:after="0" w:line="560" w:lineRule="exact"/>
        <w:ind w:firstLine="640"/>
        <w:rPr>
          <w:rFonts w:ascii="仿宋_GB2312" w:eastAsia="仿宋_GB2312" w:cs="ArialUnicodeMS"/>
          <w:kern w:val="0"/>
          <w:sz w:val="32"/>
          <w:szCs w:val="32"/>
        </w:rPr>
      </w:pPr>
    </w:p>
    <w:p w14:paraId="7C6E78C8">
      <w:pPr>
        <w:widowControl/>
        <w:spacing w:after="0" w:line="560" w:lineRule="exact"/>
        <w:ind w:firstLine="640"/>
        <w:rPr>
          <w:rFonts w:ascii="仿宋_GB2312" w:eastAsia="仿宋_GB2312" w:cs="ArialUnicodeMS"/>
          <w:kern w:val="0"/>
          <w:sz w:val="32"/>
          <w:szCs w:val="32"/>
        </w:rPr>
      </w:pPr>
    </w:p>
    <w:p w14:paraId="2D879FE1">
      <w:pPr>
        <w:widowControl/>
        <w:spacing w:after="0" w:line="560" w:lineRule="exact"/>
        <w:ind w:firstLine="640"/>
        <w:rPr>
          <w:rFonts w:ascii="仿宋_GB2312" w:eastAsia="仿宋_GB2312" w:cs="ArialUnicodeMS"/>
          <w:kern w:val="0"/>
          <w:sz w:val="32"/>
          <w:szCs w:val="32"/>
        </w:rPr>
      </w:pPr>
    </w:p>
    <w:p w14:paraId="40F98E87">
      <w:pPr>
        <w:widowControl/>
        <w:spacing w:after="0" w:line="560" w:lineRule="exact"/>
        <w:ind w:firstLine="640"/>
        <w:rPr>
          <w:rFonts w:ascii="仿宋_GB2312" w:eastAsia="仿宋_GB2312" w:cs="ArialUnicodeMS"/>
          <w:kern w:val="0"/>
          <w:sz w:val="32"/>
          <w:szCs w:val="32"/>
        </w:rPr>
      </w:pPr>
    </w:p>
    <w:p w14:paraId="18669C3B">
      <w:pPr>
        <w:widowControl/>
        <w:spacing w:after="0" w:line="560" w:lineRule="exact"/>
        <w:ind w:firstLine="640"/>
        <w:rPr>
          <w:rFonts w:ascii="仿宋_GB2312" w:eastAsia="仿宋_GB2312" w:cs="ArialUnicodeMS"/>
          <w:kern w:val="0"/>
          <w:sz w:val="32"/>
          <w:szCs w:val="32"/>
        </w:rPr>
      </w:pPr>
    </w:p>
    <w:p w14:paraId="52CDC219">
      <w:pPr>
        <w:widowControl/>
        <w:spacing w:after="0" w:line="560" w:lineRule="exact"/>
        <w:ind w:firstLine="640"/>
        <w:rPr>
          <w:rFonts w:ascii="仿宋_GB2312" w:eastAsia="仿宋_GB2312" w:cs="ArialUnicodeMS"/>
          <w:kern w:val="0"/>
          <w:sz w:val="32"/>
          <w:szCs w:val="32"/>
        </w:rPr>
      </w:pPr>
    </w:p>
    <w:p w14:paraId="43FF5C8C">
      <w:pPr>
        <w:widowControl/>
        <w:spacing w:after="0" w:line="560" w:lineRule="exact"/>
        <w:ind w:firstLine="640"/>
        <w:rPr>
          <w:rFonts w:ascii="仿宋_GB2312" w:eastAsia="仿宋_GB2312" w:cs="ArialUnicodeMS"/>
          <w:kern w:val="0"/>
          <w:sz w:val="32"/>
          <w:szCs w:val="32"/>
        </w:rPr>
      </w:pPr>
    </w:p>
    <w:p w14:paraId="47376AF2">
      <w:pPr>
        <w:widowControl/>
        <w:spacing w:after="0" w:line="560" w:lineRule="exact"/>
        <w:ind w:firstLine="640"/>
        <w:rPr>
          <w:rFonts w:ascii="仿宋_GB2312" w:eastAsia="仿宋_GB2312" w:cs="ArialUnicodeMS"/>
          <w:kern w:val="0"/>
          <w:sz w:val="32"/>
          <w:szCs w:val="32"/>
        </w:rPr>
      </w:pPr>
    </w:p>
    <w:p w14:paraId="013D5060">
      <w:pPr>
        <w:widowControl/>
        <w:spacing w:after="0" w:line="560" w:lineRule="exact"/>
        <w:rPr>
          <w:rFonts w:ascii="仿宋_GB2312" w:eastAsia="仿宋_GB2312" w:cs="ArialUnicodeMS"/>
          <w:kern w:val="0"/>
          <w:sz w:val="32"/>
          <w:szCs w:val="32"/>
        </w:rPr>
      </w:pPr>
    </w:p>
    <w:sectPr>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ArialUnicodeMS">
    <w:altName w:val="Times New Roman"/>
    <w:panose1 w:val="00000000000000000000"/>
    <w:charset w:val="00"/>
    <w:family w:val="auto"/>
    <w:pitch w:val="default"/>
    <w:sig w:usb0="00000000" w:usb1="00000000" w:usb2="00000000" w:usb3="00000000" w:csb0="00000000" w:csb1="00000000"/>
  </w:font>
  <w:font w:name="MS-UIGothic,Bold">
    <w:altName w:val="Times New Roman"/>
    <w:panose1 w:val="00000000000000000000"/>
    <w:charset w:val="00"/>
    <w:family w:val="auto"/>
    <w:pitch w:val="default"/>
    <w:sig w:usb0="00000000" w:usb1="00000000" w:usb2="00000000" w:usb3="00000000" w:csb0="00000000" w:csb1="00000000"/>
  </w:font>
  <w:font w:name="DengXian-Regular">
    <w:altName w:val="宋体"/>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DengXian-Bold">
    <w:altName w:val="宋体"/>
    <w:panose1 w:val="00000000000000000000"/>
    <w:charset w:val="00"/>
    <w:family w:val="auto"/>
    <w:pitch w:val="default"/>
    <w:sig w:usb0="00000000" w:usb1="00000000" w:usb2="00000000" w:usb3="00000000" w:csb0="00000000" w:csb1="00000000"/>
  </w:font>
  <w:font w:name="TimesNewRomanPSMT">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28425"/>
    <w:multiLevelType w:val="multilevel"/>
    <w:tmpl w:val="A6328425"/>
    <w:lvl w:ilvl="0" w:tentative="0">
      <w:start w:val="1"/>
      <w:numFmt w:val="chineseCountingThousand"/>
      <w:lvlText w:val="%1、"/>
      <w:lvlJc w:val="left"/>
      <w:pPr>
        <w:tabs>
          <w:tab w:val="left" w:pos="1280"/>
        </w:tabs>
        <w:ind w:left="1280" w:hanging="640"/>
      </w:pPr>
      <w:rPr>
        <w:rFonts w:hint="default" w:ascii="黑体" w:hAnsi="黑体" w:eastAsia="黑体"/>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1">
    <w:nsid w:val="45DB9A87"/>
    <w:multiLevelType w:val="singleLevel"/>
    <w:tmpl w:val="45DB9A87"/>
    <w:lvl w:ilvl="0" w:tentative="0">
      <w:start w:val="3"/>
      <w:numFmt w:val="chineseCounting"/>
      <w:suff w:val="nothing"/>
      <w:lvlText w:val="（%1）"/>
      <w:lvlJc w:val="left"/>
      <w:pPr>
        <w:tabs>
          <w:tab w:val="left" w:pos="0"/>
        </w:tabs>
        <w:ind w:left="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1NzdlZjVkMzhkN2M2NjI3YzkwZjgxYTYwNzY3NWYifQ=="/>
  </w:docVars>
  <w:rsids>
    <w:rsidRoot w:val="00257053"/>
    <w:rsid w:val="00257053"/>
    <w:rsid w:val="002804B8"/>
    <w:rsid w:val="00BD4BE9"/>
    <w:rsid w:val="3FAF3DF1"/>
    <w:rsid w:val="737F1A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宋体" w:cs="Times New Roman"/>
      <w:lang w:val="en-US" w:eastAsia="zh-CN" w:bidi="ar-SA"/>
    </w:rPr>
  </w:style>
  <w:style w:type="paragraph" w:styleId="2">
    <w:name w:val="heading 1"/>
    <w:basedOn w:val="1"/>
    <w:next w:val="1"/>
    <w:uiPriority w:val="0"/>
    <w:pPr>
      <w:spacing w:before="480"/>
    </w:pPr>
    <w:rPr>
      <w:b/>
      <w:color w:val="345A8A"/>
      <w:sz w:val="32"/>
    </w:rPr>
  </w:style>
  <w:style w:type="paragraph" w:styleId="3">
    <w:name w:val="heading 2"/>
    <w:basedOn w:val="1"/>
    <w:next w:val="1"/>
    <w:uiPriority w:val="0"/>
    <w:pPr>
      <w:spacing w:before="200"/>
    </w:pPr>
    <w:rPr>
      <w:b/>
      <w:color w:val="4F81BD"/>
      <w:sz w:val="26"/>
    </w:rPr>
  </w:style>
  <w:style w:type="paragraph" w:styleId="4">
    <w:name w:val="heading 3"/>
    <w:basedOn w:val="1"/>
    <w:next w:val="1"/>
    <w:uiPriority w:val="0"/>
    <w:pPr>
      <w:spacing w:before="200"/>
    </w:pPr>
    <w:rPr>
      <w:b/>
      <w:color w:val="4F81BD"/>
      <w:sz w:val="24"/>
    </w:rPr>
  </w:style>
  <w:style w:type="paragraph" w:styleId="5">
    <w:name w:val="heading 4"/>
    <w:basedOn w:val="1"/>
    <w:next w:val="1"/>
    <w:qFormat/>
    <w:uiPriority w:val="0"/>
    <w:pPr>
      <w:keepNext/>
      <w:keepLines/>
      <w:spacing w:before="280" w:after="290" w:line="377" w:lineRule="auto"/>
      <w:outlineLvl w:val="3"/>
    </w:pPr>
    <w:rPr>
      <w:rFonts w:ascii="Calibri" w:hAnsi="Calibri" w:cs="Arial"/>
      <w:b/>
      <w:bCs/>
      <w:sz w:val="28"/>
      <w:szCs w:val="28"/>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uiPriority w:val="0"/>
    <w:pPr>
      <w:jc w:val="left"/>
    </w:pPr>
  </w:style>
  <w:style w:type="paragraph" w:styleId="7">
    <w:name w:val="Date"/>
    <w:basedOn w:val="1"/>
    <w:next w:val="1"/>
    <w:uiPriority w:val="0"/>
    <w:pPr>
      <w:ind w:left="2500"/>
    </w:p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rFonts w:ascii="Cambria" w:hAnsi="Cambria" w:eastAsia="黑体"/>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rFonts w:ascii="Cambria" w:hAnsi="Cambria" w:eastAsia="黑体"/>
      <w:sz w:val="18"/>
      <w:szCs w:val="18"/>
    </w:rPr>
  </w:style>
  <w:style w:type="paragraph" w:styleId="11">
    <w:name w:val="Subtitle"/>
    <w:basedOn w:val="1"/>
    <w:next w:val="1"/>
    <w:uiPriority w:val="0"/>
    <w:rPr>
      <w:i/>
      <w:color w:val="4F81BD"/>
      <w:sz w:val="24"/>
    </w:rPr>
  </w:style>
  <w:style w:type="paragraph" w:styleId="12">
    <w:name w:val="Title"/>
    <w:basedOn w:val="1"/>
    <w:next w:val="1"/>
    <w:uiPriority w:val="0"/>
    <w:pPr>
      <w:spacing w:after="300"/>
    </w:pPr>
    <w:rPr>
      <w:color w:val="17365D"/>
      <w:sz w:val="52"/>
    </w:rPr>
  </w:style>
  <w:style w:type="character" w:styleId="15">
    <w:name w:val="annotation reference"/>
    <w:basedOn w:val="14"/>
    <w:uiPriority w:val="0"/>
    <w:rPr>
      <w:sz w:val="21"/>
      <w:szCs w:val="21"/>
    </w:rPr>
  </w:style>
  <w:style w:type="paragraph" w:customStyle="1" w:styleId="16">
    <w:name w:val="无间隔1"/>
    <w:qFormat/>
    <w:uiPriority w:val="0"/>
    <w:pPr>
      <w:spacing w:after="160" w:line="480" w:lineRule="auto"/>
    </w:pPr>
    <w:rPr>
      <w:rFonts w:ascii="Cambria" w:hAnsi="Cambria" w:eastAsia="黑体" w:cs="Times New Roman"/>
      <w:sz w:val="22"/>
      <w:szCs w:val="22"/>
      <w:lang w:val="en-US" w:eastAsia="zh-CN" w:bidi="ar-SA"/>
    </w:rPr>
  </w:style>
  <w:style w:type="character" w:customStyle="1" w:styleId="17">
    <w:name w:val="Style1"/>
    <w:basedOn w:val="14"/>
    <w:qFormat/>
    <w:uiPriority w:val="0"/>
    <w:rPr>
      <w:rFonts w:ascii="Cambria" w:hAnsi="Cambria" w:eastAsia="黑体" w:cs="Times New Roman"/>
      <w:sz w:val="22"/>
      <w:szCs w:val="22"/>
      <w:lang w:eastAsia="zh-CN"/>
    </w:rPr>
  </w:style>
  <w:style w:type="character" w:customStyle="1" w:styleId="18">
    <w:name w:val="Style2"/>
    <w:basedOn w:val="14"/>
    <w:qFormat/>
    <w:uiPriority w:val="0"/>
    <w:rPr>
      <w:rFonts w:ascii="Cambria" w:hAnsi="Cambria" w:eastAsia="黑体" w:cs="Times New Roman"/>
      <w:sz w:val="22"/>
      <w:szCs w:val="22"/>
      <w:lang w:eastAsia="zh-CN"/>
    </w:rPr>
  </w:style>
  <w:style w:type="character" w:customStyle="1" w:styleId="19">
    <w:name w:val="Style3"/>
    <w:basedOn w:val="14"/>
    <w:qFormat/>
    <w:uiPriority w:val="0"/>
    <w:rPr>
      <w:rFonts w:ascii="Cambria" w:hAnsi="Cambria" w:eastAsia="黑体" w:cs="Times New Roman"/>
      <w:szCs w:val="22"/>
      <w:lang w:eastAsia="zh-CN"/>
    </w:rPr>
  </w:style>
  <w:style w:type="character" w:customStyle="1" w:styleId="20">
    <w:name w:val="Style4"/>
    <w:basedOn w:val="14"/>
    <w:qFormat/>
    <w:uiPriority w:val="0"/>
    <w:rPr>
      <w:rFonts w:ascii="Cambria" w:hAnsi="Cambria" w:eastAsia="黑体" w:cs="Times New Roman"/>
      <w:szCs w:val="22"/>
      <w:lang w:eastAsia="zh-CN"/>
    </w:rPr>
  </w:style>
  <w:style w:type="character" w:customStyle="1" w:styleId="21">
    <w:name w:val="Style5"/>
    <w:basedOn w:val="14"/>
    <w:qFormat/>
    <w:uiPriority w:val="0"/>
    <w:rPr>
      <w:rFonts w:ascii="Cambria" w:hAnsi="Cambria" w:eastAsia="黑体" w:cs="Times New Roman"/>
      <w:sz w:val="22"/>
      <w:szCs w:val="22"/>
      <w:lang w:eastAsia="zh-CN"/>
    </w:rPr>
  </w:style>
  <w:style w:type="paragraph" w:customStyle="1" w:styleId="22">
    <w:name w:val="列出段落1"/>
    <w:basedOn w:val="1"/>
    <w:uiPriority w:val="0"/>
    <w:pPr>
      <w:ind w:firstLine="200"/>
    </w:pPr>
  </w:style>
  <w:style w:type="paragraph" w:customStyle="1" w:styleId="23">
    <w:name w:val="普通(网站)1"/>
    <w:next w:val="9"/>
    <w:qFormat/>
    <w:uiPriority w:val="0"/>
    <w:pPr>
      <w:widowControl w:val="0"/>
    </w:pPr>
    <w:rPr>
      <w:rFonts w:ascii="Calibri" w:hAnsi="Calibri" w:eastAsia="宋体" w:cs="黑体"/>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16</Pages>
  <Words>4658</Words>
  <Characters>5013</Characters>
  <Lines>36</Lines>
  <Paragraphs>10</Paragraphs>
  <TotalTime>2</TotalTime>
  <ScaleCrop>false</ScaleCrop>
  <LinksUpToDate>false</LinksUpToDate>
  <CharactersWithSpaces>5030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2019-09-26T01:09:00Z</dcterms:created>
  <dc:creator>User</dc:creator>
  <cp:lastModifiedBy>上进兄</cp:lastModifiedBy>
  <cp:lastPrinted>2019-09-27T00:42:00Z</cp:lastPrinted>
  <dcterms:modified xsi:type="dcterms:W3CDTF">2024-07-18T03:55:08Z</dcterms:modified>
  <dc:subject>石家庄市xxx部门</dc:subject>
  <dc:title>2017年度部门决算</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FC1247FEA55F405EA9B331A43CF0BFE2_13</vt:lpwstr>
  </property>
</Properties>
</file>