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41F207B">
      <w:pPr>
        <w:widowControl/>
        <w:spacing w:line="1200" w:lineRule="exact"/>
        <w:jc w:val="center"/>
        <w:rPr>
          <w:rFonts w:ascii="黑体" w:eastAsia="黑体"/>
          <w:color w:val="000000"/>
          <w:sz w:val="96"/>
          <w:szCs w:val="96"/>
        </w:rPr>
      </w:pPr>
    </w:p>
    <w:p w14:paraId="1BECF214">
      <w:pPr>
        <w:widowControl/>
        <w:spacing w:line="1200" w:lineRule="exact"/>
        <w:jc w:val="center"/>
        <w:rPr>
          <w:rFonts w:ascii="黑体" w:eastAsia="黑体"/>
          <w:color w:val="000000"/>
          <w:sz w:val="96"/>
          <w:szCs w:val="96"/>
        </w:rPr>
      </w:pPr>
    </w:p>
    <w:p w14:paraId="6499EEC1">
      <w:pPr>
        <w:widowControl/>
        <w:spacing w:line="1200" w:lineRule="exact"/>
        <w:jc w:val="center"/>
        <w:rPr>
          <w:color w:val="000000"/>
          <w:sz w:val="96"/>
          <w:szCs w:val="96"/>
        </w:rPr>
      </w:pPr>
      <w:r>
        <w:rPr>
          <w:sz w:val="84"/>
          <w:szCs w:val="84"/>
        </w:rPr>
        <w:t>2018</w:t>
      </w:r>
      <w:r>
        <w:rPr>
          <w:rFonts w:hint="eastAsia"/>
          <w:sz w:val="84"/>
          <w:szCs w:val="84"/>
        </w:rPr>
        <w:t>年度部门决算公开</w:t>
      </w:r>
    </w:p>
    <w:p w14:paraId="5D652EC1">
      <w:pPr>
        <w:widowControl/>
        <w:jc w:val="center"/>
        <w:rPr>
          <w:rFonts w:ascii="黑体" w:eastAsia="黑体"/>
          <w:color w:val="002060"/>
          <w:sz w:val="72"/>
          <w:szCs w:val="72"/>
        </w:rPr>
      </w:pPr>
    </w:p>
    <w:p w14:paraId="5D894E93">
      <w:pPr>
        <w:widowControl/>
        <w:jc w:val="center"/>
        <w:rPr>
          <w:rFonts w:ascii="黑体" w:eastAsia="黑体"/>
          <w:b/>
          <w:sz w:val="72"/>
          <w:szCs w:val="72"/>
        </w:rPr>
      </w:pPr>
    </w:p>
    <w:p w14:paraId="4598A76F">
      <w:pPr>
        <w:widowControl/>
        <w:jc w:val="center"/>
        <w:rPr>
          <w:rFonts w:ascii="黑体" w:eastAsia="黑体"/>
          <w:b/>
          <w:sz w:val="72"/>
          <w:szCs w:val="72"/>
        </w:rPr>
      </w:pPr>
    </w:p>
    <w:p w14:paraId="458BBF98">
      <w:pPr>
        <w:widowControl/>
        <w:jc w:val="center"/>
        <w:rPr>
          <w:rFonts w:ascii="黑体" w:eastAsia="黑体"/>
          <w:b/>
          <w:sz w:val="72"/>
          <w:szCs w:val="72"/>
        </w:rPr>
      </w:pPr>
    </w:p>
    <w:p w14:paraId="41C21997">
      <w:pPr>
        <w:widowControl/>
        <w:jc w:val="center"/>
        <w:rPr>
          <w:rFonts w:ascii="黑体" w:eastAsia="黑体"/>
          <w:b/>
          <w:sz w:val="72"/>
          <w:szCs w:val="72"/>
        </w:rPr>
      </w:pPr>
    </w:p>
    <w:p w14:paraId="3850962B">
      <w:pPr>
        <w:widowControl/>
        <w:jc w:val="center"/>
        <w:rPr>
          <w:rFonts w:ascii="黑体" w:eastAsia="黑体"/>
          <w:b/>
          <w:sz w:val="72"/>
          <w:szCs w:val="72"/>
        </w:rPr>
      </w:pPr>
    </w:p>
    <w:p w14:paraId="7B79F326">
      <w:pPr>
        <w:ind w:firstLine="1961"/>
      </w:pPr>
      <w:r>
        <w:rPr>
          <w:rFonts w:hint="eastAsia"/>
          <w:b/>
          <w:sz w:val="44"/>
          <w:szCs w:val="44"/>
        </w:rPr>
        <w:t>廊坊市广阳区广播电视台</w:t>
      </w:r>
    </w:p>
    <w:p w14:paraId="5CCE192C"/>
    <w:p w14:paraId="5122F444"/>
    <w:p w14:paraId="62807425"/>
    <w:p w14:paraId="5A78273A"/>
    <w:p w14:paraId="5ADB8897"/>
    <w:p w14:paraId="4A1B74DF"/>
    <w:p w14:paraId="5245A146"/>
    <w:p w14:paraId="5F165FFC"/>
    <w:p w14:paraId="27926DBF"/>
    <w:p w14:paraId="03A9DE04"/>
    <w:p w14:paraId="766D2E42"/>
    <w:p w14:paraId="4B1DB224"/>
    <w:p w14:paraId="099921E1"/>
    <w:p w14:paraId="5A2C8A6E"/>
    <w:p w14:paraId="28B256A1"/>
    <w:p w14:paraId="135A280E"/>
    <w:p w14:paraId="18530A13"/>
    <w:p w14:paraId="7408B3A8"/>
    <w:p w14:paraId="45D4E841"/>
    <w:p w14:paraId="09E1BA91"/>
    <w:p w14:paraId="2F86DFC9"/>
    <w:p w14:paraId="5FEA0FF7"/>
    <w:p w14:paraId="47DDE59D">
      <w:pPr>
        <w:widowControl/>
        <w:jc w:val="center"/>
        <w:rPr>
          <w:color w:val="000000"/>
          <w:sz w:val="72"/>
          <w:szCs w:val="72"/>
        </w:rPr>
      </w:pPr>
      <w:r>
        <w:rPr>
          <w:rFonts w:hint="eastAsia" w:ascii="黑体" w:eastAsia="黑体"/>
          <w:color w:val="000000"/>
          <w:sz w:val="72"/>
          <w:szCs w:val="72"/>
        </w:rPr>
        <w:t>第一部分</w:t>
      </w:r>
      <w:r>
        <w:rPr>
          <w:rFonts w:ascii="黑体" w:eastAsia="黑体"/>
          <w:color w:val="000000"/>
          <w:sz w:val="72"/>
          <w:szCs w:val="72"/>
        </w:rPr>
        <w:t xml:space="preserve">  </w:t>
      </w:r>
      <w:r>
        <w:rPr>
          <w:rFonts w:hint="eastAsia" w:ascii="黑体" w:eastAsia="黑体"/>
          <w:color w:val="000000"/>
          <w:sz w:val="72"/>
          <w:szCs w:val="72"/>
        </w:rPr>
        <w:t>部门概况</w:t>
      </w:r>
    </w:p>
    <w:p w14:paraId="7E7DA4C9"/>
    <w:p w14:paraId="4042EC27"/>
    <w:p w14:paraId="4158D1DC"/>
    <w:p w14:paraId="0A5470AC"/>
    <w:p w14:paraId="3C12FDD7"/>
    <w:p w14:paraId="0C426E24"/>
    <w:p w14:paraId="706D86EB"/>
    <w:p w14:paraId="40C9FBE9"/>
    <w:p w14:paraId="087124CF"/>
    <w:p w14:paraId="1A130339"/>
    <w:p w14:paraId="1FAD200F">
      <w:pPr>
        <w:pStyle w:val="2"/>
        <w:spacing w:before="0" w:after="0" w:line="600" w:lineRule="exact"/>
        <w:jc w:val="left"/>
        <w:rPr>
          <w:b w:val="0"/>
          <w:bCs w:val="0"/>
          <w:kern w:val="2"/>
          <w:sz w:val="21"/>
          <w:szCs w:val="24"/>
        </w:rPr>
      </w:pPr>
    </w:p>
    <w:p w14:paraId="0E380352"/>
    <w:p w14:paraId="169CCBE6"/>
    <w:p w14:paraId="63FCB080"/>
    <w:p w14:paraId="754DA93B"/>
    <w:p w14:paraId="7F654E2B"/>
    <w:p w14:paraId="7F23FE75"/>
    <w:p w14:paraId="29068531"/>
    <w:p w14:paraId="3AD58F76"/>
    <w:p w14:paraId="49C01FBE"/>
    <w:p w14:paraId="3C0BBCED"/>
    <w:p w14:paraId="4504150F"/>
    <w:p w14:paraId="120FEF40"/>
    <w:p w14:paraId="0C2624B3">
      <w:pPr>
        <w:pStyle w:val="2"/>
        <w:spacing w:before="0" w:after="0" w:line="600" w:lineRule="exact"/>
        <w:ind w:firstLine="64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7493D95E">
      <w:pPr>
        <w:pStyle w:val="34"/>
        <w:widowControl/>
        <w:snapToGrid w:val="0"/>
        <w:spacing w:line="300" w:lineRule="auto"/>
        <w:ind w:firstLine="480"/>
        <w:jc w:val="both"/>
        <w:rPr>
          <w:rFonts w:ascii="FangSong_GB2312" w:eastAsia="Times New Roman" w:cs="FangSong_GB2312"/>
          <w:kern w:val="2"/>
          <w:sz w:val="32"/>
          <w:szCs w:val="32"/>
        </w:rPr>
      </w:pPr>
      <w:r>
        <w:t xml:space="preserve">  </w:t>
      </w:r>
      <w:r>
        <w:rPr>
          <w:rFonts w:ascii="FangSong_GB2312" w:eastAsia="Times New Roman" w:cs="FangSong_GB2312"/>
          <w:kern w:val="2"/>
          <w:sz w:val="32"/>
          <w:szCs w:val="32"/>
        </w:rPr>
        <w:t>（一）全面贯彻党和政府在新闻宣传、广播电视工作方面的路线、方针、政策和国家的法律法规，坚持正确舆论导向，宣传区委、区政府的重大政策、中心工作及各行各业的新成就；加大对外宣传力度，提升广阳区的影响力和美誉度；对广播电视节目审查把关。</w:t>
      </w:r>
    </w:p>
    <w:p w14:paraId="07BD3B23">
      <w:pPr>
        <w:pStyle w:val="34"/>
        <w:widowControl/>
        <w:snapToGrid w:val="0"/>
        <w:spacing w:line="300" w:lineRule="auto"/>
        <w:ind w:firstLine="640"/>
        <w:jc w:val="both"/>
        <w:rPr>
          <w:rFonts w:ascii="FangSong_GB2312" w:eastAsia="Times New Roman" w:cs="FangSong_GB2312"/>
          <w:kern w:val="2"/>
          <w:sz w:val="32"/>
          <w:szCs w:val="32"/>
        </w:rPr>
      </w:pPr>
      <w:r>
        <w:rPr>
          <w:rFonts w:ascii="FangSong_GB2312" w:eastAsia="Times New Roman" w:cs="FangSong_GB2312"/>
          <w:kern w:val="2"/>
          <w:sz w:val="32"/>
          <w:szCs w:val="32"/>
        </w:rPr>
        <w:t>（二）组织和指导全区性的广播电视宣传，制定广播电视事业发展的目标和规划，促进广播电视事业的发展和繁荣。</w:t>
      </w:r>
    </w:p>
    <w:p w14:paraId="62FEE643">
      <w:pPr>
        <w:pStyle w:val="34"/>
        <w:widowControl/>
        <w:snapToGrid w:val="0"/>
        <w:spacing w:line="300" w:lineRule="auto"/>
        <w:ind w:firstLine="640"/>
        <w:jc w:val="both"/>
        <w:rPr>
          <w:rFonts w:ascii="FangSong_GB2312" w:eastAsia="Times New Roman" w:cs="FangSong_GB2312"/>
          <w:kern w:val="2"/>
          <w:sz w:val="32"/>
          <w:szCs w:val="32"/>
        </w:rPr>
      </w:pPr>
      <w:r>
        <w:rPr>
          <w:rFonts w:ascii="FangSong_GB2312" w:eastAsia="Times New Roman" w:cs="FangSong_GB2312"/>
          <w:kern w:val="2"/>
          <w:sz w:val="32"/>
          <w:szCs w:val="32"/>
        </w:rPr>
        <w:t>(三)积极探索广播电视新技术的科学研究和开发利用。</w:t>
      </w:r>
    </w:p>
    <w:p w14:paraId="0B7D94E2">
      <w:pPr>
        <w:pStyle w:val="34"/>
        <w:widowControl/>
        <w:snapToGrid w:val="0"/>
        <w:spacing w:line="300" w:lineRule="auto"/>
        <w:ind w:firstLine="640"/>
        <w:jc w:val="both"/>
        <w:rPr>
          <w:rFonts w:ascii="FangSong_GB2312" w:eastAsia="Times New Roman" w:cs="FangSong_GB2312"/>
          <w:kern w:val="2"/>
          <w:sz w:val="32"/>
          <w:szCs w:val="32"/>
        </w:rPr>
      </w:pPr>
      <w:r>
        <w:rPr>
          <w:rFonts w:ascii="FangSong_GB2312" w:eastAsia="Times New Roman" w:cs="FangSong_GB2312"/>
          <w:kern w:val="2"/>
          <w:sz w:val="32"/>
          <w:szCs w:val="32"/>
        </w:rPr>
        <w:t>（四）办好本台各个自办频率、频道节目的采编、录制、播出工作，为受众提供丰富多彩的优秀节目，不断满足人民群众日益增长的文化生活需求。</w:t>
      </w:r>
    </w:p>
    <w:p w14:paraId="23FDF8AD">
      <w:pPr>
        <w:pStyle w:val="34"/>
        <w:widowControl/>
        <w:snapToGrid w:val="0"/>
        <w:spacing w:line="300" w:lineRule="auto"/>
        <w:ind w:firstLine="640"/>
        <w:jc w:val="both"/>
        <w:rPr>
          <w:rFonts w:ascii="FangSong_GB2312" w:eastAsia="Times New Roman" w:cs="FangSong_GB2312"/>
          <w:kern w:val="2"/>
          <w:sz w:val="32"/>
          <w:szCs w:val="32"/>
        </w:rPr>
      </w:pPr>
      <w:r>
        <w:rPr>
          <w:rFonts w:ascii="FangSong_GB2312" w:eastAsia="Times New Roman" w:cs="FangSong_GB2312"/>
          <w:kern w:val="2"/>
          <w:sz w:val="32"/>
          <w:szCs w:val="32"/>
        </w:rPr>
        <w:t>（五）负责全区广播电视队伍建设和专业培训，有计划、多层次的培养各种专业人才。</w:t>
      </w:r>
    </w:p>
    <w:p w14:paraId="23B07140">
      <w:pPr>
        <w:pStyle w:val="34"/>
        <w:widowControl/>
        <w:snapToGrid w:val="0"/>
        <w:spacing w:line="300" w:lineRule="auto"/>
        <w:ind w:firstLine="640"/>
        <w:jc w:val="both"/>
        <w:rPr>
          <w:rFonts w:ascii="FangSong_GB2312" w:eastAsia="Times New Roman" w:cs="FangSong_GB2312"/>
          <w:kern w:val="2"/>
          <w:sz w:val="32"/>
          <w:szCs w:val="32"/>
        </w:rPr>
      </w:pPr>
      <w:r>
        <w:rPr>
          <w:rFonts w:ascii="FangSong_GB2312" w:eastAsia="Times New Roman" w:cs="FangSong_GB2312"/>
          <w:kern w:val="2"/>
          <w:sz w:val="32"/>
          <w:szCs w:val="32"/>
        </w:rPr>
        <w:t>（六）承办上级主管部门及区委、区政府交办的其他事项。</w:t>
      </w:r>
    </w:p>
    <w:p w14:paraId="23B5BDC6">
      <w:pPr>
        <w:pStyle w:val="2"/>
        <w:spacing w:before="0" w:after="0" w:line="600" w:lineRule="exact"/>
        <w:ind w:firstLine="64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14:paraId="06538F35">
      <w:pPr>
        <w:spacing w:after="0" w:line="560" w:lineRule="exact"/>
        <w:ind w:firstLine="640"/>
        <w:rPr>
          <w:rFonts w:ascii="FangSong_GB2312" w:eastAsia="Times New Roman" w:cs="ArialUnicodeMS"/>
          <w:kern w:val="0"/>
          <w:sz w:val="32"/>
          <w:szCs w:val="32"/>
        </w:rPr>
      </w:pPr>
      <w:r>
        <w:rPr>
          <w:rFonts w:ascii="FangSong_GB2312" w:eastAsia="Times New Roman" w:cs="ArialUnicodeMS"/>
          <w:kern w:val="0"/>
          <w:sz w:val="32"/>
          <w:szCs w:val="32"/>
        </w:rPr>
        <w:t>从决算编报单位构成看，纳入2018 年度本部门决算汇编范围的独立核算单位（以下简称“单位”）共1个，具体情况如下：</w:t>
      </w:r>
    </w:p>
    <w:tbl>
      <w:tblPr>
        <w:tblStyle w:val="14"/>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518"/>
        <w:gridCol w:w="2412"/>
        <w:gridCol w:w="2665"/>
      </w:tblGrid>
      <w:tr w14:paraId="4F3F949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tcBorders>
              <w:top w:val="single" w:color="auto" w:sz="4" w:space="0"/>
            </w:tcBorders>
            <w:vAlign w:val="center"/>
          </w:tcPr>
          <w:p w14:paraId="36B81292">
            <w:pPr>
              <w:spacing w:after="0" w:line="560" w:lineRule="exact"/>
              <w:jc w:val="center"/>
              <w:rPr>
                <w:rFonts w:ascii="FangSong_GB2312" w:eastAsia="Times New Roman" w:cs="ArialUnicodeMS"/>
                <w:b/>
                <w:bCs/>
                <w:kern w:val="0"/>
                <w:sz w:val="28"/>
                <w:szCs w:val="28"/>
              </w:rPr>
            </w:pPr>
            <w:r>
              <w:rPr>
                <w:rFonts w:ascii="FangSong_GB2312" w:eastAsia="Times New Roman" w:cs="ArialUnicodeMS"/>
                <w:b/>
                <w:bCs/>
                <w:kern w:val="0"/>
                <w:sz w:val="28"/>
                <w:szCs w:val="28"/>
              </w:rPr>
              <w:t>序号</w:t>
            </w:r>
          </w:p>
        </w:tc>
        <w:tc>
          <w:tcPr>
            <w:tcW w:w="3518" w:type="dxa"/>
            <w:tcBorders>
              <w:top w:val="single" w:color="auto" w:sz="4" w:space="0"/>
            </w:tcBorders>
            <w:vAlign w:val="center"/>
          </w:tcPr>
          <w:p w14:paraId="6CA0A956">
            <w:pPr>
              <w:spacing w:after="0" w:line="560" w:lineRule="exact"/>
              <w:jc w:val="center"/>
              <w:rPr>
                <w:rFonts w:ascii="FangSong_GB2312" w:eastAsia="Times New Roman" w:cs="ArialUnicodeMS"/>
                <w:b/>
                <w:bCs/>
                <w:kern w:val="0"/>
                <w:sz w:val="28"/>
                <w:szCs w:val="28"/>
              </w:rPr>
            </w:pPr>
            <w:r>
              <w:rPr>
                <w:rFonts w:ascii="FangSong_GB2312" w:eastAsia="Times New Roman" w:cs="ArialUnicodeMS"/>
                <w:b/>
                <w:bCs/>
                <w:kern w:val="0"/>
                <w:sz w:val="28"/>
                <w:szCs w:val="28"/>
              </w:rPr>
              <w:t>单位名称</w:t>
            </w:r>
          </w:p>
        </w:tc>
        <w:tc>
          <w:tcPr>
            <w:tcW w:w="2412" w:type="dxa"/>
            <w:tcBorders>
              <w:top w:val="single" w:color="auto" w:sz="4" w:space="0"/>
            </w:tcBorders>
            <w:vAlign w:val="center"/>
          </w:tcPr>
          <w:p w14:paraId="3762AAFE">
            <w:pPr>
              <w:spacing w:after="0" w:line="560" w:lineRule="exact"/>
              <w:jc w:val="center"/>
              <w:rPr>
                <w:rFonts w:ascii="FangSong_GB2312" w:eastAsia="Times New Roman" w:cs="ArialUnicodeMS"/>
                <w:b/>
                <w:bCs/>
                <w:kern w:val="0"/>
                <w:sz w:val="28"/>
                <w:szCs w:val="28"/>
              </w:rPr>
            </w:pPr>
            <w:r>
              <w:rPr>
                <w:rFonts w:ascii="FangSong_GB2312" w:eastAsia="Times New Roman" w:cs="ArialUnicodeMS"/>
                <w:b/>
                <w:bCs/>
                <w:kern w:val="0"/>
                <w:sz w:val="28"/>
                <w:szCs w:val="28"/>
              </w:rPr>
              <w:t>单位基本性质</w:t>
            </w:r>
          </w:p>
        </w:tc>
        <w:tc>
          <w:tcPr>
            <w:tcW w:w="2665" w:type="dxa"/>
            <w:tcBorders>
              <w:top w:val="single" w:color="auto" w:sz="4" w:space="0"/>
            </w:tcBorders>
            <w:vAlign w:val="center"/>
          </w:tcPr>
          <w:p w14:paraId="26BB2F79">
            <w:pPr>
              <w:spacing w:after="0" w:line="560" w:lineRule="exact"/>
              <w:jc w:val="center"/>
              <w:rPr>
                <w:rFonts w:ascii="FangSong_GB2312" w:eastAsia="Times New Roman" w:cs="ArialUnicodeMS"/>
                <w:b/>
                <w:bCs/>
                <w:kern w:val="0"/>
                <w:sz w:val="28"/>
                <w:szCs w:val="28"/>
              </w:rPr>
            </w:pPr>
            <w:r>
              <w:rPr>
                <w:rFonts w:ascii="FangSong_GB2312" w:eastAsia="Times New Roman" w:cs="ArialUnicodeMS"/>
                <w:b/>
                <w:bCs/>
                <w:kern w:val="0"/>
                <w:sz w:val="28"/>
                <w:szCs w:val="28"/>
              </w:rPr>
              <w:t>经费形式</w:t>
            </w:r>
          </w:p>
        </w:tc>
      </w:tr>
      <w:tr w14:paraId="59F365D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14:paraId="0192D13C">
            <w:pPr>
              <w:spacing w:after="0" w:line="560" w:lineRule="exact"/>
              <w:jc w:val="center"/>
              <w:rPr>
                <w:rFonts w:ascii="FangSong_GB2312" w:eastAsia="Times New Roman" w:cs="ArialUnicodeMS"/>
                <w:kern w:val="0"/>
                <w:sz w:val="28"/>
                <w:szCs w:val="28"/>
              </w:rPr>
            </w:pPr>
            <w:r>
              <w:rPr>
                <w:rFonts w:ascii="FangSong_GB2312" w:eastAsia="Times New Roman" w:cs="ArialUnicodeMS"/>
                <w:kern w:val="0"/>
                <w:sz w:val="28"/>
                <w:szCs w:val="28"/>
              </w:rPr>
              <w:t>1</w:t>
            </w:r>
          </w:p>
        </w:tc>
        <w:tc>
          <w:tcPr>
            <w:tcW w:w="3518" w:type="dxa"/>
          </w:tcPr>
          <w:p w14:paraId="7A350954">
            <w:pPr>
              <w:spacing w:after="0" w:line="560" w:lineRule="exact"/>
              <w:rPr>
                <w:rFonts w:ascii="FangSong_GB2312" w:eastAsia="Times New Roman" w:cs="ArialUnicodeMS"/>
                <w:kern w:val="0"/>
                <w:sz w:val="28"/>
                <w:szCs w:val="28"/>
              </w:rPr>
            </w:pPr>
            <w:r>
              <w:rPr>
                <w:rFonts w:ascii="FangSong_GB2312" w:eastAsia="Times New Roman" w:cs="ArialUnicodeMS"/>
                <w:kern w:val="0"/>
                <w:sz w:val="28"/>
                <w:szCs w:val="28"/>
              </w:rPr>
              <w:t>廊坊市</w:t>
            </w:r>
            <w:bookmarkStart w:id="0" w:name="_GoBack"/>
            <w:r>
              <w:rPr>
                <w:rFonts w:ascii="FangSong_GB2312" w:eastAsia="Times New Roman" w:cs="ArialUnicodeMS"/>
                <w:kern w:val="0"/>
                <w:sz w:val="28"/>
                <w:szCs w:val="28"/>
              </w:rPr>
              <w:t>广阳区广播电视台</w:t>
            </w:r>
            <w:bookmarkEnd w:id="0"/>
          </w:p>
        </w:tc>
        <w:tc>
          <w:tcPr>
            <w:tcW w:w="2412" w:type="dxa"/>
          </w:tcPr>
          <w:p w14:paraId="6A65EDAF">
            <w:pPr>
              <w:spacing w:after="0" w:line="560" w:lineRule="exact"/>
              <w:jc w:val="center"/>
              <w:rPr>
                <w:rFonts w:ascii="FangSong_GB2312" w:eastAsia="Times New Roman" w:cs="ArialUnicodeMS"/>
                <w:kern w:val="0"/>
                <w:sz w:val="28"/>
                <w:szCs w:val="28"/>
              </w:rPr>
            </w:pPr>
            <w:r>
              <w:rPr>
                <w:rFonts w:ascii="FangSong_GB2312" w:eastAsia="Times New Roman" w:cs="ArialUnicodeMS"/>
                <w:kern w:val="0"/>
                <w:sz w:val="28"/>
                <w:szCs w:val="28"/>
              </w:rPr>
              <w:t>财政补助事业单位</w:t>
            </w:r>
          </w:p>
        </w:tc>
        <w:tc>
          <w:tcPr>
            <w:tcW w:w="2665" w:type="dxa"/>
          </w:tcPr>
          <w:p w14:paraId="59F0B5DD">
            <w:pPr>
              <w:spacing w:after="0" w:line="560" w:lineRule="exact"/>
              <w:jc w:val="center"/>
              <w:rPr>
                <w:rFonts w:ascii="FangSong_GB2312" w:eastAsia="Times New Roman" w:cs="ArialUnicodeMS"/>
                <w:kern w:val="0"/>
                <w:sz w:val="28"/>
                <w:szCs w:val="28"/>
              </w:rPr>
            </w:pPr>
            <w:r>
              <w:rPr>
                <w:rFonts w:ascii="FangSong_GB2312" w:eastAsia="Times New Roman" w:cs="ArialUnicodeMS"/>
                <w:kern w:val="0"/>
                <w:sz w:val="28"/>
                <w:szCs w:val="28"/>
              </w:rPr>
              <w:t>财政性资金定额或定项补助</w:t>
            </w:r>
          </w:p>
        </w:tc>
      </w:tr>
      <w:tr w14:paraId="429D95E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14:paraId="46F9E529">
            <w:pPr>
              <w:spacing w:after="0" w:line="560" w:lineRule="exact"/>
              <w:ind w:firstLine="560"/>
              <w:jc w:val="left"/>
              <w:rPr>
                <w:rFonts w:ascii="FangSong_GB2312" w:eastAsia="Times New Roman" w:cs="ArialUnicodeMS"/>
                <w:kern w:val="0"/>
                <w:sz w:val="28"/>
                <w:szCs w:val="28"/>
              </w:rPr>
            </w:pPr>
          </w:p>
        </w:tc>
      </w:tr>
    </w:tbl>
    <w:p w14:paraId="3B286116">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14:paraId="2EF7D10C">
      <w:pPr>
        <w:widowControl/>
        <w:spacing w:line="1200" w:lineRule="exact"/>
        <w:jc w:val="center"/>
        <w:rPr>
          <w:rFonts w:ascii="黑体" w:eastAsia="黑体"/>
          <w:color w:val="000000"/>
          <w:sz w:val="72"/>
          <w:szCs w:val="96"/>
        </w:rPr>
      </w:pPr>
    </w:p>
    <w:p w14:paraId="6373D65C">
      <w:pPr>
        <w:widowControl/>
        <w:spacing w:line="1200" w:lineRule="exact"/>
        <w:jc w:val="center"/>
        <w:rPr>
          <w:rFonts w:ascii="黑体" w:eastAsia="黑体"/>
          <w:color w:val="000000"/>
          <w:sz w:val="72"/>
          <w:szCs w:val="96"/>
        </w:rPr>
      </w:pPr>
    </w:p>
    <w:p w14:paraId="3FBF8155">
      <w:pPr>
        <w:widowControl/>
        <w:spacing w:line="1200" w:lineRule="exact"/>
        <w:jc w:val="center"/>
        <w:rPr>
          <w:rFonts w:ascii="黑体" w:eastAsia="黑体"/>
          <w:color w:val="000000"/>
          <w:sz w:val="72"/>
          <w:szCs w:val="96"/>
        </w:rPr>
      </w:pPr>
    </w:p>
    <w:p w14:paraId="1AF89FB3">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14:paraId="28398979">
      <w:pPr>
        <w:widowControl/>
        <w:spacing w:line="1200" w:lineRule="exact"/>
        <w:jc w:val="center"/>
        <w:rPr>
          <w:color w:val="000000"/>
          <w:sz w:val="72"/>
          <w:szCs w:val="96"/>
        </w:rPr>
      </w:pPr>
      <w:r>
        <w:rPr>
          <w:rFonts w:ascii="黑体" w:eastAsia="黑体"/>
          <w:color w:val="000000"/>
          <w:sz w:val="72"/>
          <w:szCs w:val="96"/>
        </w:rPr>
        <w:t>2018</w:t>
      </w:r>
      <w:r>
        <w:rPr>
          <w:rFonts w:hint="eastAsia" w:ascii="黑体" w:eastAsia="黑体"/>
          <w:color w:val="000000"/>
          <w:sz w:val="72"/>
          <w:szCs w:val="96"/>
        </w:rPr>
        <w:t>年度部门决算报表</w:t>
      </w:r>
    </w:p>
    <w:p w14:paraId="3C7CAA83">
      <w:pPr>
        <w:widowControl/>
        <w:spacing w:line="560" w:lineRule="exact"/>
        <w:jc w:val="center"/>
        <w:rPr>
          <w:rFonts w:ascii="黑体" w:eastAsia="黑体" w:cs="MS-UIGothic,Bold"/>
          <w:bCs/>
          <w:kern w:val="0"/>
          <w:sz w:val="52"/>
          <w:szCs w:val="52"/>
        </w:rPr>
      </w:pPr>
    </w:p>
    <w:p w14:paraId="4E6CDFBF">
      <w:pPr>
        <w:widowControl/>
        <w:spacing w:line="560" w:lineRule="exact"/>
        <w:jc w:val="center"/>
        <w:rPr>
          <w:rFonts w:ascii="黑体" w:eastAsia="黑体" w:cs="MS-UIGothic,Bold"/>
          <w:bCs/>
          <w:kern w:val="0"/>
          <w:sz w:val="52"/>
          <w:szCs w:val="52"/>
        </w:rPr>
      </w:pPr>
    </w:p>
    <w:p w14:paraId="461134A8">
      <w:pPr>
        <w:widowControl/>
        <w:spacing w:line="560" w:lineRule="exact"/>
        <w:jc w:val="center"/>
        <w:rPr>
          <w:rFonts w:ascii="黑体" w:eastAsia="黑体" w:cs="MS-UIGothic,Bold"/>
          <w:bCs/>
          <w:kern w:val="0"/>
          <w:sz w:val="52"/>
          <w:szCs w:val="52"/>
        </w:rPr>
      </w:pPr>
    </w:p>
    <w:p w14:paraId="3D76C864">
      <w:pPr>
        <w:widowControl/>
        <w:spacing w:line="560" w:lineRule="exact"/>
        <w:jc w:val="center"/>
        <w:rPr>
          <w:rFonts w:ascii="黑体" w:eastAsia="黑体" w:cs="MS-UIGothic,Bold"/>
          <w:bCs/>
          <w:kern w:val="0"/>
          <w:sz w:val="52"/>
          <w:szCs w:val="52"/>
        </w:rPr>
      </w:pPr>
    </w:p>
    <w:p w14:paraId="3B080C7D">
      <w:pPr>
        <w:widowControl/>
        <w:spacing w:line="560" w:lineRule="exact"/>
        <w:jc w:val="center"/>
        <w:rPr>
          <w:rFonts w:ascii="黑体" w:eastAsia="黑体" w:cs="MS-UIGothic,Bold"/>
          <w:bCs/>
          <w:kern w:val="0"/>
          <w:sz w:val="52"/>
          <w:szCs w:val="52"/>
        </w:rPr>
      </w:pPr>
    </w:p>
    <w:p w14:paraId="1FE09CCE">
      <w:pPr>
        <w:widowControl/>
        <w:spacing w:line="560" w:lineRule="exact"/>
        <w:jc w:val="center"/>
        <w:rPr>
          <w:rFonts w:ascii="黑体" w:eastAsia="黑体" w:cs="MS-UIGothic,Bold"/>
          <w:bCs/>
          <w:kern w:val="0"/>
          <w:sz w:val="52"/>
          <w:szCs w:val="52"/>
        </w:rPr>
      </w:pPr>
    </w:p>
    <w:p w14:paraId="78CB1382">
      <w:pPr>
        <w:widowControl/>
        <w:spacing w:line="560" w:lineRule="exact"/>
        <w:jc w:val="center"/>
        <w:rPr>
          <w:rFonts w:ascii="黑体" w:eastAsia="黑体" w:cs="MS-UIGothic,Bold"/>
          <w:bCs/>
          <w:kern w:val="0"/>
          <w:sz w:val="52"/>
          <w:szCs w:val="52"/>
        </w:rPr>
      </w:pPr>
    </w:p>
    <w:p w14:paraId="014C96C6">
      <w:pPr>
        <w:widowControl/>
        <w:spacing w:line="560" w:lineRule="exact"/>
        <w:jc w:val="center"/>
        <w:rPr>
          <w:rFonts w:ascii="黑体" w:eastAsia="黑体" w:cs="MS-UIGothic,Bold"/>
          <w:bCs/>
          <w:kern w:val="0"/>
          <w:sz w:val="52"/>
          <w:szCs w:val="52"/>
        </w:rPr>
      </w:pPr>
    </w:p>
    <w:p w14:paraId="2AF27A06">
      <w:pPr>
        <w:widowControl/>
        <w:spacing w:line="560" w:lineRule="exact"/>
        <w:jc w:val="center"/>
        <w:rPr>
          <w:rFonts w:ascii="黑体" w:eastAsia="黑体" w:cs="MS-UIGothic,Bold"/>
          <w:bCs/>
          <w:kern w:val="0"/>
          <w:sz w:val="52"/>
          <w:szCs w:val="52"/>
        </w:rPr>
      </w:pPr>
    </w:p>
    <w:p w14:paraId="50D2D48E">
      <w:pPr>
        <w:widowControl/>
        <w:spacing w:line="560" w:lineRule="exact"/>
        <w:jc w:val="center"/>
        <w:rPr>
          <w:rFonts w:ascii="黑体" w:eastAsia="黑体" w:cs="MS-UIGothic,Bold"/>
          <w:bCs/>
          <w:kern w:val="0"/>
          <w:sz w:val="52"/>
          <w:szCs w:val="52"/>
        </w:rPr>
      </w:pPr>
    </w:p>
    <w:p w14:paraId="1FAF9C76">
      <w:pPr>
        <w:widowControl/>
        <w:spacing w:line="560" w:lineRule="exact"/>
        <w:jc w:val="center"/>
        <w:rPr>
          <w:rFonts w:ascii="黑体" w:eastAsia="黑体" w:cs="MS-UIGothic,Bold"/>
          <w:bCs/>
          <w:kern w:val="0"/>
          <w:sz w:val="52"/>
          <w:szCs w:val="52"/>
        </w:rPr>
      </w:pPr>
    </w:p>
    <w:p w14:paraId="34B40AB0">
      <w:pPr>
        <w:widowControl/>
        <w:spacing w:line="560" w:lineRule="exact"/>
        <w:jc w:val="center"/>
        <w:rPr>
          <w:rFonts w:ascii="黑体" w:eastAsia="黑体" w:cs="MS-UIGothic,Bold"/>
          <w:bCs/>
          <w:kern w:val="0"/>
          <w:sz w:val="52"/>
          <w:szCs w:val="52"/>
        </w:rPr>
      </w:pPr>
    </w:p>
    <w:p w14:paraId="0CBF54F8">
      <w:pPr>
        <w:widowControl/>
        <w:spacing w:line="580" w:lineRule="exact"/>
        <w:ind w:firstLine="640"/>
        <w:rPr>
          <w:rFonts w:eastAsia="Times New Roman"/>
          <w:sz w:val="20"/>
          <w:szCs w:val="32"/>
        </w:rPr>
      </w:pPr>
      <w:r>
        <w:rPr>
          <w:rFonts w:hint="eastAsia" w:eastAsia="黑体"/>
          <w:sz w:val="32"/>
          <w:szCs w:val="32"/>
        </w:rPr>
        <w:t>第二部分</w:t>
      </w:r>
      <w:r>
        <w:rPr>
          <w:rFonts w:eastAsia="黑体"/>
          <w:sz w:val="32"/>
          <w:szCs w:val="32"/>
        </w:rPr>
        <w:t xml:space="preserve">   2018</w:t>
      </w:r>
      <w:r>
        <w:rPr>
          <w:rFonts w:hint="eastAsia" w:eastAsia="黑体"/>
          <w:sz w:val="32"/>
          <w:szCs w:val="32"/>
        </w:rPr>
        <w:t>年度部门决算报表</w:t>
      </w:r>
    </w:p>
    <w:p w14:paraId="2EE86C21">
      <w:pPr>
        <w:widowControl/>
        <w:spacing w:line="580" w:lineRule="exact"/>
        <w:ind w:left="640" w:firstLine="640"/>
        <w:rPr>
          <w:rFonts w:eastAsia="Times New Roman"/>
          <w:sz w:val="32"/>
          <w:szCs w:val="32"/>
        </w:rPr>
      </w:pPr>
      <w:r>
        <w:rPr>
          <w:rFonts w:hint="eastAsia" w:ascii="宋体" w:hAnsi="宋体" w:cs="宋体"/>
          <w:sz w:val="32"/>
          <w:szCs w:val="32"/>
        </w:rPr>
        <w:t>一、收入支出决算总表</w:t>
      </w:r>
    </w:p>
    <w:p w14:paraId="2910C85A">
      <w:pPr>
        <w:widowControl/>
        <w:spacing w:line="580" w:lineRule="exact"/>
        <w:ind w:left="640" w:firstLine="640"/>
        <w:rPr>
          <w:rFonts w:eastAsia="Times New Roman"/>
          <w:sz w:val="32"/>
          <w:szCs w:val="32"/>
        </w:rPr>
      </w:pPr>
      <w:r>
        <w:rPr>
          <w:rFonts w:hint="eastAsia" w:ascii="宋体" w:hAnsi="宋体" w:cs="宋体"/>
          <w:sz w:val="32"/>
          <w:szCs w:val="32"/>
        </w:rPr>
        <w:t>二、收入决算表</w:t>
      </w:r>
    </w:p>
    <w:p w14:paraId="34CFA802">
      <w:pPr>
        <w:widowControl/>
        <w:spacing w:line="580" w:lineRule="exact"/>
        <w:ind w:left="640" w:firstLine="640"/>
        <w:rPr>
          <w:rFonts w:eastAsia="Times New Roman"/>
          <w:sz w:val="32"/>
          <w:szCs w:val="32"/>
        </w:rPr>
      </w:pPr>
      <w:r>
        <w:rPr>
          <w:rFonts w:hint="eastAsia" w:ascii="宋体" w:hAnsi="宋体" w:cs="宋体"/>
          <w:sz w:val="32"/>
          <w:szCs w:val="32"/>
        </w:rPr>
        <w:t>三、支出决算表</w:t>
      </w:r>
    </w:p>
    <w:p w14:paraId="42E12E20">
      <w:pPr>
        <w:widowControl/>
        <w:spacing w:line="580" w:lineRule="exact"/>
        <w:ind w:left="640" w:firstLine="640"/>
        <w:rPr>
          <w:rFonts w:eastAsia="Times New Roman"/>
          <w:sz w:val="32"/>
          <w:szCs w:val="32"/>
        </w:rPr>
      </w:pPr>
      <w:r>
        <w:rPr>
          <w:rFonts w:hint="eastAsia" w:ascii="宋体" w:hAnsi="宋体" w:cs="宋体"/>
          <w:sz w:val="32"/>
          <w:szCs w:val="32"/>
        </w:rPr>
        <w:t>四、财政拨款收入支出决算总表</w:t>
      </w:r>
    </w:p>
    <w:p w14:paraId="3B7A50BD">
      <w:pPr>
        <w:widowControl/>
        <w:spacing w:line="580" w:lineRule="exact"/>
        <w:ind w:left="640" w:firstLine="640"/>
        <w:rPr>
          <w:rFonts w:eastAsia="Times New Roman"/>
          <w:sz w:val="32"/>
          <w:szCs w:val="32"/>
        </w:rPr>
      </w:pPr>
      <w:r>
        <w:rPr>
          <w:rFonts w:hint="eastAsia" w:ascii="宋体" w:hAnsi="宋体" w:cs="宋体"/>
          <w:sz w:val="32"/>
          <w:szCs w:val="32"/>
        </w:rPr>
        <w:t>五、一般公共预算财政拨款支出决算表</w:t>
      </w:r>
    </w:p>
    <w:p w14:paraId="404ACD93">
      <w:pPr>
        <w:widowControl/>
        <w:spacing w:line="580" w:lineRule="exact"/>
        <w:ind w:left="640" w:firstLine="640"/>
        <w:rPr>
          <w:rFonts w:eastAsia="Times New Roman"/>
          <w:sz w:val="32"/>
          <w:szCs w:val="32"/>
        </w:rPr>
      </w:pPr>
      <w:r>
        <w:rPr>
          <w:rFonts w:hint="eastAsia" w:ascii="宋体" w:hAnsi="宋体" w:cs="宋体"/>
          <w:sz w:val="32"/>
          <w:szCs w:val="32"/>
        </w:rPr>
        <w:t>六、一般公共预算财政拨款基本支出决算表</w:t>
      </w:r>
    </w:p>
    <w:p w14:paraId="620690C1">
      <w:pPr>
        <w:widowControl/>
        <w:spacing w:line="580" w:lineRule="exact"/>
        <w:ind w:left="640" w:firstLine="640"/>
        <w:rPr>
          <w:rFonts w:eastAsia="Times New Roman"/>
          <w:sz w:val="32"/>
          <w:szCs w:val="32"/>
        </w:rPr>
      </w:pPr>
      <w:r>
        <w:rPr>
          <w:rFonts w:hint="eastAsia" w:ascii="宋体" w:hAnsi="宋体" w:cs="宋体"/>
          <w:sz w:val="32"/>
          <w:szCs w:val="32"/>
        </w:rPr>
        <w:t>七、一般公共预算财政拨款</w:t>
      </w:r>
      <w:r>
        <w:rPr>
          <w:rFonts w:eastAsia="Times New Roman"/>
          <w:sz w:val="32"/>
          <w:szCs w:val="32"/>
        </w:rPr>
        <w:t>“</w:t>
      </w:r>
      <w:r>
        <w:rPr>
          <w:rFonts w:hint="eastAsia" w:ascii="宋体" w:hAnsi="宋体" w:cs="宋体"/>
          <w:sz w:val="32"/>
          <w:szCs w:val="32"/>
        </w:rPr>
        <w:t>三公</w:t>
      </w:r>
      <w:r>
        <w:rPr>
          <w:rFonts w:eastAsia="Times New Roman"/>
          <w:sz w:val="32"/>
          <w:szCs w:val="32"/>
        </w:rPr>
        <w:t>”</w:t>
      </w:r>
      <w:r>
        <w:rPr>
          <w:rFonts w:hint="eastAsia" w:ascii="宋体" w:hAnsi="宋体" w:cs="宋体"/>
          <w:sz w:val="32"/>
          <w:szCs w:val="32"/>
        </w:rPr>
        <w:t>经费支出决算表</w:t>
      </w:r>
    </w:p>
    <w:p w14:paraId="1BFB8D3F">
      <w:pPr>
        <w:widowControl/>
        <w:spacing w:line="580" w:lineRule="exact"/>
        <w:ind w:left="640" w:firstLine="640"/>
        <w:rPr>
          <w:rFonts w:eastAsia="Times New Roman"/>
          <w:sz w:val="32"/>
          <w:szCs w:val="32"/>
        </w:rPr>
      </w:pPr>
      <w:r>
        <w:rPr>
          <w:rFonts w:hint="eastAsia" w:ascii="宋体" w:hAnsi="宋体" w:cs="宋体"/>
          <w:sz w:val="32"/>
          <w:szCs w:val="32"/>
        </w:rPr>
        <w:t>八、政府性基金预算财政拨款收入支出决算表</w:t>
      </w:r>
    </w:p>
    <w:p w14:paraId="39AA58DF">
      <w:pPr>
        <w:widowControl/>
        <w:spacing w:line="580" w:lineRule="exact"/>
        <w:ind w:left="640" w:firstLine="640"/>
        <w:rPr>
          <w:rFonts w:eastAsia="Times New Roman"/>
          <w:sz w:val="32"/>
          <w:szCs w:val="32"/>
        </w:rPr>
      </w:pPr>
      <w:r>
        <w:rPr>
          <w:rFonts w:hint="eastAsia" w:ascii="宋体" w:hAnsi="宋体" w:cs="宋体"/>
          <w:sz w:val="32"/>
          <w:szCs w:val="32"/>
        </w:rPr>
        <w:t>九、国有资本经营预算财政拨款支出决算表</w:t>
      </w:r>
    </w:p>
    <w:p w14:paraId="0E6C7F42">
      <w:pPr>
        <w:widowControl/>
        <w:spacing w:line="580" w:lineRule="exact"/>
        <w:ind w:left="640" w:firstLine="640"/>
        <w:rPr>
          <w:rFonts w:eastAsia="Times New Roman"/>
          <w:sz w:val="32"/>
          <w:szCs w:val="32"/>
        </w:rPr>
      </w:pPr>
      <w:r>
        <w:rPr>
          <w:rFonts w:hint="eastAsia" w:ascii="宋体" w:hAnsi="宋体" w:cs="宋体"/>
          <w:sz w:val="32"/>
          <w:szCs w:val="32"/>
        </w:rPr>
        <w:t>十、政府采购情况表</w:t>
      </w:r>
    </w:p>
    <w:p w14:paraId="3EA10987">
      <w:pPr>
        <w:rPr>
          <w:rFonts w:ascii="宋体" w:cs="ArialUnicodeMS"/>
          <w:color w:val="000000"/>
          <w:kern w:val="0"/>
        </w:rPr>
      </w:pPr>
    </w:p>
    <w:p w14:paraId="4F5C9A8A">
      <w:pPr>
        <w:tabs>
          <w:tab w:val="left" w:pos="1086"/>
        </w:tabs>
        <w:jc w:val="left"/>
        <w:rPr>
          <w:rFonts w:ascii="FangSong_GB2312" w:eastAsia="Times New Roman"/>
          <w:b/>
          <w:sz w:val="28"/>
          <w:szCs w:val="28"/>
          <w:highlight w:val="yellow"/>
        </w:rPr>
        <w:sectPr>
          <w:pgSz w:w="11906" w:h="16838"/>
          <w:pgMar w:top="2098" w:right="1474" w:bottom="1984" w:left="1588" w:header="851" w:footer="992" w:gutter="0"/>
          <w:cols w:space="720" w:num="1"/>
          <w:docGrid w:type="lines" w:linePitch="312" w:charSpace="0"/>
        </w:sectPr>
      </w:pPr>
      <w:r>
        <w:tab/>
      </w:r>
    </w:p>
    <w:p w14:paraId="76B7A17A">
      <w:pPr>
        <w:widowControl/>
        <w:spacing w:line="1200" w:lineRule="exact"/>
        <w:jc w:val="center"/>
        <w:rPr>
          <w:rFonts w:ascii="黑体" w:eastAsia="黑体"/>
          <w:color w:val="000000"/>
          <w:sz w:val="96"/>
          <w:szCs w:val="96"/>
        </w:rPr>
      </w:pPr>
    </w:p>
    <w:p w14:paraId="16C7673D">
      <w:pPr>
        <w:widowControl/>
        <w:spacing w:line="1200" w:lineRule="exact"/>
        <w:jc w:val="center"/>
        <w:rPr>
          <w:rFonts w:ascii="黑体" w:eastAsia="黑体"/>
          <w:color w:val="000000"/>
          <w:sz w:val="96"/>
          <w:szCs w:val="96"/>
        </w:rPr>
      </w:pPr>
    </w:p>
    <w:p w14:paraId="57173D73">
      <w:pPr>
        <w:widowControl/>
        <w:spacing w:line="1200" w:lineRule="exact"/>
        <w:jc w:val="center"/>
        <w:rPr>
          <w:rFonts w:ascii="黑体" w:eastAsia="黑体"/>
          <w:color w:val="000000"/>
          <w:sz w:val="96"/>
          <w:szCs w:val="96"/>
        </w:rPr>
      </w:pPr>
    </w:p>
    <w:p w14:paraId="7468C3DE">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14:paraId="4B09BBC6">
      <w:pPr>
        <w:widowControl/>
        <w:spacing w:line="1200" w:lineRule="exact"/>
        <w:jc w:val="center"/>
        <w:rPr>
          <w:color w:val="000000"/>
          <w:sz w:val="72"/>
          <w:szCs w:val="72"/>
        </w:rPr>
      </w:pPr>
      <w:r>
        <w:rPr>
          <w:rFonts w:hint="eastAsia" w:ascii="黑体" w:eastAsia="黑体"/>
          <w:color w:val="000000"/>
          <w:sz w:val="72"/>
          <w:szCs w:val="72"/>
        </w:rPr>
        <w:t>部门决算情况说明</w:t>
      </w:r>
    </w:p>
    <w:p w14:paraId="3944A1E4">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14:paraId="541F25EA">
      <w:pPr>
        <w:pStyle w:val="3"/>
        <w:spacing w:before="0" w:after="0" w:line="580" w:lineRule="exact"/>
        <w:ind w:firstLine="64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14:paraId="1B46F69B">
      <w:pPr>
        <w:adjustRightInd w:val="0"/>
        <w:snapToGrid w:val="0"/>
        <w:spacing w:after="0" w:line="580" w:lineRule="exact"/>
        <w:ind w:firstLine="640"/>
        <w:rPr>
          <w:rFonts w:ascii="FangSong_GB2312" w:eastAsia="Times New Roman" w:cs="DengXian-Regular"/>
          <w:sz w:val="32"/>
          <w:szCs w:val="32"/>
        </w:rPr>
      </w:pPr>
      <w:r>
        <w:rPr>
          <w:rFonts w:ascii="FangSong_GB2312" w:eastAsia="Times New Roman" w:cs="DengXian-Regular"/>
          <w:sz w:val="32"/>
          <w:szCs w:val="32"/>
        </w:rPr>
        <w:t>廊坊市广阳区广播电视台2018年度决算收入总计397.91万元，决算支出总计403.23万元。与2017年相比，决算收支总计分别增加103.3万元和108.62万元，增长35.1%和36.9%，主要原因是较上年增加了人员养老保险支出、工资增长福利项目。</w:t>
      </w:r>
    </w:p>
    <w:p w14:paraId="507605F6">
      <w:pPr>
        <w:pStyle w:val="3"/>
        <w:spacing w:before="0" w:after="0" w:line="580" w:lineRule="exact"/>
        <w:ind w:firstLine="640"/>
        <w:rPr>
          <w:rFonts w:ascii="黑体" w:eastAsia="黑体"/>
          <w:b w:val="0"/>
          <w:bCs w:val="0"/>
        </w:rPr>
      </w:pPr>
      <w:r>
        <w:rPr>
          <w:rFonts w:hint="eastAsia" w:ascii="黑体" w:eastAsia="黑体"/>
          <w:b w:val="0"/>
          <w:bCs w:val="0"/>
        </w:rPr>
        <w:t>二、收入决算情况说明</w:t>
      </w:r>
    </w:p>
    <w:p w14:paraId="023AA812">
      <w:pPr>
        <w:adjustRightInd w:val="0"/>
        <w:snapToGrid w:val="0"/>
        <w:spacing w:after="0" w:line="580" w:lineRule="exact"/>
        <w:ind w:firstLine="640"/>
        <w:rPr>
          <w:rFonts w:ascii="FangSong_GB2312" w:eastAsia="Times New Roman" w:cs="DengXian-Regular"/>
          <w:sz w:val="32"/>
          <w:szCs w:val="32"/>
        </w:rPr>
      </w:pPr>
      <w:r>
        <w:rPr>
          <w:rFonts w:ascii="FangSong_GB2312" w:eastAsia="Times New Roman" w:cs="DengXian-Regular"/>
          <w:sz w:val="32"/>
          <w:szCs w:val="32"/>
        </w:rPr>
        <w:t>廊坊市广阳区广播电视台2018年度本年收入合计340.64万元，其中：财政拨款收入340.64万元，占85.6%；事业收入0万元，占0%；经营收入0万元，占0%；其他收入57.27万元，占14.4%。</w:t>
      </w:r>
    </w:p>
    <w:p w14:paraId="47997468">
      <w:pPr>
        <w:pStyle w:val="3"/>
        <w:spacing w:before="0" w:after="0" w:line="580" w:lineRule="exact"/>
        <w:ind w:firstLine="640"/>
        <w:rPr>
          <w:rFonts w:ascii="黑体" w:eastAsia="黑体"/>
          <w:b w:val="0"/>
          <w:bCs w:val="0"/>
        </w:rPr>
      </w:pPr>
      <w:r>
        <w:rPr>
          <w:rFonts w:hint="eastAsia" w:ascii="黑体" w:eastAsia="黑体"/>
          <w:b w:val="0"/>
          <w:bCs w:val="0"/>
        </w:rPr>
        <w:t>三、支出决算情况说明</w:t>
      </w:r>
    </w:p>
    <w:p w14:paraId="77775679">
      <w:pPr>
        <w:adjustRightInd w:val="0"/>
        <w:snapToGrid w:val="0"/>
        <w:spacing w:after="0" w:line="580" w:lineRule="exact"/>
        <w:ind w:firstLine="640"/>
        <w:rPr>
          <w:rFonts w:ascii="FangSong_GB2312" w:eastAsia="Times New Roman" w:cs="DengXian-Regular"/>
          <w:sz w:val="32"/>
          <w:szCs w:val="32"/>
        </w:rPr>
      </w:pPr>
      <w:r>
        <w:rPr>
          <w:rFonts w:ascii="FangSong_GB2312" w:eastAsia="Times New Roman" w:cs="DengXian-Regular"/>
          <w:sz w:val="32"/>
          <w:szCs w:val="32"/>
        </w:rPr>
        <w:t>廊坊市广阳区广播电视台2018年度本年支出合计397.88万元，其中：基本支出397.88万元，占100%；项目支出0万元，占0%；经营支出0万元，占0%。</w:t>
      </w:r>
    </w:p>
    <w:p w14:paraId="460AF462">
      <w:pPr>
        <w:pStyle w:val="3"/>
        <w:spacing w:before="0" w:after="0" w:line="580" w:lineRule="exact"/>
        <w:ind w:firstLine="64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14:paraId="4E10BC6A">
      <w:pPr>
        <w:spacing w:after="0" w:line="580" w:lineRule="exact"/>
        <w:ind w:firstLine="643"/>
        <w:rPr>
          <w:rFonts w:ascii="KaiTi_GB2312" w:eastAsia="Times New Roman" w:cs="DengXian-Bold"/>
          <w:b/>
          <w:bCs/>
          <w:sz w:val="32"/>
          <w:szCs w:val="32"/>
        </w:rPr>
      </w:pPr>
      <w:r>
        <w:rPr>
          <w:rFonts w:ascii="KaiTi_GB2312" w:eastAsia="Times New Roman" w:cs="DengXian-Bold"/>
          <w:b/>
          <w:bCs/>
          <w:sz w:val="32"/>
          <w:szCs w:val="32"/>
        </w:rPr>
        <w:t>（一）财政拨款收支与2017 年度决算对比情况</w:t>
      </w:r>
    </w:p>
    <w:p w14:paraId="3E66B253">
      <w:pPr>
        <w:widowControl/>
        <w:ind w:firstLine="640"/>
        <w:rPr>
          <w:rFonts w:ascii="FangSong_GB2312" w:eastAsia="Times New Roman" w:cs="DengXian-Regular"/>
          <w:sz w:val="32"/>
          <w:szCs w:val="32"/>
        </w:rPr>
      </w:pPr>
      <w:r>
        <w:rPr>
          <w:rFonts w:ascii="FangSong_GB2312" w:eastAsia="Times New Roman" w:cs="DengXian-Regular"/>
          <w:sz w:val="32"/>
          <w:szCs w:val="32"/>
        </w:rPr>
        <w:t>廊坊市广阳区广播电视台2018年度财政拨款收入决算总计340.64万元，财政拨款支出决算总计345.95万元。与2017年相比，收入增加67.15万元、支出增加77.78万元，分别增加24.6%、29%，主要是较上年增加了人员工资福利收入与支出、单位办公楼修缮等原因。与2018年初预算相比，增加41.51万元，增加了13.8%，主要是由于人员调资及工资福利支出等原因。</w:t>
      </w:r>
    </w:p>
    <w:p w14:paraId="0F0F4F65">
      <w:pPr>
        <w:spacing w:after="0" w:line="580" w:lineRule="exact"/>
        <w:rPr>
          <w:rFonts w:ascii="FangSong_GB2312" w:eastAsia="Times New Roman" w:cs="DengXian-Bold"/>
          <w:b/>
          <w:bCs/>
          <w:sz w:val="32"/>
          <w:szCs w:val="32"/>
        </w:rPr>
      </w:pPr>
      <w:r>
        <w:rPr>
          <w:rFonts w:ascii="KaiTi_GB2312" w:eastAsia="Times New Roman" w:cs="DengXian-Bold"/>
          <w:b/>
          <w:bCs/>
          <w:sz w:val="32"/>
          <w:szCs w:val="32"/>
        </w:rPr>
        <w:t>（二）财政拨款收支与年初预算数对比情况</w:t>
      </w:r>
    </w:p>
    <w:p w14:paraId="41898EC7">
      <w:pPr>
        <w:adjustRightInd w:val="0"/>
        <w:snapToGrid w:val="0"/>
        <w:spacing w:after="0" w:line="580" w:lineRule="exact"/>
        <w:ind w:firstLine="640"/>
        <w:rPr>
          <w:rFonts w:ascii="FangSong_GB2312" w:eastAsia="Times New Roman" w:cs="DengXian-Regular"/>
          <w:sz w:val="32"/>
          <w:szCs w:val="32"/>
        </w:rPr>
      </w:pPr>
      <w:r>
        <w:rPr>
          <w:rFonts w:ascii="FangSong_GB2312" w:eastAsia="Times New Roman" w:cs="DengXian-Regular"/>
          <w:sz w:val="32"/>
          <w:szCs w:val="32"/>
        </w:rPr>
        <w:t>廊坊市广阳区广播电视台2018年度一般公共预算财政拨款收入340.64万元，完成年初预算的113.87%,比年初预算增加41.51万元，决算数大于预算数，主要原因是人员调资及工资福利支出等原因；本年支出345.95万元，完成年初预算的115.58%,比年初预算增加46.82万元，决算数大于预算数，主要原因是工资福利支出及装修费用增加。</w:t>
      </w:r>
    </w:p>
    <w:p w14:paraId="7608B4DC">
      <w:pPr>
        <w:numPr>
          <w:ilvl w:val="0"/>
          <w:numId w:val="1"/>
        </w:numPr>
        <w:adjustRightInd w:val="0"/>
        <w:snapToGrid w:val="0"/>
        <w:spacing w:after="0" w:line="580" w:lineRule="exact"/>
        <w:ind w:left="420"/>
        <w:rPr>
          <w:rFonts w:ascii="KaiTi_GB2312" w:eastAsia="Times New Roman" w:cs="DengXian-Bold"/>
          <w:b/>
          <w:bCs/>
          <w:sz w:val="32"/>
          <w:szCs w:val="32"/>
        </w:rPr>
      </w:pPr>
      <w:r>
        <w:rPr>
          <w:rFonts w:ascii="KaiTi_GB2312" w:eastAsia="Times New Roman" w:cs="DengXian-Bold"/>
          <w:b/>
          <w:bCs/>
          <w:sz w:val="32"/>
          <w:szCs w:val="32"/>
        </w:rPr>
        <w:t>财政拨款支出决算结构情况。</w:t>
      </w:r>
    </w:p>
    <w:p w14:paraId="3D65D7C1">
      <w:pPr>
        <w:adjustRightInd w:val="0"/>
        <w:snapToGrid w:val="0"/>
        <w:spacing w:after="0" w:line="580" w:lineRule="exact"/>
        <w:ind w:firstLine="640"/>
        <w:rPr>
          <w:rFonts w:ascii="FangSong_GB2312" w:eastAsia="Times New Roman" w:cs="DengXian-Regular"/>
          <w:sz w:val="32"/>
          <w:szCs w:val="32"/>
        </w:rPr>
      </w:pPr>
      <w:r>
        <w:rPr>
          <w:rFonts w:ascii="FangSong_GB2312" w:eastAsia="Times New Roman" w:cs="DengXian-Regular"/>
          <w:sz w:val="32"/>
          <w:szCs w:val="32"/>
        </w:rPr>
        <w:t>廊坊市广阳区广播电视台2018 年度财政拨款支出340.6万元，主要用于以下方面：文化体育与传媒支出340.6万元，占100%。</w:t>
      </w:r>
    </w:p>
    <w:p w14:paraId="6AED5C2C">
      <w:pPr>
        <w:adjustRightInd w:val="0"/>
        <w:snapToGrid w:val="0"/>
        <w:spacing w:after="0" w:line="580" w:lineRule="exact"/>
        <w:ind w:left="420"/>
        <w:rPr>
          <w:rFonts w:ascii="KaiTi_GB2312" w:eastAsia="Times New Roman" w:cs="DengXian-Bold"/>
          <w:b/>
          <w:bCs/>
          <w:sz w:val="32"/>
          <w:szCs w:val="32"/>
        </w:rPr>
      </w:pPr>
      <w:r>
        <w:rPr>
          <w:rFonts w:ascii="KaiTi_GB2312" w:eastAsia="Times New Roman" w:cs="DengXian-Bold"/>
          <w:b/>
          <w:bCs/>
          <w:sz w:val="32"/>
          <w:szCs w:val="32"/>
        </w:rPr>
        <w:t>（四）一般公共预算财政拨款基本支出决算情况说明</w:t>
      </w:r>
    </w:p>
    <w:p w14:paraId="0C656324">
      <w:pPr>
        <w:adjustRightInd w:val="0"/>
        <w:snapToGrid w:val="0"/>
        <w:spacing w:after="0" w:line="580" w:lineRule="exact"/>
        <w:ind w:firstLine="640"/>
        <w:rPr>
          <w:rFonts w:ascii="FangSong_GB2312" w:eastAsia="Times New Roman" w:cs="DengXian-Regular"/>
          <w:sz w:val="32"/>
          <w:szCs w:val="32"/>
        </w:rPr>
      </w:pPr>
      <w:r>
        <w:rPr>
          <w:rFonts w:ascii="FangSong_GB2312" w:eastAsia="Times New Roman" w:cs="DengXian-Regular"/>
          <w:sz w:val="32"/>
          <w:szCs w:val="32"/>
        </w:rPr>
        <w:t>2018 年度一般公共预算财政拨款基本支出3</w:t>
      </w:r>
      <w:r>
        <w:rPr>
          <w:rFonts w:ascii="宋体" w:cs="宋体"/>
          <w:sz w:val="32"/>
          <w:szCs w:val="32"/>
        </w:rPr>
        <w:t>40.6</w:t>
      </w:r>
      <w:r>
        <w:rPr>
          <w:rFonts w:ascii="FangSong_GB2312" w:eastAsia="Times New Roman" w:cs="DengXian-Regular"/>
          <w:sz w:val="32"/>
          <w:szCs w:val="32"/>
        </w:rPr>
        <w:t>万元，其中：人员经费 311</w:t>
      </w:r>
      <w:r>
        <w:rPr>
          <w:rFonts w:ascii="宋体" w:cs="宋体"/>
          <w:sz w:val="32"/>
          <w:szCs w:val="32"/>
        </w:rPr>
        <w:t>.68</w:t>
      </w:r>
      <w:r>
        <w:rPr>
          <w:rFonts w:ascii="FangSong_GB2312" w:eastAsia="Times New Roman"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28.92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14:paraId="0B125011">
      <w:pPr>
        <w:pStyle w:val="3"/>
        <w:spacing w:before="0" w:after="0" w:line="580" w:lineRule="exact"/>
        <w:ind w:firstLine="640"/>
        <w:rPr>
          <w:rFonts w:ascii="黑体" w:eastAsia="黑体"/>
          <w:b w:val="0"/>
          <w:bCs w:val="0"/>
        </w:rPr>
      </w:pPr>
      <w:r>
        <w:rPr>
          <w:rFonts w:hint="eastAsia" w:ascii="黑体" w:eastAsia="黑体"/>
          <w:b w:val="0"/>
          <w:bCs w:val="0"/>
        </w:rPr>
        <w:t>五、一般公共预算财政拨款“三公”</w:t>
      </w:r>
      <w:r>
        <w:rPr>
          <w:rFonts w:ascii="黑体" w:eastAsia="黑体"/>
          <w:b w:val="0"/>
          <w:bCs w:val="0"/>
        </w:rPr>
        <w:t xml:space="preserve"> </w:t>
      </w:r>
      <w:r>
        <w:rPr>
          <w:rFonts w:hint="eastAsia" w:ascii="黑体" w:eastAsia="黑体"/>
          <w:b w:val="0"/>
          <w:bCs w:val="0"/>
        </w:rPr>
        <w:t>经费支出决算情况说明</w:t>
      </w:r>
    </w:p>
    <w:p w14:paraId="534A8F51">
      <w:pPr>
        <w:adjustRightInd w:val="0"/>
        <w:snapToGrid w:val="0"/>
        <w:spacing w:line="584" w:lineRule="exact"/>
        <w:ind w:firstLine="640"/>
        <w:rPr>
          <w:rFonts w:ascii="FangSong_GB2312" w:eastAsia="Times New Roman" w:cs="DengXian-Regular"/>
          <w:sz w:val="32"/>
          <w:szCs w:val="32"/>
        </w:rPr>
      </w:pPr>
      <w:r>
        <w:rPr>
          <w:rFonts w:ascii="FangSong_GB2312" w:eastAsia="Times New Roman" w:cs="DengXian-Regular"/>
          <w:sz w:val="32"/>
          <w:szCs w:val="32"/>
        </w:rPr>
        <w:t>廊坊市广阳区广播电视台2018年度一般公共预算财政拨款“三公”经费支出共计1.99万元，比年初预算减少0.31万元，减少13.48%，主要原因是我单位认真落实中央八项规定精神和厉行节约要求，管理制度不断完善，“三公”经费支出得到了有效控制。2017年度决算增加0.63万元，增长46.32%，主要原因是车辆达到报废年限、维修成本增高。具体情况如下：</w:t>
      </w:r>
    </w:p>
    <w:p w14:paraId="1942B8F1">
      <w:pPr>
        <w:adjustRightInd w:val="0"/>
        <w:snapToGrid w:val="0"/>
        <w:spacing w:line="584" w:lineRule="exact"/>
        <w:ind w:firstLine="643"/>
        <w:rPr>
          <w:rFonts w:eastAsia="FangSong_GB2312"/>
          <w:sz w:val="32"/>
          <w:szCs w:val="32"/>
          <w:highlight w:val="yellow"/>
        </w:rPr>
      </w:pPr>
      <w:r>
        <w:rPr>
          <w:rFonts w:hint="eastAsia" w:ascii="宋体" w:hAnsi="宋体" w:cs="宋体"/>
          <w:b/>
          <w:bCs/>
          <w:sz w:val="32"/>
          <w:szCs w:val="32"/>
        </w:rPr>
        <w:t>（一）因公出国（境）费支出</w:t>
      </w:r>
      <w:r>
        <w:rPr>
          <w:rFonts w:eastAsia="Times New Roman"/>
          <w:b/>
          <w:bCs/>
          <w:sz w:val="32"/>
          <w:szCs w:val="32"/>
        </w:rPr>
        <w:t>0</w:t>
      </w:r>
      <w:r>
        <w:rPr>
          <w:rFonts w:hint="eastAsia" w:ascii="宋体" w:hAnsi="宋体" w:cs="宋体"/>
          <w:b/>
          <w:bCs/>
          <w:sz w:val="32"/>
          <w:szCs w:val="32"/>
        </w:rPr>
        <w:t>万元。</w:t>
      </w:r>
      <w:r>
        <w:rPr>
          <w:rFonts w:eastAsia="FangSong_GB2312"/>
          <w:sz w:val="32"/>
          <w:szCs w:val="32"/>
        </w:rPr>
        <w:t>本部门201</w:t>
      </w:r>
      <w:r>
        <w:rPr>
          <w:rFonts w:hint="eastAsia" w:eastAsia="FangSong_GB2312"/>
          <w:sz w:val="32"/>
          <w:szCs w:val="32"/>
        </w:rPr>
        <w:t>8</w:t>
      </w:r>
      <w:r>
        <w:rPr>
          <w:rFonts w:eastAsia="FangSong_GB2312"/>
          <w:sz w:val="32"/>
          <w:szCs w:val="32"/>
        </w:rPr>
        <w:t>年度</w:t>
      </w:r>
      <w:r>
        <w:rPr>
          <w:rFonts w:hint="eastAsia" w:ascii="FangSong_GB2312" w:eastAsia="FangSong_GB2312" w:cs="DengXian-Regular"/>
          <w:sz w:val="32"/>
          <w:szCs w:val="32"/>
        </w:rPr>
        <w:t>因公出国（境）团组0个、共0人/参加其他单位组织的因公出国（境）团组0个、共0人/无本单位组织的出国（境）团组。</w:t>
      </w:r>
      <w:r>
        <w:rPr>
          <w:rFonts w:eastAsia="FangSong_GB2312"/>
          <w:sz w:val="32"/>
          <w:szCs w:val="32"/>
        </w:rPr>
        <w:t>因公出国（境）费支出</w:t>
      </w:r>
      <w:r>
        <w:rPr>
          <w:rFonts w:hint="eastAsia" w:eastAsia="FangSong_GB2312"/>
          <w:sz w:val="32"/>
          <w:szCs w:val="32"/>
        </w:rPr>
        <w:t>比</w:t>
      </w:r>
      <w:r>
        <w:rPr>
          <w:rFonts w:eastAsia="FangSong_GB2312"/>
          <w:sz w:val="32"/>
          <w:szCs w:val="32"/>
        </w:rPr>
        <w:t>年初预算增加</w:t>
      </w:r>
      <w:r>
        <w:rPr>
          <w:rFonts w:hint="eastAsia" w:eastAsia="FangSong_GB2312"/>
          <w:sz w:val="32"/>
          <w:szCs w:val="32"/>
        </w:rPr>
        <w:t>0</w:t>
      </w:r>
      <w:r>
        <w:rPr>
          <w:rFonts w:eastAsia="FangSong_GB2312"/>
          <w:sz w:val="32"/>
          <w:szCs w:val="32"/>
        </w:rPr>
        <w:t>万元，增长</w:t>
      </w:r>
      <w:r>
        <w:rPr>
          <w:rFonts w:hint="eastAsia" w:eastAsia="FangSong_GB2312"/>
          <w:sz w:val="32"/>
          <w:szCs w:val="32"/>
        </w:rPr>
        <w:t>0</w:t>
      </w:r>
      <w:r>
        <w:rPr>
          <w:rFonts w:eastAsia="FangSong_GB2312"/>
          <w:sz w:val="32"/>
          <w:szCs w:val="32"/>
        </w:rPr>
        <w:t>%，主要是</w:t>
      </w:r>
      <w:r>
        <w:rPr>
          <w:rFonts w:hint="eastAsia" w:eastAsia="FangSong_GB2312"/>
          <w:sz w:val="32"/>
          <w:szCs w:val="32"/>
        </w:rPr>
        <w:t>未发生因公出国境支出;比</w:t>
      </w:r>
      <w:r>
        <w:rPr>
          <w:rFonts w:eastAsia="FangSong_GB2312"/>
          <w:sz w:val="32"/>
          <w:szCs w:val="32"/>
        </w:rPr>
        <w:t>201</w:t>
      </w:r>
      <w:r>
        <w:rPr>
          <w:rFonts w:hint="eastAsia" w:eastAsia="FangSong_GB2312"/>
          <w:sz w:val="32"/>
          <w:szCs w:val="32"/>
        </w:rPr>
        <w:t>7</w:t>
      </w:r>
      <w:r>
        <w:rPr>
          <w:rFonts w:eastAsia="FangSong_GB2312"/>
          <w:sz w:val="32"/>
          <w:szCs w:val="32"/>
        </w:rPr>
        <w:t>年度决算增加</w:t>
      </w:r>
      <w:r>
        <w:rPr>
          <w:rFonts w:hint="eastAsia" w:eastAsia="FangSong_GB2312"/>
          <w:sz w:val="32"/>
          <w:szCs w:val="32"/>
        </w:rPr>
        <w:t>0</w:t>
      </w:r>
      <w:r>
        <w:rPr>
          <w:rFonts w:eastAsia="FangSong_GB2312"/>
          <w:sz w:val="32"/>
          <w:szCs w:val="32"/>
        </w:rPr>
        <w:t>万元，增长</w:t>
      </w:r>
      <w:r>
        <w:rPr>
          <w:rFonts w:hint="eastAsia" w:eastAsia="FangSong_GB2312"/>
          <w:sz w:val="32"/>
          <w:szCs w:val="32"/>
        </w:rPr>
        <w:t>0</w:t>
      </w:r>
      <w:r>
        <w:rPr>
          <w:rFonts w:eastAsia="FangSong_GB2312"/>
          <w:sz w:val="32"/>
          <w:szCs w:val="32"/>
        </w:rPr>
        <w:t>%，主要是</w:t>
      </w:r>
      <w:r>
        <w:rPr>
          <w:rFonts w:hint="eastAsia" w:eastAsia="FangSong_GB2312"/>
          <w:sz w:val="32"/>
          <w:szCs w:val="32"/>
        </w:rPr>
        <w:t>未发生因公出国境支出</w:t>
      </w:r>
      <w:r>
        <w:rPr>
          <w:rFonts w:eastAsia="FangSong_GB2312"/>
          <w:sz w:val="32"/>
          <w:szCs w:val="32"/>
        </w:rPr>
        <w:t>。</w:t>
      </w:r>
    </w:p>
    <w:p w14:paraId="469E0AA9">
      <w:pPr>
        <w:adjustRightInd w:val="0"/>
        <w:snapToGrid w:val="0"/>
        <w:spacing w:line="584" w:lineRule="exact"/>
        <w:ind w:firstLine="643"/>
        <w:rPr>
          <w:rFonts w:eastAsia="Times New Roman"/>
          <w:b/>
          <w:bCs/>
          <w:sz w:val="32"/>
          <w:szCs w:val="32"/>
        </w:rPr>
      </w:pPr>
      <w:r>
        <w:rPr>
          <w:rFonts w:hint="eastAsia" w:ascii="宋体" w:hAnsi="宋体" w:cs="宋体"/>
          <w:b/>
          <w:bCs/>
          <w:sz w:val="32"/>
          <w:szCs w:val="32"/>
        </w:rPr>
        <w:t>（二）公务用车购置及运行维护费支出</w:t>
      </w:r>
      <w:r>
        <w:rPr>
          <w:rFonts w:eastAsia="Times New Roman"/>
          <w:b/>
          <w:bCs/>
          <w:sz w:val="32"/>
          <w:szCs w:val="32"/>
        </w:rPr>
        <w:t>1.99</w:t>
      </w:r>
      <w:r>
        <w:rPr>
          <w:rFonts w:hint="eastAsia" w:ascii="宋体" w:hAnsi="宋体" w:cs="宋体"/>
          <w:b/>
          <w:bCs/>
          <w:sz w:val="32"/>
          <w:szCs w:val="32"/>
        </w:rPr>
        <w:t>万元。</w:t>
      </w:r>
      <w:r>
        <w:rPr>
          <w:rFonts w:ascii="FangSong_GB2312" w:eastAsia="Times New Roman" w:cs="DengXian-Regular"/>
          <w:sz w:val="32"/>
          <w:szCs w:val="32"/>
        </w:rPr>
        <w:t>廊坊市广阳区广播电视台2018年度公务用车购置及运行维护费比年初预算</w:t>
      </w:r>
      <w:r>
        <w:rPr>
          <w:rFonts w:hint="eastAsia" w:ascii="宋体" w:hAnsi="宋体" w:cs="宋体"/>
          <w:sz w:val="32"/>
          <w:szCs w:val="32"/>
        </w:rPr>
        <w:t>减少</w:t>
      </w:r>
      <w:r>
        <w:rPr>
          <w:rFonts w:eastAsia="Times New Roman"/>
          <w:sz w:val="32"/>
          <w:szCs w:val="32"/>
        </w:rPr>
        <w:t>0.63</w:t>
      </w:r>
      <w:r>
        <w:rPr>
          <w:rFonts w:hint="eastAsia" w:ascii="宋体" w:hAnsi="宋体" w:cs="宋体"/>
          <w:sz w:val="32"/>
          <w:szCs w:val="32"/>
        </w:rPr>
        <w:t>万元</w:t>
      </w:r>
      <w:r>
        <w:rPr>
          <w:rFonts w:ascii="FangSong_GB2312" w:eastAsia="Times New Roman" w:cs="DengXian-Regular"/>
          <w:sz w:val="32"/>
          <w:szCs w:val="32"/>
        </w:rPr>
        <w:t>，</w:t>
      </w:r>
      <w:r>
        <w:rPr>
          <w:rFonts w:hint="eastAsia" w:ascii="宋体" w:hAnsi="宋体" w:cs="宋体"/>
          <w:sz w:val="32"/>
          <w:szCs w:val="32"/>
        </w:rPr>
        <w:t>减少</w:t>
      </w:r>
      <w:r>
        <w:rPr>
          <w:rFonts w:eastAsia="Times New Roman"/>
          <w:sz w:val="32"/>
          <w:szCs w:val="32"/>
        </w:rPr>
        <w:t>13.5%</w:t>
      </w:r>
      <w:r>
        <w:rPr>
          <w:rFonts w:ascii="FangSong_GB2312" w:eastAsia="Times New Roman" w:cs="DengXian-Regular"/>
          <w:sz w:val="32"/>
          <w:szCs w:val="32"/>
        </w:rPr>
        <w:t>；</w:t>
      </w:r>
      <w:r>
        <w:rPr>
          <w:rFonts w:hint="eastAsia" w:ascii="宋体" w:hAnsi="宋体" w:cs="宋体"/>
          <w:sz w:val="32"/>
          <w:szCs w:val="32"/>
        </w:rPr>
        <w:t>比</w:t>
      </w:r>
      <w:r>
        <w:rPr>
          <w:rFonts w:eastAsia="Times New Roman"/>
          <w:sz w:val="32"/>
          <w:szCs w:val="32"/>
        </w:rPr>
        <w:t>2017</w:t>
      </w:r>
      <w:r>
        <w:rPr>
          <w:rFonts w:hint="eastAsia" w:ascii="宋体" w:hAnsi="宋体" w:cs="宋体"/>
          <w:sz w:val="32"/>
          <w:szCs w:val="32"/>
        </w:rPr>
        <w:t>年度决算增加</w:t>
      </w:r>
      <w:r>
        <w:rPr>
          <w:rFonts w:eastAsia="Times New Roman"/>
          <w:sz w:val="32"/>
          <w:szCs w:val="32"/>
        </w:rPr>
        <w:t>0.63</w:t>
      </w:r>
      <w:r>
        <w:rPr>
          <w:rFonts w:hint="eastAsia" w:ascii="宋体" w:hAnsi="宋体" w:cs="宋体"/>
          <w:sz w:val="32"/>
          <w:szCs w:val="32"/>
        </w:rPr>
        <w:t>万元，增长</w:t>
      </w:r>
      <w:r>
        <w:rPr>
          <w:rFonts w:ascii="宋体" w:cs="宋体"/>
          <w:sz w:val="32"/>
          <w:szCs w:val="32"/>
        </w:rPr>
        <w:t>46.3</w:t>
      </w:r>
      <w:r>
        <w:rPr>
          <w:rFonts w:eastAsia="Times New Roman"/>
          <w:sz w:val="32"/>
          <w:szCs w:val="32"/>
        </w:rPr>
        <w:t>%</w:t>
      </w:r>
      <w:r>
        <w:rPr>
          <w:rFonts w:hint="eastAsia" w:ascii="宋体" w:hAnsi="宋体" w:cs="宋体"/>
          <w:sz w:val="32"/>
          <w:szCs w:val="32"/>
        </w:rPr>
        <w:t>，主要</w:t>
      </w:r>
      <w:r>
        <w:rPr>
          <w:rFonts w:ascii="FangSong_GB2312" w:eastAsia="Times New Roman" w:cs="DengXian-Regular"/>
          <w:sz w:val="32"/>
          <w:szCs w:val="32"/>
        </w:rPr>
        <w:t>原因</w:t>
      </w:r>
      <w:r>
        <w:rPr>
          <w:rFonts w:hint="eastAsia" w:ascii="宋体" w:hAnsi="宋体" w:cs="宋体"/>
          <w:sz w:val="32"/>
          <w:szCs w:val="32"/>
        </w:rPr>
        <w:t>是车辆</w:t>
      </w:r>
      <w:r>
        <w:rPr>
          <w:rFonts w:hint="eastAsia" w:ascii="宋体" w:cs="宋体"/>
          <w:sz w:val="32"/>
          <w:szCs w:val="32"/>
        </w:rPr>
        <w:t>达</w:t>
      </w:r>
      <w:r>
        <w:rPr>
          <w:rFonts w:hint="eastAsia" w:ascii="___WRD_EMBED_SUB_41" w:hAnsi="___WRD_EMBED_SUB_41" w:eastAsia="___WRD_EMBED_SUB_41" w:cs="___WRD_EMBED_SUB_41"/>
          <w:sz w:val="32"/>
          <w:szCs w:val="32"/>
        </w:rPr>
        <w:t>车辆达到报废年限、维修成本增高</w:t>
      </w:r>
      <w:r>
        <w:rPr>
          <w:rFonts w:hint="eastAsia" w:ascii="宋体" w:hAnsi="宋体" w:cs="宋体"/>
          <w:sz w:val="32"/>
          <w:szCs w:val="32"/>
        </w:rPr>
        <w:t>。</w:t>
      </w:r>
      <w:r>
        <w:rPr>
          <w:rFonts w:hint="eastAsia" w:ascii="宋体" w:hAnsi="宋体" w:cs="宋体"/>
          <w:b/>
          <w:bCs/>
          <w:sz w:val="32"/>
          <w:szCs w:val="32"/>
        </w:rPr>
        <w:t>其中：</w:t>
      </w:r>
    </w:p>
    <w:p w14:paraId="16A28D70">
      <w:pPr>
        <w:adjustRightInd w:val="0"/>
        <w:snapToGrid w:val="0"/>
        <w:spacing w:line="584" w:lineRule="exact"/>
        <w:ind w:firstLine="643"/>
        <w:rPr>
          <w:rFonts w:eastAsia="Times New Roman"/>
          <w:sz w:val="32"/>
          <w:szCs w:val="32"/>
          <w:highlight w:val="yellow"/>
        </w:rPr>
      </w:pPr>
      <w:r>
        <w:rPr>
          <w:rFonts w:hint="eastAsia" w:ascii="宋体" w:hAnsi="宋体" w:cs="宋体"/>
          <w:b/>
          <w:sz w:val="32"/>
          <w:szCs w:val="32"/>
        </w:rPr>
        <w:t>公务用车购置费支出</w:t>
      </w:r>
      <w:r>
        <w:rPr>
          <w:rFonts w:eastAsia="Times New Roman"/>
          <w:b/>
          <w:sz w:val="32"/>
          <w:szCs w:val="32"/>
        </w:rPr>
        <w:t>0</w:t>
      </w:r>
      <w:r>
        <w:rPr>
          <w:rFonts w:hint="eastAsia" w:ascii="宋体" w:hAnsi="宋体" w:cs="宋体"/>
          <w:b/>
          <w:sz w:val="32"/>
          <w:szCs w:val="32"/>
        </w:rPr>
        <w:t>万元。</w:t>
      </w:r>
      <w:r>
        <w:rPr>
          <w:rFonts w:hint="eastAsia" w:ascii="宋体" w:hAnsi="宋体" w:cs="宋体"/>
          <w:sz w:val="32"/>
          <w:szCs w:val="32"/>
        </w:rPr>
        <w:t>本部门</w:t>
      </w:r>
      <w:r>
        <w:rPr>
          <w:rFonts w:eastAsia="Times New Roman"/>
          <w:sz w:val="32"/>
          <w:szCs w:val="32"/>
        </w:rPr>
        <w:t>2018</w:t>
      </w:r>
      <w:r>
        <w:rPr>
          <w:rFonts w:hint="eastAsia" w:ascii="宋体" w:hAnsi="宋体" w:cs="宋体"/>
          <w:sz w:val="32"/>
          <w:szCs w:val="32"/>
        </w:rPr>
        <w:t>年度未发生公务用车购置经费支出。较年初预算无增减变化；较</w:t>
      </w:r>
      <w:r>
        <w:rPr>
          <w:rFonts w:eastAsia="Times New Roman"/>
          <w:sz w:val="32"/>
          <w:szCs w:val="32"/>
        </w:rPr>
        <w:t>2017</w:t>
      </w:r>
      <w:r>
        <w:rPr>
          <w:rFonts w:hint="eastAsia" w:ascii="宋体" w:hAnsi="宋体" w:cs="宋体"/>
          <w:sz w:val="32"/>
          <w:szCs w:val="32"/>
        </w:rPr>
        <w:t>年度决算无增减变化。</w:t>
      </w:r>
    </w:p>
    <w:p w14:paraId="73248531">
      <w:pPr>
        <w:adjustRightInd w:val="0"/>
        <w:snapToGrid w:val="0"/>
        <w:spacing w:line="584" w:lineRule="exact"/>
        <w:ind w:firstLine="643"/>
        <w:rPr>
          <w:rFonts w:eastAsia="Times New Roman"/>
          <w:sz w:val="32"/>
          <w:szCs w:val="32"/>
        </w:rPr>
      </w:pPr>
      <w:r>
        <w:rPr>
          <w:rFonts w:hint="eastAsia" w:ascii="宋体" w:hAnsi="宋体" w:cs="宋体"/>
          <w:b/>
          <w:sz w:val="32"/>
          <w:szCs w:val="32"/>
        </w:rPr>
        <w:t>公务用车运行维护费支出</w:t>
      </w:r>
      <w:r>
        <w:rPr>
          <w:rFonts w:eastAsia="Times New Roman"/>
          <w:b/>
          <w:sz w:val="32"/>
          <w:szCs w:val="32"/>
        </w:rPr>
        <w:t>1.99</w:t>
      </w:r>
      <w:r>
        <w:rPr>
          <w:rFonts w:hint="eastAsia" w:ascii="宋体" w:hAnsi="宋体" w:cs="宋体"/>
          <w:b/>
          <w:sz w:val="32"/>
          <w:szCs w:val="32"/>
        </w:rPr>
        <w:t>万元。</w:t>
      </w:r>
      <w:r>
        <w:rPr>
          <w:rFonts w:hint="eastAsia" w:ascii="宋体" w:hAnsi="宋体" w:cs="宋体"/>
          <w:sz w:val="32"/>
          <w:szCs w:val="32"/>
        </w:rPr>
        <w:t>廊坊市广阳区广播电视台</w:t>
      </w:r>
      <w:r>
        <w:rPr>
          <w:rFonts w:eastAsia="Times New Roman"/>
          <w:sz w:val="32"/>
          <w:szCs w:val="32"/>
        </w:rPr>
        <w:t>2018</w:t>
      </w:r>
      <w:r>
        <w:rPr>
          <w:rFonts w:hint="eastAsia" w:ascii="宋体" w:hAnsi="宋体" w:cs="宋体"/>
          <w:sz w:val="32"/>
          <w:szCs w:val="32"/>
        </w:rPr>
        <w:t>年末单位公务用车保有量</w:t>
      </w:r>
      <w:r>
        <w:rPr>
          <w:rFonts w:eastAsia="Times New Roman"/>
          <w:sz w:val="32"/>
          <w:szCs w:val="32"/>
        </w:rPr>
        <w:t>1</w:t>
      </w:r>
      <w:r>
        <w:rPr>
          <w:rFonts w:hint="eastAsia" w:ascii="宋体" w:hAnsi="宋体" w:cs="宋体"/>
          <w:sz w:val="32"/>
          <w:szCs w:val="32"/>
        </w:rPr>
        <w:t>辆。公车运行维护费支出比年初预算减少</w:t>
      </w:r>
      <w:r>
        <w:rPr>
          <w:rFonts w:eastAsia="Times New Roman"/>
          <w:sz w:val="32"/>
          <w:szCs w:val="32"/>
        </w:rPr>
        <w:t>0.31</w:t>
      </w:r>
      <w:r>
        <w:rPr>
          <w:rFonts w:hint="eastAsia" w:ascii="宋体" w:hAnsi="宋体" w:cs="宋体"/>
          <w:sz w:val="32"/>
          <w:szCs w:val="32"/>
        </w:rPr>
        <w:t>万元，减少</w:t>
      </w:r>
      <w:r>
        <w:rPr>
          <w:rFonts w:eastAsia="Times New Roman"/>
          <w:sz w:val="32"/>
          <w:szCs w:val="32"/>
        </w:rPr>
        <w:t>13.48%</w:t>
      </w:r>
      <w:r>
        <w:rPr>
          <w:rFonts w:hint="eastAsia" w:ascii="宋体" w:hAnsi="宋体" w:cs="宋体"/>
          <w:sz w:val="32"/>
          <w:szCs w:val="32"/>
        </w:rPr>
        <w:t>，主要原因是我单位认真落实中央八项规定精神和厉行节约要求，管理制度不断完善，</w:t>
      </w:r>
      <w:r>
        <w:rPr>
          <w:rFonts w:eastAsia="Times New Roman"/>
          <w:sz w:val="32"/>
          <w:szCs w:val="32"/>
        </w:rPr>
        <w:t>“</w:t>
      </w:r>
      <w:r>
        <w:rPr>
          <w:rFonts w:hint="eastAsia" w:ascii="宋体" w:hAnsi="宋体" w:cs="宋体"/>
          <w:sz w:val="32"/>
          <w:szCs w:val="32"/>
        </w:rPr>
        <w:t>三公</w:t>
      </w:r>
      <w:r>
        <w:rPr>
          <w:rFonts w:eastAsia="Times New Roman"/>
          <w:sz w:val="32"/>
          <w:szCs w:val="32"/>
        </w:rPr>
        <w:t>”</w:t>
      </w:r>
      <w:r>
        <w:rPr>
          <w:rFonts w:hint="eastAsia" w:ascii="宋体" w:hAnsi="宋体" w:cs="宋体"/>
          <w:sz w:val="32"/>
          <w:szCs w:val="32"/>
        </w:rPr>
        <w:t>经费支出得到了有效控制；比</w:t>
      </w:r>
      <w:r>
        <w:rPr>
          <w:rFonts w:eastAsia="Times New Roman"/>
          <w:sz w:val="32"/>
          <w:szCs w:val="32"/>
        </w:rPr>
        <w:t>2017</w:t>
      </w:r>
      <w:r>
        <w:rPr>
          <w:rFonts w:hint="eastAsia" w:ascii="宋体" w:hAnsi="宋体" w:cs="宋体"/>
          <w:sz w:val="32"/>
          <w:szCs w:val="32"/>
        </w:rPr>
        <w:t>年度决算增加</w:t>
      </w:r>
      <w:r>
        <w:rPr>
          <w:rFonts w:eastAsia="Times New Roman"/>
          <w:sz w:val="32"/>
          <w:szCs w:val="32"/>
        </w:rPr>
        <w:t>0.63</w:t>
      </w:r>
      <w:r>
        <w:rPr>
          <w:rFonts w:hint="eastAsia" w:ascii="宋体" w:hAnsi="宋体" w:cs="宋体"/>
          <w:sz w:val="32"/>
          <w:szCs w:val="32"/>
        </w:rPr>
        <w:t>万元，增长</w:t>
      </w:r>
      <w:r>
        <w:rPr>
          <w:rFonts w:eastAsia="Times New Roman"/>
          <w:sz w:val="32"/>
          <w:szCs w:val="32"/>
        </w:rPr>
        <w:t>46.32%</w:t>
      </w:r>
      <w:r>
        <w:rPr>
          <w:rFonts w:hint="eastAsia" w:ascii="宋体" w:hAnsi="宋体" w:cs="宋体"/>
          <w:sz w:val="32"/>
          <w:szCs w:val="32"/>
        </w:rPr>
        <w:t>，主要原因是车辆达到报废年限、维修成本增高。</w:t>
      </w:r>
    </w:p>
    <w:p w14:paraId="7F895907">
      <w:pPr>
        <w:adjustRightInd w:val="0"/>
        <w:snapToGrid w:val="0"/>
        <w:spacing w:line="584" w:lineRule="exact"/>
        <w:ind w:firstLine="643"/>
        <w:rPr>
          <w:rFonts w:eastAsia="FangSong_GB2312"/>
          <w:sz w:val="32"/>
          <w:szCs w:val="32"/>
          <w:highlight w:val="yellow"/>
        </w:rPr>
      </w:pPr>
      <w:r>
        <w:rPr>
          <w:rFonts w:hint="eastAsia" w:ascii="宋体" w:hAnsi="宋体" w:cs="宋体"/>
          <w:b/>
          <w:bCs/>
          <w:sz w:val="32"/>
          <w:szCs w:val="32"/>
        </w:rPr>
        <w:t>（三）公务接待费支出</w:t>
      </w:r>
      <w:r>
        <w:rPr>
          <w:rFonts w:eastAsia="Times New Roman"/>
          <w:b/>
          <w:bCs/>
          <w:sz w:val="32"/>
          <w:szCs w:val="32"/>
        </w:rPr>
        <w:t>0</w:t>
      </w:r>
      <w:r>
        <w:rPr>
          <w:rFonts w:hint="eastAsia" w:ascii="宋体" w:hAnsi="宋体" w:cs="宋体"/>
          <w:b/>
          <w:bCs/>
          <w:sz w:val="32"/>
          <w:szCs w:val="32"/>
        </w:rPr>
        <w:t>万元。</w:t>
      </w:r>
      <w:r>
        <w:rPr>
          <w:rFonts w:eastAsia="FangSong_GB2312"/>
          <w:sz w:val="32"/>
          <w:szCs w:val="32"/>
        </w:rPr>
        <w:t>本部门201</w:t>
      </w:r>
      <w:r>
        <w:rPr>
          <w:rFonts w:hint="eastAsia" w:eastAsia="FangSong_GB2312"/>
          <w:sz w:val="32"/>
          <w:szCs w:val="32"/>
        </w:rPr>
        <w:t>8</w:t>
      </w:r>
      <w:r>
        <w:rPr>
          <w:rFonts w:eastAsia="FangSong_GB2312"/>
          <w:sz w:val="32"/>
          <w:szCs w:val="32"/>
        </w:rPr>
        <w:t>年度公务接待共</w:t>
      </w:r>
      <w:r>
        <w:rPr>
          <w:rFonts w:hint="eastAsia" w:eastAsia="FangSong_GB2312"/>
          <w:sz w:val="32"/>
          <w:szCs w:val="32"/>
        </w:rPr>
        <w:t>0</w:t>
      </w:r>
      <w:r>
        <w:rPr>
          <w:rFonts w:eastAsia="FangSong_GB2312"/>
          <w:sz w:val="32"/>
          <w:szCs w:val="32"/>
        </w:rPr>
        <w:t>批次、</w:t>
      </w:r>
      <w:r>
        <w:rPr>
          <w:rFonts w:hint="eastAsia" w:eastAsia="FangSong_GB2312"/>
          <w:sz w:val="32"/>
          <w:szCs w:val="32"/>
        </w:rPr>
        <w:t>0</w:t>
      </w:r>
      <w:r>
        <w:rPr>
          <w:rFonts w:eastAsia="FangSong_GB2312"/>
          <w:sz w:val="32"/>
          <w:szCs w:val="32"/>
        </w:rPr>
        <w:t>人次。公务接待费支出</w:t>
      </w:r>
      <w:r>
        <w:rPr>
          <w:rFonts w:hint="eastAsia" w:eastAsia="FangSong_GB2312"/>
          <w:sz w:val="32"/>
          <w:szCs w:val="32"/>
        </w:rPr>
        <w:t>比</w:t>
      </w:r>
      <w:r>
        <w:rPr>
          <w:rFonts w:eastAsia="FangSong_GB2312"/>
          <w:sz w:val="32"/>
          <w:szCs w:val="32"/>
        </w:rPr>
        <w:t>年初预算增加</w:t>
      </w:r>
      <w:r>
        <w:rPr>
          <w:rFonts w:hint="eastAsia" w:eastAsia="FangSong_GB2312"/>
          <w:sz w:val="32"/>
          <w:szCs w:val="32"/>
        </w:rPr>
        <w:t>0</w:t>
      </w:r>
      <w:r>
        <w:rPr>
          <w:rFonts w:eastAsia="FangSong_GB2312"/>
          <w:sz w:val="32"/>
          <w:szCs w:val="32"/>
        </w:rPr>
        <w:t>万元，增长</w:t>
      </w:r>
      <w:r>
        <w:rPr>
          <w:rFonts w:hint="eastAsia" w:eastAsia="FangSong_GB2312"/>
          <w:sz w:val="32"/>
          <w:szCs w:val="32"/>
        </w:rPr>
        <w:t>0</w:t>
      </w:r>
      <w:r>
        <w:rPr>
          <w:rFonts w:eastAsia="FangSong_GB2312"/>
          <w:sz w:val="32"/>
          <w:szCs w:val="32"/>
        </w:rPr>
        <w:t>%，主要是</w:t>
      </w:r>
      <w:r>
        <w:rPr>
          <w:rFonts w:hint="eastAsia" w:eastAsia="FangSong_GB2312"/>
          <w:sz w:val="32"/>
          <w:szCs w:val="32"/>
        </w:rPr>
        <w:t>未发生接待费支出</w:t>
      </w:r>
      <w:r>
        <w:rPr>
          <w:rFonts w:eastAsia="FangSong_GB2312"/>
          <w:sz w:val="32"/>
          <w:szCs w:val="32"/>
        </w:rPr>
        <w:t>；</w:t>
      </w:r>
      <w:r>
        <w:rPr>
          <w:rFonts w:hint="eastAsia" w:eastAsia="FangSong_GB2312"/>
          <w:sz w:val="32"/>
          <w:szCs w:val="32"/>
        </w:rPr>
        <w:t>比</w:t>
      </w:r>
      <w:r>
        <w:rPr>
          <w:rFonts w:eastAsia="FangSong_GB2312"/>
          <w:sz w:val="32"/>
          <w:szCs w:val="32"/>
        </w:rPr>
        <w:t>201</w:t>
      </w:r>
      <w:r>
        <w:rPr>
          <w:rFonts w:hint="eastAsia" w:eastAsia="FangSong_GB2312"/>
          <w:sz w:val="32"/>
          <w:szCs w:val="32"/>
        </w:rPr>
        <w:t>7</w:t>
      </w:r>
      <w:r>
        <w:rPr>
          <w:rFonts w:eastAsia="FangSong_GB2312"/>
          <w:sz w:val="32"/>
          <w:szCs w:val="32"/>
        </w:rPr>
        <w:t>年度决算增加</w:t>
      </w:r>
      <w:r>
        <w:rPr>
          <w:rFonts w:hint="eastAsia" w:eastAsia="FangSong_GB2312"/>
          <w:sz w:val="32"/>
          <w:szCs w:val="32"/>
        </w:rPr>
        <w:t>0</w:t>
      </w:r>
      <w:r>
        <w:rPr>
          <w:rFonts w:eastAsia="FangSong_GB2312"/>
          <w:sz w:val="32"/>
          <w:szCs w:val="32"/>
        </w:rPr>
        <w:t>万元，增长</w:t>
      </w:r>
      <w:r>
        <w:rPr>
          <w:rFonts w:hint="eastAsia" w:eastAsia="FangSong_GB2312"/>
          <w:sz w:val="32"/>
          <w:szCs w:val="32"/>
        </w:rPr>
        <w:t>0</w:t>
      </w:r>
      <w:r>
        <w:rPr>
          <w:rFonts w:eastAsia="FangSong_GB2312"/>
          <w:sz w:val="32"/>
          <w:szCs w:val="32"/>
        </w:rPr>
        <w:t>%，主要是</w:t>
      </w:r>
      <w:r>
        <w:rPr>
          <w:rFonts w:hint="eastAsia" w:eastAsia="FangSong_GB2312"/>
          <w:sz w:val="32"/>
          <w:szCs w:val="32"/>
        </w:rPr>
        <w:t>未发生接待费支出</w:t>
      </w:r>
      <w:r>
        <w:rPr>
          <w:rFonts w:eastAsia="FangSong_GB2312"/>
          <w:sz w:val="32"/>
          <w:szCs w:val="32"/>
        </w:rPr>
        <w:t>。</w:t>
      </w:r>
    </w:p>
    <w:p w14:paraId="6D428400">
      <w:pPr>
        <w:adjustRightInd w:val="0"/>
        <w:snapToGrid w:val="0"/>
        <w:spacing w:line="584" w:lineRule="exact"/>
        <w:ind w:firstLine="640"/>
        <w:rPr>
          <w:rFonts w:ascii="黑体" w:eastAsia="黑体"/>
          <w:sz w:val="32"/>
          <w:szCs w:val="40"/>
        </w:rPr>
      </w:pPr>
      <w:r>
        <w:rPr>
          <w:rFonts w:hint="eastAsia" w:ascii="黑体" w:eastAsia="黑体"/>
          <w:sz w:val="32"/>
          <w:szCs w:val="40"/>
        </w:rPr>
        <w:t>六、预算绩效情况说明</w:t>
      </w:r>
    </w:p>
    <w:p w14:paraId="2357D031">
      <w:pPr>
        <w:adjustRightInd w:val="0"/>
        <w:snapToGrid w:val="0"/>
        <w:spacing w:after="0" w:line="580" w:lineRule="exact"/>
        <w:ind w:firstLine="640"/>
        <w:rPr>
          <w:rFonts w:ascii="FangSong_GB2312" w:eastAsia="Times New Roman" w:cs="DengXian-Regular"/>
          <w:sz w:val="32"/>
          <w:szCs w:val="32"/>
        </w:rPr>
      </w:pPr>
      <w:r>
        <w:rPr>
          <w:rFonts w:ascii="FangSong_GB2312" w:eastAsia="Times New Roman" w:cs="DengXian-Regular"/>
          <w:sz w:val="32"/>
          <w:szCs w:val="32"/>
        </w:rPr>
        <w:t>（一）预算绩效管理工作开展情况。</w:t>
      </w:r>
    </w:p>
    <w:p w14:paraId="2646BBBC">
      <w:pPr>
        <w:adjustRightInd w:val="0"/>
        <w:snapToGrid w:val="0"/>
        <w:spacing w:after="0" w:line="580" w:lineRule="exact"/>
        <w:ind w:firstLine="640"/>
        <w:rPr>
          <w:rFonts w:eastAsia="Times New Roman"/>
          <w:sz w:val="32"/>
          <w:szCs w:val="32"/>
        </w:rPr>
      </w:pPr>
      <w:r>
        <w:rPr>
          <w:rFonts w:hint="eastAsia" w:ascii="宋体" w:hAnsi="宋体" w:cs="宋体"/>
          <w:sz w:val="32"/>
          <w:szCs w:val="32"/>
        </w:rPr>
        <w:t>坚持正确舆论导向，发挥主流媒体作用，加强内容形式以及方法手段创新，提升</w:t>
      </w:r>
      <w:r>
        <w:rPr>
          <w:rFonts w:eastAsia="Times New Roman"/>
          <w:sz w:val="32"/>
          <w:szCs w:val="32"/>
        </w:rPr>
        <w:t>“</w:t>
      </w:r>
      <w:r>
        <w:rPr>
          <w:rFonts w:hint="eastAsia" w:ascii="宋体" w:hAnsi="宋体" w:cs="宋体"/>
          <w:sz w:val="32"/>
          <w:szCs w:val="32"/>
        </w:rPr>
        <w:t>广阳时讯</w:t>
      </w:r>
      <w:r>
        <w:rPr>
          <w:rFonts w:eastAsia="Times New Roman"/>
          <w:sz w:val="32"/>
          <w:szCs w:val="32"/>
        </w:rPr>
        <w:t>”</w:t>
      </w:r>
      <w:r>
        <w:rPr>
          <w:rFonts w:hint="eastAsia" w:ascii="宋体" w:hAnsi="宋体" w:cs="宋体"/>
          <w:sz w:val="32"/>
          <w:szCs w:val="32"/>
        </w:rPr>
        <w:t>影响力。加强技术管理、技术升级改造及设备设施维护，开展新技术应用。向移动互联网跨越发展，打造智能生活服务类客户端，促进媒体融合。</w:t>
      </w:r>
      <w:r>
        <w:rPr>
          <w:rFonts w:eastAsia="Times New Roman"/>
          <w:sz w:val="32"/>
          <w:szCs w:val="32"/>
        </w:rPr>
        <w:t xml:space="preserve"> </w:t>
      </w:r>
      <w:r>
        <w:rPr>
          <w:rFonts w:hint="eastAsia" w:ascii="宋体" w:hAnsi="宋体" w:cs="宋体"/>
          <w:sz w:val="32"/>
          <w:szCs w:val="32"/>
        </w:rPr>
        <w:t>加快新媒体建设</w:t>
      </w:r>
      <w:r>
        <w:rPr>
          <w:rFonts w:eastAsia="Times New Roman"/>
          <w:sz w:val="32"/>
          <w:szCs w:val="32"/>
        </w:rPr>
        <w:t>,</w:t>
      </w:r>
      <w:r>
        <w:rPr>
          <w:rFonts w:hint="eastAsia" w:ascii="宋体" w:hAnsi="宋体" w:cs="宋体"/>
          <w:sz w:val="32"/>
          <w:szCs w:val="32"/>
        </w:rPr>
        <w:t>保障设备正常运转</w:t>
      </w:r>
      <w:r>
        <w:rPr>
          <w:rFonts w:eastAsia="Times New Roman"/>
          <w:sz w:val="32"/>
          <w:szCs w:val="32"/>
        </w:rPr>
        <w:t>,</w:t>
      </w:r>
      <w:r>
        <w:rPr>
          <w:rFonts w:hint="eastAsia" w:ascii="宋体" w:hAnsi="宋体" w:cs="宋体"/>
          <w:sz w:val="32"/>
          <w:szCs w:val="32"/>
        </w:rPr>
        <w:t>实现安全播出，提高节目制作能力和传播能力，在全区建立起完备的广播电视安全播出保障体系，规范广播电视、互联网等新媒体音视频内容。</w:t>
      </w:r>
    </w:p>
    <w:p w14:paraId="62549D2D">
      <w:pPr>
        <w:adjustRightInd w:val="0"/>
        <w:snapToGrid w:val="0"/>
        <w:spacing w:after="0" w:line="580" w:lineRule="exact"/>
        <w:ind w:firstLine="640"/>
        <w:rPr>
          <w:rFonts w:ascii="FangSong_GB2312" w:eastAsia="Times New Roman" w:cs="DengXian-Regular"/>
          <w:sz w:val="32"/>
          <w:szCs w:val="32"/>
        </w:rPr>
      </w:pPr>
      <w:r>
        <w:rPr>
          <w:rFonts w:ascii="FangSong_GB2312" w:eastAsia="Times New Roman" w:cs="DengXian-Regular"/>
          <w:sz w:val="32"/>
          <w:szCs w:val="32"/>
        </w:rPr>
        <w:t>（二）项目绩效自评结果。</w:t>
      </w:r>
      <w:r>
        <w:rPr>
          <w:rFonts w:eastAsia="Times New Roman"/>
          <w:sz w:val="32"/>
          <w:szCs w:val="32"/>
        </w:rPr>
        <w:t xml:space="preserve"> </w:t>
      </w:r>
    </w:p>
    <w:p w14:paraId="51CBC5D1">
      <w:pPr>
        <w:adjustRightInd w:val="0"/>
        <w:snapToGrid w:val="0"/>
        <w:spacing w:after="0" w:line="580" w:lineRule="exact"/>
        <w:ind w:firstLine="800"/>
        <w:rPr>
          <w:rFonts w:eastAsia="Times New Roman"/>
          <w:sz w:val="32"/>
          <w:szCs w:val="32"/>
        </w:rPr>
      </w:pPr>
      <w:r>
        <w:rPr>
          <w:rFonts w:hint="eastAsia" w:ascii="宋体" w:hAnsi="宋体" w:cs="宋体"/>
          <w:sz w:val="32"/>
          <w:szCs w:val="32"/>
        </w:rPr>
        <w:t>全面贯彻落实</w:t>
      </w:r>
      <w:r>
        <w:rPr>
          <w:rFonts w:hint="eastAsia" w:ascii="宋体" w:cs="宋体"/>
          <w:sz w:val="32"/>
          <w:szCs w:val="32"/>
        </w:rPr>
        <w:t>了</w:t>
      </w:r>
      <w:r>
        <w:rPr>
          <w:rFonts w:hint="eastAsia" w:ascii="宋体" w:hAnsi="宋体" w:cs="宋体"/>
          <w:sz w:val="32"/>
          <w:szCs w:val="32"/>
        </w:rPr>
        <w:t>广播电视宣传的各项政策，坚持正确的舆论导向。以廊坊电视台</w:t>
      </w:r>
      <w:r>
        <w:rPr>
          <w:rFonts w:eastAsia="Times New Roman"/>
          <w:sz w:val="32"/>
          <w:szCs w:val="32"/>
        </w:rPr>
        <w:t>“</w:t>
      </w:r>
      <w:r>
        <w:rPr>
          <w:rFonts w:hint="eastAsia" w:ascii="宋体" w:hAnsi="宋体" w:cs="宋体"/>
          <w:sz w:val="32"/>
          <w:szCs w:val="32"/>
        </w:rPr>
        <w:t>广阳时讯</w:t>
      </w:r>
      <w:r>
        <w:rPr>
          <w:rFonts w:eastAsia="Times New Roman"/>
          <w:sz w:val="32"/>
          <w:szCs w:val="32"/>
        </w:rPr>
        <w:t>”</w:t>
      </w:r>
      <w:r>
        <w:rPr>
          <w:rFonts w:hint="eastAsia" w:ascii="宋体" w:hAnsi="宋体" w:cs="宋体"/>
          <w:sz w:val="32"/>
          <w:szCs w:val="32"/>
        </w:rPr>
        <w:t>栏目为阵地，宣传广阳区委、区政府经济、文化等方面的方针、政策，先进典型、经验等。为广阳区的经济发展创造良好的政治舆论环境。加强广播电视队伍建设，提高全面政治、业务素质，当好党和政府联系群众的桥梁和纽带，内强素质，外树形象，努力提高</w:t>
      </w:r>
      <w:r>
        <w:rPr>
          <w:rFonts w:hint="eastAsia" w:ascii="宋体" w:cs="宋体"/>
          <w:sz w:val="32"/>
          <w:szCs w:val="32"/>
        </w:rPr>
        <w:t>了</w:t>
      </w:r>
      <w:r>
        <w:rPr>
          <w:rFonts w:hint="eastAsia" w:ascii="宋体" w:hAnsi="宋体" w:cs="宋体"/>
          <w:sz w:val="32"/>
          <w:szCs w:val="32"/>
        </w:rPr>
        <w:t>全局整体水平。</w:t>
      </w:r>
    </w:p>
    <w:p w14:paraId="18A67B04">
      <w:pPr>
        <w:adjustRightInd w:val="0"/>
        <w:snapToGrid w:val="0"/>
        <w:spacing w:after="0" w:line="580" w:lineRule="exact"/>
        <w:ind w:firstLine="640"/>
        <w:rPr>
          <w:rFonts w:ascii="FangSong_GB2312" w:eastAsia="Times New Roman" w:cs="DengXian-Regular"/>
          <w:sz w:val="32"/>
          <w:szCs w:val="32"/>
        </w:rPr>
      </w:pPr>
      <w:r>
        <w:rPr>
          <w:rFonts w:ascii="FangSong_GB2312" w:eastAsia="Times New Roman" w:cs="DengXian-Regular"/>
          <w:sz w:val="32"/>
          <w:szCs w:val="32"/>
        </w:rPr>
        <w:t xml:space="preserve">（三）重点项目绩效评价结果。 </w:t>
      </w:r>
    </w:p>
    <w:p w14:paraId="26241726">
      <w:pPr>
        <w:adjustRightInd w:val="0"/>
        <w:snapToGrid w:val="0"/>
        <w:spacing w:after="0" w:line="580" w:lineRule="exact"/>
        <w:ind w:firstLine="640"/>
        <w:rPr>
          <w:rFonts w:ascii="FangSong_GB2312" w:eastAsia="Times New Roman" w:cs="DengXian-Regular"/>
          <w:sz w:val="32"/>
          <w:szCs w:val="32"/>
        </w:rPr>
      </w:pPr>
      <w:r>
        <w:rPr>
          <w:rFonts w:ascii="FangSong_GB2312" w:eastAsia="Times New Roman" w:cs="DengXian-Regular"/>
          <w:sz w:val="32"/>
          <w:szCs w:val="32"/>
        </w:rPr>
        <w:t>我单位无重点项目。</w:t>
      </w:r>
    </w:p>
    <w:p w14:paraId="580F8665">
      <w:pPr>
        <w:pStyle w:val="3"/>
        <w:spacing w:before="0" w:after="0" w:line="580" w:lineRule="exact"/>
        <w:ind w:firstLine="640"/>
        <w:rPr>
          <w:rFonts w:ascii="黑体" w:eastAsia="黑体" w:cs="Times New Roman"/>
          <w:b w:val="0"/>
          <w:bCs w:val="0"/>
        </w:rPr>
      </w:pPr>
      <w:r>
        <w:rPr>
          <w:rFonts w:hint="eastAsia" w:ascii="黑体" w:eastAsia="黑体" w:cs="Times New Roman"/>
          <w:b w:val="0"/>
          <w:bCs w:val="0"/>
        </w:rPr>
        <w:t>七、其他重要事项的说明</w:t>
      </w:r>
    </w:p>
    <w:p w14:paraId="68BD29C9">
      <w:pPr>
        <w:pStyle w:val="4"/>
        <w:spacing w:before="0" w:after="0" w:line="580" w:lineRule="exact"/>
        <w:ind w:firstLine="643"/>
        <w:rPr>
          <w:rFonts w:ascii="KaiTi_GB2312" w:eastAsia="Times New Roman" w:cs="DengXian-Bold"/>
        </w:rPr>
      </w:pPr>
      <w:r>
        <w:rPr>
          <w:rFonts w:ascii="KaiTi_GB2312" w:eastAsia="Times New Roman" w:cs="DengXian-Bold"/>
        </w:rPr>
        <w:t>（一）机关运行经费情况</w:t>
      </w:r>
    </w:p>
    <w:p w14:paraId="75CB0608">
      <w:pPr>
        <w:adjustRightInd w:val="0"/>
        <w:snapToGrid w:val="0"/>
        <w:spacing w:after="0" w:line="580" w:lineRule="exact"/>
        <w:ind w:firstLine="640"/>
        <w:rPr>
          <w:rFonts w:ascii="FangSong_GB2312" w:eastAsia="Times New Roman" w:cs="DengXian-Regular"/>
          <w:sz w:val="32"/>
          <w:szCs w:val="32"/>
        </w:rPr>
      </w:pPr>
      <w:r>
        <w:rPr>
          <w:rFonts w:ascii="FangSong_GB2312" w:eastAsia="Times New Roman" w:cs="DengXian-Regular"/>
          <w:sz w:val="32"/>
          <w:szCs w:val="32"/>
        </w:rPr>
        <w:t>本部门2018年度机关运行经费支出28</w:t>
      </w:r>
      <w:r>
        <w:rPr>
          <w:rFonts w:ascii="宋体" w:cs="宋体"/>
          <w:sz w:val="32"/>
          <w:szCs w:val="32"/>
        </w:rPr>
        <w:t>.92</w:t>
      </w:r>
      <w:r>
        <w:rPr>
          <w:rFonts w:ascii="FangSong_GB2312" w:eastAsia="Times New Roman" w:cs="DengXian-Regular"/>
          <w:sz w:val="32"/>
          <w:szCs w:val="32"/>
        </w:rPr>
        <w:t>万元，比年初预算数增加28</w:t>
      </w:r>
      <w:r>
        <w:rPr>
          <w:rFonts w:ascii="宋体" w:cs="宋体"/>
          <w:sz w:val="32"/>
          <w:szCs w:val="32"/>
        </w:rPr>
        <w:t>.92</w:t>
      </w:r>
      <w:r>
        <w:rPr>
          <w:rFonts w:ascii="FangSong_GB2312" w:eastAsia="Times New Roman" w:cs="DengXian-Regular"/>
          <w:sz w:val="32"/>
          <w:szCs w:val="32"/>
        </w:rPr>
        <w:t xml:space="preserve">万元，增长100 </w:t>
      </w:r>
      <w:r>
        <w:rPr>
          <w:rFonts w:eastAsia="Times New Roman"/>
          <w:sz w:val="32"/>
          <w:szCs w:val="32"/>
        </w:rPr>
        <w:t>%</w:t>
      </w:r>
      <w:r>
        <w:rPr>
          <w:rFonts w:ascii="FangSong_GB2312" w:eastAsia="Times New Roman" w:cs="DengXian-Regular"/>
          <w:sz w:val="32"/>
          <w:szCs w:val="32"/>
        </w:rPr>
        <w:t>。主要原因是年初未安排此项预算。</w:t>
      </w:r>
      <w:r>
        <w:rPr>
          <w:rFonts w:hint="eastAsia" w:ascii="宋体" w:hAnsi="宋体" w:cs="宋体"/>
          <w:sz w:val="32"/>
          <w:szCs w:val="32"/>
        </w:rPr>
        <w:t>较</w:t>
      </w:r>
      <w:r>
        <w:rPr>
          <w:rFonts w:eastAsia="Times New Roman"/>
          <w:sz w:val="32"/>
          <w:szCs w:val="32"/>
        </w:rPr>
        <w:t>2017</w:t>
      </w:r>
      <w:r>
        <w:rPr>
          <w:rFonts w:hint="eastAsia" w:ascii="宋体" w:hAnsi="宋体" w:cs="宋体"/>
          <w:sz w:val="32"/>
          <w:szCs w:val="32"/>
        </w:rPr>
        <w:t>年度决算增加</w:t>
      </w:r>
      <w:r>
        <w:rPr>
          <w:rFonts w:eastAsia="Times New Roman"/>
          <w:sz w:val="32"/>
          <w:szCs w:val="32"/>
        </w:rPr>
        <w:t>20.67</w:t>
      </w:r>
      <w:r>
        <w:rPr>
          <w:rFonts w:hint="eastAsia" w:ascii="宋体" w:hAnsi="宋体" w:cs="宋体"/>
          <w:sz w:val="32"/>
          <w:szCs w:val="32"/>
        </w:rPr>
        <w:t>万元，增长</w:t>
      </w:r>
      <w:r>
        <w:rPr>
          <w:rFonts w:eastAsia="Times New Roman"/>
          <w:sz w:val="32"/>
          <w:szCs w:val="32"/>
        </w:rPr>
        <w:t>250.5%</w:t>
      </w:r>
      <w:r>
        <w:rPr>
          <w:rFonts w:hint="eastAsia" w:ascii="宋体" w:hAnsi="宋体" w:cs="宋体"/>
          <w:sz w:val="32"/>
          <w:szCs w:val="32"/>
        </w:rPr>
        <w:t>，主要</w:t>
      </w:r>
      <w:r>
        <w:rPr>
          <w:rFonts w:ascii="FangSong_GB2312" w:eastAsia="Times New Roman" w:cs="DengXian-Regular"/>
          <w:sz w:val="32"/>
          <w:szCs w:val="32"/>
        </w:rPr>
        <w:t>原因</w:t>
      </w:r>
      <w:r>
        <w:rPr>
          <w:rFonts w:hint="eastAsia" w:ascii="宋体" w:hAnsi="宋体" w:cs="宋体"/>
          <w:sz w:val="32"/>
          <w:szCs w:val="32"/>
        </w:rPr>
        <w:t>是办公用房维修费用增加及购买机器设备支出增加。</w:t>
      </w:r>
    </w:p>
    <w:p w14:paraId="0200E049">
      <w:pPr>
        <w:pStyle w:val="4"/>
        <w:spacing w:before="0" w:after="0" w:line="580" w:lineRule="exact"/>
        <w:ind w:firstLine="643"/>
        <w:rPr>
          <w:rFonts w:ascii="KaiTi_GB2312" w:eastAsia="Times New Roman" w:cs="DengXian-Bold"/>
        </w:rPr>
      </w:pPr>
      <w:r>
        <w:rPr>
          <w:rFonts w:ascii="KaiTi_GB2312" w:eastAsia="Times New Roman" w:cs="DengXian-Bold"/>
        </w:rPr>
        <w:t>（二）政府采购情况</w:t>
      </w:r>
    </w:p>
    <w:p w14:paraId="0922ED72">
      <w:pPr>
        <w:widowControl/>
        <w:spacing w:after="0" w:line="580" w:lineRule="exact"/>
        <w:ind w:firstLine="640"/>
        <w:jc w:val="left"/>
        <w:rPr>
          <w:rFonts w:ascii="FangSong_GB2312" w:eastAsia="Times New Roman" w:cs="DengXian-Regular"/>
          <w:sz w:val="32"/>
          <w:szCs w:val="32"/>
        </w:rPr>
      </w:pPr>
      <w:r>
        <w:rPr>
          <w:rFonts w:ascii="FangSong_GB2312" w:eastAsia="Times New Roman" w:cs="DengXian-Regular"/>
          <w:sz w:val="32"/>
          <w:szCs w:val="32"/>
        </w:rPr>
        <w:t>本部门2018年度政府采购支出总额2</w:t>
      </w:r>
      <w:r>
        <w:rPr>
          <w:rFonts w:ascii="宋体" w:cs="宋体"/>
          <w:sz w:val="32"/>
          <w:szCs w:val="32"/>
        </w:rPr>
        <w:t>.4</w:t>
      </w:r>
      <w:r>
        <w:rPr>
          <w:rFonts w:ascii="FangSong_GB2312" w:eastAsia="Times New Roman" w:cs="DengXian-Regular"/>
          <w:sz w:val="32"/>
          <w:szCs w:val="32"/>
        </w:rPr>
        <w:t>万元，从采购类型来看，</w:t>
      </w:r>
      <w:r>
        <w:rPr>
          <w:rFonts w:ascii="FangSong_GB2312" w:eastAsia="Times New Roman" w:cs="FangSong_GB2312"/>
          <w:color w:val="000000"/>
          <w:kern w:val="0"/>
          <w:sz w:val="32"/>
          <w:szCs w:val="32"/>
        </w:rPr>
        <w:t>政府采购货物支出2</w:t>
      </w:r>
      <w:r>
        <w:rPr>
          <w:rFonts w:ascii="宋体" w:cs="宋体"/>
          <w:color w:val="000000"/>
          <w:kern w:val="0"/>
          <w:sz w:val="32"/>
          <w:szCs w:val="32"/>
        </w:rPr>
        <w:t>.4</w:t>
      </w:r>
      <w:r>
        <w:rPr>
          <w:rFonts w:ascii="FangSong_GB2312" w:eastAsia="Times New Roman" w:cs="FangSong_GB2312"/>
          <w:color w:val="000000"/>
          <w:kern w:val="0"/>
          <w:sz w:val="32"/>
          <w:szCs w:val="32"/>
        </w:rPr>
        <w:t xml:space="preserve"> 万元、政府采购工程支出0万元、政府采购服务支出 0万元。授予中小企业合同金2</w:t>
      </w:r>
      <w:r>
        <w:rPr>
          <w:rFonts w:ascii="宋体" w:cs="宋体"/>
          <w:color w:val="000000"/>
          <w:kern w:val="0"/>
          <w:sz w:val="32"/>
          <w:szCs w:val="32"/>
        </w:rPr>
        <w:t>.4</w:t>
      </w:r>
      <w:r>
        <w:rPr>
          <w:rFonts w:ascii="FangSong_GB2312" w:eastAsia="Times New Roman" w:cs="FangSong_GB2312"/>
          <w:color w:val="000000"/>
          <w:kern w:val="0"/>
          <w:sz w:val="32"/>
          <w:szCs w:val="32"/>
        </w:rPr>
        <w:t>万元，占政府采购支出总额的100%，其中授予小微企业合同金额0万元，占政府采购支出总额的0%。</w:t>
      </w:r>
    </w:p>
    <w:p w14:paraId="21231445">
      <w:pPr>
        <w:pStyle w:val="4"/>
        <w:spacing w:before="0" w:after="0" w:line="580" w:lineRule="exact"/>
        <w:ind w:firstLine="643"/>
        <w:rPr>
          <w:rFonts w:ascii="KaiTi_GB2312" w:eastAsia="Times New Roman" w:cs="DengXian-Bold"/>
        </w:rPr>
      </w:pPr>
      <w:r>
        <w:rPr>
          <w:rFonts w:ascii="KaiTi_GB2312" w:eastAsia="Times New Roman" w:cs="DengXian-Bold"/>
        </w:rPr>
        <w:t>（三）国有资产占用情况</w:t>
      </w:r>
    </w:p>
    <w:p w14:paraId="72DA7C21">
      <w:pPr>
        <w:adjustRightInd w:val="0"/>
        <w:snapToGrid w:val="0"/>
        <w:spacing w:after="0" w:line="580" w:lineRule="exact"/>
        <w:ind w:firstLine="640"/>
        <w:rPr>
          <w:rFonts w:ascii="FangSong_GB2312" w:eastAsia="Times New Roman" w:cs="DengXian-Regular"/>
          <w:sz w:val="32"/>
          <w:szCs w:val="32"/>
        </w:rPr>
      </w:pPr>
      <w:r>
        <w:rPr>
          <w:rFonts w:ascii="FangSong_GB2312" w:eastAsia="Times New Roman" w:cs="DengXian-Regular"/>
          <w:sz w:val="32"/>
          <w:szCs w:val="32"/>
        </w:rPr>
        <w:t>截至2018年12月31日，本部门共有车辆1辆，与上年相比无变化。其中，副部（省）级及以上领导用车0辆，主要领导干部用车0辆，机要通信用车1辆，应急保障用车0辆，执法执勤用车0辆，特种专业技术用车0辆，离退休干部用车0辆，其他用车0辆；单位价值</w:t>
      </w:r>
      <w:r>
        <w:rPr>
          <w:rFonts w:ascii="FangSong_GB2312" w:eastAsia="Times New Roman" w:cs="TimesNewRomanPSMT"/>
          <w:sz w:val="32"/>
          <w:szCs w:val="32"/>
        </w:rPr>
        <w:t>50</w:t>
      </w:r>
      <w:r>
        <w:rPr>
          <w:rFonts w:ascii="FangSong_GB2312" w:eastAsia="Times New Roman" w:cs="DengXian-Regular"/>
          <w:sz w:val="32"/>
          <w:szCs w:val="32"/>
        </w:rPr>
        <w:t>万元以上通用设备1台（套），与上年相比无变化 ，单位价值</w:t>
      </w:r>
      <w:r>
        <w:rPr>
          <w:rFonts w:ascii="FangSong_GB2312" w:eastAsia="Times New Roman" w:cs="TimesNewRomanPSMT"/>
          <w:sz w:val="32"/>
          <w:szCs w:val="32"/>
        </w:rPr>
        <w:t>100</w:t>
      </w:r>
      <w:r>
        <w:rPr>
          <w:rFonts w:ascii="FangSong_GB2312" w:eastAsia="Times New Roman" w:cs="DengXian-Regular"/>
          <w:sz w:val="32"/>
          <w:szCs w:val="32"/>
        </w:rPr>
        <w:t>万元以上专用设备无</w:t>
      </w:r>
      <w:r>
        <w:rPr>
          <w:rFonts w:hint="eastAsia" w:cs="DengXian-Regular" w:asciiTheme="minorEastAsia" w:hAnsiTheme="minorEastAsia" w:eastAsiaTheme="minorEastAsia"/>
          <w:sz w:val="32"/>
          <w:szCs w:val="32"/>
        </w:rPr>
        <w:t>,</w:t>
      </w:r>
      <w:r>
        <w:rPr>
          <w:rFonts w:ascii="FangSong_GB2312" w:eastAsia="Times New Roman" w:cs="DengXian-Regular"/>
          <w:sz w:val="32"/>
          <w:szCs w:val="32"/>
        </w:rPr>
        <w:t>与上年相比无变化。</w:t>
      </w:r>
    </w:p>
    <w:p w14:paraId="7A4052B5">
      <w:pPr>
        <w:pStyle w:val="4"/>
        <w:spacing w:before="0" w:after="0" w:line="580" w:lineRule="exact"/>
        <w:ind w:firstLine="643"/>
        <w:rPr>
          <w:rFonts w:ascii="KaiTi_GB2312" w:eastAsia="Times New Roman" w:cs="DengXian-Bold"/>
        </w:rPr>
      </w:pPr>
      <w:r>
        <w:rPr>
          <w:rFonts w:ascii="KaiTi_GB2312" w:eastAsia="Times New Roman" w:cs="DengXian-Bold"/>
        </w:rPr>
        <w:t>（四）其他需要说明的情况</w:t>
      </w:r>
    </w:p>
    <w:p w14:paraId="33CB6AB0">
      <w:pPr>
        <w:adjustRightInd w:val="0"/>
        <w:snapToGrid w:val="0"/>
        <w:spacing w:after="0" w:line="580" w:lineRule="exact"/>
        <w:ind w:firstLine="640"/>
        <w:rPr>
          <w:rFonts w:ascii="FangSong_GB2312" w:eastAsia="Times New Roman" w:cs="DengXian-Regular"/>
          <w:sz w:val="32"/>
          <w:szCs w:val="32"/>
        </w:rPr>
      </w:pPr>
      <w:r>
        <w:rPr>
          <w:rFonts w:ascii="FangSong_GB2312" w:eastAsia="Times New Roman" w:cs="DengXian-Regular"/>
          <w:sz w:val="32"/>
          <w:szCs w:val="32"/>
        </w:rPr>
        <w:t>1、本部门2018年度政府性基金预算、国有资本经营预算、无收支及结转结余情况，故</w:t>
      </w:r>
      <w:r>
        <w:rPr>
          <w:rFonts w:hint="eastAsia" w:ascii="宋体" w:hAnsi="宋体" w:cs="宋体"/>
          <w:sz w:val="32"/>
          <w:szCs w:val="32"/>
        </w:rPr>
        <w:t>政府性基金预算财政拨款收入支出决算表、国有资本经营预算财政拨款支出决算表</w:t>
      </w:r>
      <w:r>
        <w:rPr>
          <w:rFonts w:ascii="FangSong_GB2312" w:eastAsia="Times New Roman" w:cs="DengXian-Regular"/>
          <w:sz w:val="32"/>
          <w:szCs w:val="32"/>
        </w:rPr>
        <w:t>以空表列示。</w:t>
      </w:r>
    </w:p>
    <w:p w14:paraId="1A0A731D">
      <w:pPr>
        <w:adjustRightInd w:val="0"/>
        <w:snapToGrid w:val="0"/>
        <w:spacing w:after="0" w:line="580" w:lineRule="exact"/>
        <w:ind w:firstLine="640"/>
        <w:rPr>
          <w:rFonts w:ascii="FangSong_GB2312" w:eastAsia="Times New Roman" w:cs="DengXian-Regular"/>
          <w:sz w:val="32"/>
          <w:szCs w:val="32"/>
        </w:rPr>
      </w:pPr>
      <w:r>
        <w:rPr>
          <w:rFonts w:ascii="FangSong_GB2312" w:eastAsia="Times New Roman" w:cs="DengXian-Regular"/>
          <w:sz w:val="32"/>
          <w:szCs w:val="32"/>
        </w:rPr>
        <w:t>2、由于决算公开表格中金额数值应当保留两位小数，公开数据为四舍五入计算结果，个别数据合计项与分项之和存在小数点后差额，特此说明。</w:t>
      </w:r>
    </w:p>
    <w:p w14:paraId="5A3228A3">
      <w:pPr>
        <w:widowControl/>
        <w:spacing w:after="0" w:line="580" w:lineRule="exact"/>
        <w:ind w:firstLine="883"/>
        <w:jc w:val="left"/>
        <w:rPr>
          <w:rFonts w:ascii="宋体" w:cs="MS-UIGothic,Bold"/>
          <w:b/>
          <w:bCs/>
          <w:kern w:val="0"/>
          <w:sz w:val="44"/>
          <w:szCs w:val="44"/>
        </w:rPr>
        <w:sectPr>
          <w:pgSz w:w="11906" w:h="16838"/>
          <w:pgMar w:top="2098" w:right="1474" w:bottom="1984" w:left="1588" w:header="851" w:footer="992" w:gutter="0"/>
          <w:cols w:space="720" w:num="1"/>
          <w:docGrid w:type="lines" w:linePitch="312" w:charSpace="0"/>
        </w:sectPr>
      </w:pPr>
    </w:p>
    <w:p w14:paraId="0E9F2004">
      <w:pPr>
        <w:widowControl/>
        <w:spacing w:line="1200" w:lineRule="exact"/>
        <w:jc w:val="center"/>
        <w:rPr>
          <w:rFonts w:ascii="黑体" w:eastAsia="黑体"/>
          <w:color w:val="000000"/>
          <w:sz w:val="96"/>
          <w:szCs w:val="96"/>
        </w:rPr>
      </w:pPr>
    </w:p>
    <w:p w14:paraId="01F9BC9B">
      <w:pPr>
        <w:widowControl/>
        <w:spacing w:line="1200" w:lineRule="exact"/>
        <w:jc w:val="center"/>
        <w:rPr>
          <w:rFonts w:ascii="黑体" w:eastAsia="黑体"/>
          <w:color w:val="000000"/>
          <w:sz w:val="96"/>
          <w:szCs w:val="96"/>
        </w:rPr>
      </w:pPr>
    </w:p>
    <w:p w14:paraId="65582B7A">
      <w:pPr>
        <w:widowControl/>
        <w:spacing w:line="1200" w:lineRule="exact"/>
        <w:jc w:val="center"/>
        <w:rPr>
          <w:rFonts w:ascii="黑体" w:eastAsia="黑体"/>
          <w:color w:val="000000"/>
          <w:sz w:val="96"/>
          <w:szCs w:val="96"/>
        </w:rPr>
      </w:pPr>
    </w:p>
    <w:p w14:paraId="7866F001">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14:paraId="1FFDA429">
      <w:pPr>
        <w:widowControl/>
        <w:spacing w:line="1200" w:lineRule="exact"/>
        <w:jc w:val="center"/>
        <w:rPr>
          <w:color w:val="000000"/>
          <w:sz w:val="96"/>
          <w:szCs w:val="96"/>
        </w:rPr>
      </w:pPr>
      <w:r>
        <w:rPr>
          <w:rFonts w:hint="eastAsia" w:ascii="黑体" w:eastAsia="黑体"/>
          <w:color w:val="000000"/>
          <w:sz w:val="96"/>
          <w:szCs w:val="96"/>
        </w:rPr>
        <w:t>名词解释</w:t>
      </w:r>
    </w:p>
    <w:p w14:paraId="6D8F7845">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14:paraId="26FF8A7A">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（一）财政拨款收入：</w:t>
      </w:r>
      <w:r>
        <w:rPr>
          <w:rFonts w:ascii="FangSong_GB2312" w:eastAsia="Times New Roman"/>
          <w:color w:val="000000"/>
          <w:kern w:val="0"/>
          <w:sz w:val="32"/>
          <w:szCs w:val="32"/>
        </w:rPr>
        <w:t>本年度从本级财政部门取得的财政拨款，包括一般公共预算财政拨款和政府性基金预算财政拨款。</w:t>
      </w:r>
    </w:p>
    <w:p w14:paraId="0CC215E6">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（二）事业收入：</w:t>
      </w:r>
      <w:r>
        <w:rPr>
          <w:rFonts w:ascii="FangSong_GB2312" w:eastAsia="Times New Roman"/>
          <w:color w:val="000000"/>
          <w:kern w:val="0"/>
          <w:sz w:val="32"/>
          <w:szCs w:val="32"/>
        </w:rPr>
        <w:t>指事业单位开展专业业务活动及辅助活动所取得的收入。</w:t>
      </w:r>
    </w:p>
    <w:p w14:paraId="2D04DA9C">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（三）其他收入：</w:t>
      </w:r>
      <w:r>
        <w:rPr>
          <w:rFonts w:ascii="FangSong_GB2312" w:eastAsia="Times New Roman"/>
          <w:color w:val="000000"/>
          <w:kern w:val="0"/>
          <w:sz w:val="32"/>
          <w:szCs w:val="32"/>
        </w:rPr>
        <w:t>指除上述“财政拨款收入”“事业收入”“经营收入”等以外的收入。</w:t>
      </w:r>
    </w:p>
    <w:p w14:paraId="19CDD959">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（四）用事业基金弥补收支差额：</w:t>
      </w:r>
      <w:r>
        <w:rPr>
          <w:rFonts w:ascii="FangSong_GB2312" w:eastAsia="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4BB0496A">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（五）年初结转和结余：</w:t>
      </w:r>
      <w:r>
        <w:rPr>
          <w:rFonts w:ascii="FangSong_GB2312" w:eastAsia="Times New Roman"/>
          <w:color w:val="000000"/>
          <w:kern w:val="0"/>
          <w:sz w:val="32"/>
          <w:szCs w:val="32"/>
        </w:rPr>
        <w:t>指以前年度尚未完成、结转到本年仍按原规定用途继续使用的资金，或项目已完成等产生的结余资金。</w:t>
      </w:r>
    </w:p>
    <w:p w14:paraId="511C78CA">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（六）结余分配：</w:t>
      </w:r>
      <w:r>
        <w:rPr>
          <w:rFonts w:ascii="FangSong_GB2312" w:eastAsia="Times New Roman"/>
          <w:color w:val="000000"/>
          <w:kern w:val="0"/>
          <w:sz w:val="32"/>
          <w:szCs w:val="32"/>
        </w:rPr>
        <w:t>指事业单位按照事业单位会计制度的规定从非财政补助结余中分配的事业基金和职工福利基金等。</w:t>
      </w:r>
    </w:p>
    <w:p w14:paraId="1907F34B">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（七）年末结转和结余：</w:t>
      </w:r>
      <w:r>
        <w:rPr>
          <w:rFonts w:ascii="FangSong_GB2312" w:eastAsia="Times New Roman"/>
          <w:color w:val="000000"/>
          <w:kern w:val="0"/>
          <w:sz w:val="32"/>
          <w:szCs w:val="32"/>
        </w:rPr>
        <w:t>指单位按有关规定结转到下年或以后年度继续使用的资金，或项目已完成等产生的结余资金。</w:t>
      </w:r>
    </w:p>
    <w:p w14:paraId="2CBA693F">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（八）基本支出：</w:t>
      </w:r>
      <w:r>
        <w:rPr>
          <w:rFonts w:ascii="FangSong_GB2312" w:eastAsia="Times New Roman"/>
          <w:color w:val="000000"/>
          <w:kern w:val="0"/>
          <w:sz w:val="32"/>
          <w:szCs w:val="32"/>
        </w:rPr>
        <w:t>填列单位为保障机构正常运转、完成日常工作任务而发生的各项支出。</w:t>
      </w:r>
    </w:p>
    <w:p w14:paraId="65E8E5EE">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（九）项目支出：</w:t>
      </w:r>
      <w:r>
        <w:rPr>
          <w:rFonts w:ascii="FangSong_GB2312" w:eastAsia="Times New Roman"/>
          <w:color w:val="000000"/>
          <w:kern w:val="0"/>
          <w:sz w:val="32"/>
          <w:szCs w:val="32"/>
        </w:rPr>
        <w:t>填列单位为完成特定的行政工作任务或事业发展目标，在基本支出之外发生的各项支出</w:t>
      </w:r>
    </w:p>
    <w:p w14:paraId="60E6BBB3">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（十）资本性支出（基本建设）：</w:t>
      </w:r>
      <w:r>
        <w:rPr>
          <w:rFonts w:ascii="FangSong_GB2312" w:eastAsia="Times New Roman"/>
          <w:color w:val="000000"/>
          <w:kern w:val="0"/>
          <w:sz w:val="32"/>
          <w:szCs w:val="32"/>
        </w:rPr>
        <w:t>填列切块由发展改革部门安排的基本建设支出，对企业补助支出不在此科目反映。</w:t>
      </w:r>
    </w:p>
    <w:p w14:paraId="498B3980">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（十一）资本性支出：</w:t>
      </w:r>
      <w:r>
        <w:rPr>
          <w:rFonts w:ascii="FangSong_GB2312" w:eastAsia="Times New Roman"/>
          <w:color w:val="000000"/>
          <w:kern w:val="0"/>
          <w:sz w:val="32"/>
          <w:szCs w:val="32"/>
        </w:rPr>
        <w:t>填列各单位安排的资本性支出。切块由发展改革部门安排的基本建设支出不在此科目反映。</w:t>
      </w:r>
    </w:p>
    <w:p w14:paraId="1B043A79">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（十二）“三公”经费：</w:t>
      </w:r>
      <w:r>
        <w:rPr>
          <w:rFonts w:ascii="FangSong_GB2312" w:eastAsia="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13F37B99">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（十三）其他交通费用：</w:t>
      </w:r>
      <w:r>
        <w:rPr>
          <w:rFonts w:ascii="FangSong_GB2312" w:eastAsia="Times New Roman"/>
          <w:color w:val="000000"/>
          <w:kern w:val="0"/>
          <w:sz w:val="32"/>
          <w:szCs w:val="32"/>
        </w:rPr>
        <w:t>填列单位除公务用车运行维护费以外的其他交通费用。如公务交通补贴、租车费用、出租车费用、飞机、船舶等的燃料费、维修费、保险费等。</w:t>
      </w:r>
    </w:p>
    <w:p w14:paraId="43C64807">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（十四）公务用车购置：</w:t>
      </w:r>
      <w:r>
        <w:rPr>
          <w:rFonts w:ascii="FangSong_GB2312" w:eastAsia="Times New Roman"/>
          <w:color w:val="000000"/>
          <w:kern w:val="0"/>
          <w:sz w:val="32"/>
          <w:szCs w:val="32"/>
        </w:rPr>
        <w:t>填列单位公务用车购置支出（含车辆购置税、牌照费）。</w:t>
      </w:r>
    </w:p>
    <w:p w14:paraId="1F7EC273">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（十五）其他交通工具购置：</w:t>
      </w:r>
      <w:r>
        <w:rPr>
          <w:rFonts w:ascii="FangSong_GB2312" w:eastAsia="Times New Roman"/>
          <w:color w:val="000000"/>
          <w:kern w:val="0"/>
          <w:sz w:val="32"/>
          <w:szCs w:val="32"/>
        </w:rPr>
        <w:t>填列单位除公务用车外的其他各类交通工具（如船舶、飞机）购置支出（含车辆购置税、牌照费）。</w:t>
      </w:r>
    </w:p>
    <w:p w14:paraId="1ACBB505">
      <w:pPr>
        <w:widowControl/>
        <w:spacing w:after="0" w:line="560" w:lineRule="exact"/>
        <w:ind w:firstLine="643"/>
        <w:rPr>
          <w:rFonts w:ascii="FangSong_GB2312" w:eastAsia="Times New Roman"/>
          <w:color w:val="000000"/>
          <w:kern w:val="0"/>
          <w:sz w:val="32"/>
          <w:szCs w:val="32"/>
        </w:rPr>
      </w:pPr>
      <w:r>
        <w:rPr>
          <w:rFonts w:ascii="FangSong_GB2312" w:eastAsia="Times New Roman"/>
          <w:b/>
          <w:bCs/>
          <w:color w:val="000000"/>
          <w:kern w:val="0"/>
          <w:sz w:val="32"/>
          <w:szCs w:val="32"/>
        </w:rPr>
        <w:t>（十六）机关运行经费：</w:t>
      </w:r>
      <w:r>
        <w:rPr>
          <w:rFonts w:ascii="FangSong_GB2312" w:eastAsia="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036DC398">
      <w:pPr>
        <w:widowControl/>
        <w:spacing w:after="0" w:line="560" w:lineRule="exact"/>
        <w:ind w:firstLine="643"/>
        <w:rPr>
          <w:rFonts w:ascii="FangSong_GB2312" w:eastAsia="Times New Roman" w:cs="ArialUnicodeMS"/>
          <w:kern w:val="0"/>
          <w:sz w:val="32"/>
          <w:szCs w:val="32"/>
        </w:rPr>
      </w:pPr>
      <w:r>
        <w:rPr>
          <w:rFonts w:ascii="FangSong_GB2312" w:eastAsia="Times New Roman"/>
          <w:b/>
          <w:bCs/>
          <w:color w:val="000000"/>
          <w:kern w:val="0"/>
          <w:sz w:val="32"/>
          <w:szCs w:val="32"/>
        </w:rPr>
        <w:t>（十七）经费形式:</w:t>
      </w:r>
      <w:r>
        <w:rPr>
          <w:rFonts w:ascii="FangSong_GB2312" w:eastAsia="Times New Roman"/>
          <w:color w:val="000000"/>
          <w:kern w:val="0"/>
          <w:sz w:val="32"/>
          <w:szCs w:val="32"/>
        </w:rPr>
        <w:t>按照经费来源，</w:t>
      </w:r>
      <w:r>
        <w:rPr>
          <w:rFonts w:ascii="FangSong_GB2312" w:eastAsia="Times New Roman" w:cs="ArialUnicodeMS"/>
          <w:kern w:val="0"/>
          <w:sz w:val="32"/>
          <w:szCs w:val="32"/>
        </w:rPr>
        <w:t>可分为财政拨款、财政性资金基本保证、财政性资金定额或定项补助、财政性资金零补助四类。</w:t>
      </w:r>
    </w:p>
    <w:p w14:paraId="121A0518">
      <w:pPr>
        <w:widowControl/>
        <w:spacing w:after="0" w:line="560" w:lineRule="exact"/>
        <w:ind w:firstLine="640"/>
        <w:rPr>
          <w:rFonts w:ascii="FangSong_GB2312" w:eastAsia="Times New Roman" w:cs="ArialUnicodeMS"/>
          <w:kern w:val="0"/>
          <w:sz w:val="32"/>
          <w:szCs w:val="32"/>
        </w:rPr>
      </w:pPr>
    </w:p>
    <w:p w14:paraId="2C350FD9">
      <w:pPr>
        <w:widowControl/>
        <w:spacing w:after="0" w:line="560" w:lineRule="exact"/>
        <w:ind w:firstLine="640"/>
        <w:rPr>
          <w:rFonts w:ascii="FangSong_GB2312" w:eastAsia="Times New Roman" w:cs="ArialUnicodeMS"/>
          <w:kern w:val="0"/>
          <w:sz w:val="32"/>
          <w:szCs w:val="32"/>
        </w:rPr>
      </w:pPr>
    </w:p>
    <w:p w14:paraId="244F947A">
      <w:pPr>
        <w:widowControl/>
        <w:spacing w:after="0" w:line="560" w:lineRule="exact"/>
        <w:ind w:firstLine="640"/>
        <w:rPr>
          <w:rFonts w:ascii="FangSong_GB2312" w:eastAsia="Times New Roman" w:cs="ArialUnicodeMS"/>
          <w:kern w:val="0"/>
          <w:sz w:val="32"/>
          <w:szCs w:val="32"/>
        </w:rPr>
      </w:pPr>
    </w:p>
    <w:p w14:paraId="580664AF">
      <w:pPr>
        <w:widowControl/>
        <w:spacing w:after="0" w:line="560" w:lineRule="exact"/>
        <w:ind w:firstLine="640"/>
        <w:rPr>
          <w:rFonts w:ascii="FangSong_GB2312" w:eastAsia="Times New Roman" w:cs="ArialUnicodeMS"/>
          <w:kern w:val="0"/>
          <w:sz w:val="32"/>
          <w:szCs w:val="32"/>
        </w:rPr>
      </w:pPr>
    </w:p>
    <w:p w14:paraId="24F927F3">
      <w:pPr>
        <w:widowControl/>
        <w:spacing w:after="0" w:line="560" w:lineRule="exact"/>
        <w:ind w:firstLine="640"/>
        <w:rPr>
          <w:rFonts w:ascii="FangSong_GB2312" w:eastAsia="Times New Roman" w:cs="ArialUnicodeMS"/>
          <w:kern w:val="0"/>
          <w:sz w:val="32"/>
          <w:szCs w:val="32"/>
        </w:rPr>
      </w:pPr>
    </w:p>
    <w:p w14:paraId="0404857C">
      <w:pPr>
        <w:widowControl/>
        <w:spacing w:after="0" w:line="560" w:lineRule="exact"/>
        <w:ind w:firstLine="640"/>
        <w:rPr>
          <w:rFonts w:ascii="FangSong_GB2312" w:eastAsia="Times New Roman" w:cs="ArialUnicodeMS"/>
          <w:kern w:val="0"/>
          <w:sz w:val="32"/>
          <w:szCs w:val="32"/>
        </w:rPr>
      </w:pPr>
    </w:p>
    <w:p w14:paraId="6D7B60F6">
      <w:pPr>
        <w:widowControl/>
        <w:spacing w:after="0" w:line="560" w:lineRule="exact"/>
        <w:ind w:firstLine="640"/>
        <w:rPr>
          <w:rFonts w:ascii="FangSong_GB2312" w:eastAsia="Times New Roman" w:cs="ArialUnicodeMS"/>
          <w:kern w:val="0"/>
          <w:sz w:val="32"/>
          <w:szCs w:val="32"/>
        </w:rPr>
      </w:pPr>
    </w:p>
    <w:p w14:paraId="76C478D5">
      <w:pPr>
        <w:widowControl/>
        <w:spacing w:after="0" w:line="560" w:lineRule="exact"/>
        <w:ind w:firstLine="640"/>
        <w:rPr>
          <w:rFonts w:ascii="FangSong_GB2312" w:eastAsia="Times New Roman" w:cs="ArialUnicodeMS"/>
          <w:kern w:val="0"/>
          <w:sz w:val="32"/>
          <w:szCs w:val="32"/>
        </w:rPr>
      </w:pPr>
    </w:p>
    <w:p w14:paraId="4923E343">
      <w:pPr>
        <w:widowControl/>
        <w:spacing w:after="0" w:line="560" w:lineRule="exact"/>
        <w:ind w:firstLine="640"/>
        <w:rPr>
          <w:rFonts w:ascii="FangSong_GB2312" w:eastAsia="Times New Roman" w:cs="ArialUnicodeMS"/>
          <w:kern w:val="0"/>
          <w:sz w:val="32"/>
          <w:szCs w:val="32"/>
        </w:rPr>
      </w:pPr>
    </w:p>
    <w:p w14:paraId="2B4D2D73">
      <w:pPr>
        <w:widowControl/>
        <w:spacing w:after="0" w:line="560" w:lineRule="exact"/>
        <w:rPr>
          <w:rFonts w:ascii="FangSong_GB2312" w:eastAsia="Times New Roman"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ArialUnicodeMS">
    <w:altName w:val="Malgun Gothic"/>
    <w:panose1 w:val="00000000000000000000"/>
    <w:charset w:val="81"/>
    <w:family w:val="auto"/>
    <w:pitch w:val="default"/>
    <w:sig w:usb0="00000000" w:usb1="00000000" w:usb2="00000010" w:usb3="00000000" w:csb0="00080000"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0" w:csb1="00000000"/>
  </w:font>
  <w:font w:name="KaiTi_GB2312">
    <w:altName w:val="楷体"/>
    <w:panose1 w:val="00000000000000000000"/>
    <w:charset w:val="00"/>
    <w:family w:val="roman"/>
    <w:pitch w:val="default"/>
    <w:sig w:usb0="00000000" w:usb1="00000000" w:usb2="00000000" w:usb3="00000000" w:csb0="00000000" w:csb1="00000000"/>
  </w:font>
  <w:font w:name="DengXian-Bold">
    <w:altName w:val="宋体"/>
    <w:panose1 w:val="00000000000000000000"/>
    <w:charset w:val="86"/>
    <w:family w:val="auto"/>
    <w:pitch w:val="default"/>
    <w:sig w:usb0="00000000" w:usb1="00000000" w:usb2="00000010" w:usb3="00000000" w:csb0="00040000" w:csb1="00000000"/>
  </w:font>
  <w:font w:name="___WRD_EMBED_SUB_41">
    <w:altName w:val="宋体"/>
    <w:panose1 w:val="00000000000000000000"/>
    <w:charset w:val="86"/>
    <w:family w:val="modern"/>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420"/>
  <w:drawingGridHorizontalSpacing w:val="105"/>
  <w:drawingGridVerticalSpacing w:val="156"/>
  <w:displayHorizontalDrawingGridEvery w:val="0"/>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zdlZjVkMzhkN2M2NjI3YzkwZjgxYTYwNzY3NWYifQ=="/>
  </w:docVars>
  <w:rsids>
    <w:rsidRoot w:val="00725CF6"/>
    <w:rsid w:val="000A1D26"/>
    <w:rsid w:val="00112E4A"/>
    <w:rsid w:val="00193C0E"/>
    <w:rsid w:val="001F0D30"/>
    <w:rsid w:val="003E6C2C"/>
    <w:rsid w:val="005358A3"/>
    <w:rsid w:val="005D150D"/>
    <w:rsid w:val="00632F53"/>
    <w:rsid w:val="00641326"/>
    <w:rsid w:val="00725CF6"/>
    <w:rsid w:val="008820AB"/>
    <w:rsid w:val="009A4165"/>
    <w:rsid w:val="009C7EB4"/>
    <w:rsid w:val="00A63537"/>
    <w:rsid w:val="00AD7937"/>
    <w:rsid w:val="00B24359"/>
    <w:rsid w:val="00BC365C"/>
    <w:rsid w:val="00ED2DD4"/>
    <w:rsid w:val="00F015A3"/>
    <w:rsid w:val="075C27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lang w:val="en-US" w:eastAsia="zh-CN" w:bidi="ar-SA"/>
    </w:rPr>
  </w:style>
  <w:style w:type="paragraph" w:styleId="2">
    <w:name w:val="heading 1"/>
    <w:basedOn w:val="1"/>
    <w:next w:val="1"/>
    <w:link w:val="17"/>
    <w:uiPriority w:val="0"/>
    <w:pPr>
      <w:spacing w:before="480"/>
    </w:pPr>
    <w:rPr>
      <w:b/>
      <w:color w:val="345A8A"/>
      <w:sz w:val="32"/>
    </w:rPr>
  </w:style>
  <w:style w:type="paragraph" w:styleId="3">
    <w:name w:val="heading 2"/>
    <w:basedOn w:val="1"/>
    <w:next w:val="1"/>
    <w:link w:val="18"/>
    <w:uiPriority w:val="0"/>
    <w:pPr>
      <w:spacing w:before="200"/>
    </w:pPr>
    <w:rPr>
      <w:b/>
      <w:color w:val="4F81BD"/>
      <w:sz w:val="26"/>
    </w:rPr>
  </w:style>
  <w:style w:type="paragraph" w:styleId="4">
    <w:name w:val="heading 3"/>
    <w:basedOn w:val="1"/>
    <w:next w:val="1"/>
    <w:link w:val="19"/>
    <w:uiPriority w:val="0"/>
    <w:pPr>
      <w:spacing w:before="200"/>
    </w:pPr>
    <w:rPr>
      <w:b/>
      <w:color w:val="4F81BD"/>
      <w:sz w:val="24"/>
    </w:rPr>
  </w:style>
  <w:style w:type="paragraph" w:styleId="5">
    <w:name w:val="heading 4"/>
    <w:basedOn w:val="1"/>
    <w:next w:val="1"/>
    <w:link w:val="20"/>
    <w:qFormat/>
    <w:uiPriority w:val="99"/>
    <w:pPr>
      <w:keepNext/>
      <w:keepLines/>
      <w:spacing w:before="280" w:after="290" w:line="377" w:lineRule="auto"/>
      <w:outlineLvl w:val="3"/>
    </w:pPr>
    <w:rPr>
      <w:rFonts w:ascii="Calibri" w:hAnsi="Calibri" w:cs="Arial"/>
      <w:b/>
      <w:bCs/>
      <w:sz w:val="28"/>
      <w:szCs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5"/>
    <w:semiHidden/>
    <w:uiPriority w:val="99"/>
    <w:pPr>
      <w:jc w:val="left"/>
    </w:pPr>
  </w:style>
  <w:style w:type="paragraph" w:styleId="7">
    <w:name w:val="Date"/>
    <w:basedOn w:val="1"/>
    <w:next w:val="1"/>
    <w:link w:val="21"/>
    <w:uiPriority w:val="99"/>
    <w:pPr>
      <w:ind w:left="2500"/>
    </w:pPr>
  </w:style>
  <w:style w:type="paragraph" w:styleId="8">
    <w:name w:val="Balloon Text"/>
    <w:basedOn w:val="1"/>
    <w:link w:val="22"/>
    <w:uiPriority w:val="99"/>
    <w:rPr>
      <w:sz w:val="18"/>
      <w:szCs w:val="18"/>
    </w:rPr>
  </w:style>
  <w:style w:type="paragraph" w:styleId="9">
    <w:name w:val="footer"/>
    <w:basedOn w:val="1"/>
    <w:link w:val="23"/>
    <w:uiPriority w:val="99"/>
    <w:pPr>
      <w:tabs>
        <w:tab w:val="center" w:pos="4153"/>
        <w:tab w:val="right" w:pos="8306"/>
      </w:tabs>
      <w:snapToGrid w:val="0"/>
      <w:jc w:val="left"/>
    </w:pPr>
    <w:rPr>
      <w:rFonts w:ascii="Cambria" w:hAnsi="Cambria" w:eastAsia="黑体"/>
      <w:sz w:val="18"/>
      <w:szCs w:val="18"/>
    </w:rPr>
  </w:style>
  <w:style w:type="paragraph" w:styleId="10">
    <w:name w:val="header"/>
    <w:basedOn w:val="1"/>
    <w:link w:val="24"/>
    <w:uiPriority w:val="99"/>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1">
    <w:name w:val="Subtitle"/>
    <w:basedOn w:val="1"/>
    <w:next w:val="1"/>
    <w:link w:val="25"/>
    <w:uiPriority w:val="0"/>
    <w:rPr>
      <w:i/>
      <w:color w:val="4F81BD"/>
      <w:sz w:val="24"/>
    </w:rPr>
  </w:style>
  <w:style w:type="paragraph" w:styleId="12">
    <w:name w:val="Title"/>
    <w:basedOn w:val="1"/>
    <w:next w:val="1"/>
    <w:link w:val="26"/>
    <w:uiPriority w:val="0"/>
    <w:pPr>
      <w:spacing w:after="300"/>
    </w:pPr>
    <w:rPr>
      <w:color w:val="17365D"/>
      <w:sz w:val="52"/>
    </w:rPr>
  </w:style>
  <w:style w:type="paragraph" w:styleId="13">
    <w:name w:val="annotation subject"/>
    <w:basedOn w:val="6"/>
    <w:next w:val="6"/>
    <w:link w:val="36"/>
    <w:semiHidden/>
    <w:uiPriority w:val="99"/>
    <w:rPr>
      <w:b/>
      <w:bCs/>
    </w:rPr>
  </w:style>
  <w:style w:type="character" w:styleId="16">
    <w:name w:val="annotation reference"/>
    <w:basedOn w:val="15"/>
    <w:semiHidden/>
    <w:uiPriority w:val="99"/>
    <w:rPr>
      <w:rFonts w:cs="Times New Roman"/>
      <w:sz w:val="21"/>
      <w:szCs w:val="21"/>
    </w:rPr>
  </w:style>
  <w:style w:type="character" w:customStyle="1" w:styleId="17">
    <w:name w:val="标题 1 Char"/>
    <w:basedOn w:val="15"/>
    <w:link w:val="2"/>
    <w:locked/>
    <w:uiPriority w:val="99"/>
    <w:rPr>
      <w:rFonts w:cs="Times New Roman"/>
      <w:b/>
      <w:bCs/>
      <w:kern w:val="44"/>
      <w:sz w:val="44"/>
      <w:szCs w:val="44"/>
    </w:rPr>
  </w:style>
  <w:style w:type="character" w:customStyle="1" w:styleId="18">
    <w:name w:val="标题 2 Char"/>
    <w:basedOn w:val="15"/>
    <w:link w:val="3"/>
    <w:semiHidden/>
    <w:locked/>
    <w:uiPriority w:val="99"/>
    <w:rPr>
      <w:rFonts w:ascii="Cambria" w:hAnsi="Cambria" w:eastAsia="宋体" w:cs="Times New Roman"/>
      <w:b/>
      <w:bCs/>
      <w:sz w:val="32"/>
      <w:szCs w:val="32"/>
    </w:rPr>
  </w:style>
  <w:style w:type="character" w:customStyle="1" w:styleId="19">
    <w:name w:val="标题 3 Char"/>
    <w:basedOn w:val="15"/>
    <w:link w:val="4"/>
    <w:semiHidden/>
    <w:locked/>
    <w:uiPriority w:val="99"/>
    <w:rPr>
      <w:rFonts w:cs="Times New Roman"/>
      <w:b/>
      <w:bCs/>
      <w:sz w:val="32"/>
      <w:szCs w:val="32"/>
    </w:rPr>
  </w:style>
  <w:style w:type="character" w:customStyle="1" w:styleId="20">
    <w:name w:val="标题 4 Char"/>
    <w:basedOn w:val="15"/>
    <w:link w:val="5"/>
    <w:semiHidden/>
    <w:locked/>
    <w:uiPriority w:val="99"/>
    <w:rPr>
      <w:rFonts w:ascii="Cambria" w:hAnsi="Cambria" w:eastAsia="宋体" w:cs="Times New Roman"/>
      <w:b/>
      <w:bCs/>
      <w:sz w:val="28"/>
      <w:szCs w:val="28"/>
    </w:rPr>
  </w:style>
  <w:style w:type="character" w:customStyle="1" w:styleId="21">
    <w:name w:val="日期 Char"/>
    <w:basedOn w:val="15"/>
    <w:link w:val="7"/>
    <w:semiHidden/>
    <w:locked/>
    <w:uiPriority w:val="99"/>
    <w:rPr>
      <w:rFonts w:cs="Times New Roman"/>
      <w:sz w:val="24"/>
      <w:szCs w:val="24"/>
    </w:rPr>
  </w:style>
  <w:style w:type="character" w:customStyle="1" w:styleId="22">
    <w:name w:val="批注框文本 Char"/>
    <w:basedOn w:val="15"/>
    <w:link w:val="8"/>
    <w:semiHidden/>
    <w:locked/>
    <w:uiPriority w:val="99"/>
    <w:rPr>
      <w:rFonts w:cs="Times New Roman"/>
      <w:sz w:val="2"/>
    </w:rPr>
  </w:style>
  <w:style w:type="character" w:customStyle="1" w:styleId="23">
    <w:name w:val="页脚 Char"/>
    <w:basedOn w:val="15"/>
    <w:link w:val="9"/>
    <w:semiHidden/>
    <w:locked/>
    <w:uiPriority w:val="99"/>
    <w:rPr>
      <w:rFonts w:cs="Times New Roman"/>
      <w:sz w:val="18"/>
      <w:szCs w:val="18"/>
    </w:rPr>
  </w:style>
  <w:style w:type="character" w:customStyle="1" w:styleId="24">
    <w:name w:val="页眉 Char"/>
    <w:basedOn w:val="15"/>
    <w:link w:val="10"/>
    <w:semiHidden/>
    <w:locked/>
    <w:uiPriority w:val="99"/>
    <w:rPr>
      <w:rFonts w:cs="Times New Roman"/>
      <w:sz w:val="18"/>
      <w:szCs w:val="18"/>
    </w:rPr>
  </w:style>
  <w:style w:type="character" w:customStyle="1" w:styleId="25">
    <w:name w:val="副标题 Char"/>
    <w:basedOn w:val="15"/>
    <w:link w:val="11"/>
    <w:locked/>
    <w:uiPriority w:val="99"/>
    <w:rPr>
      <w:rFonts w:ascii="Cambria" w:hAnsi="Cambria" w:cs="Times New Roman"/>
      <w:b/>
      <w:bCs/>
      <w:kern w:val="28"/>
      <w:sz w:val="32"/>
      <w:szCs w:val="32"/>
    </w:rPr>
  </w:style>
  <w:style w:type="character" w:customStyle="1" w:styleId="26">
    <w:name w:val="标题 Char"/>
    <w:basedOn w:val="15"/>
    <w:link w:val="12"/>
    <w:locked/>
    <w:uiPriority w:val="99"/>
    <w:rPr>
      <w:rFonts w:ascii="Cambria" w:hAnsi="Cambria" w:cs="Times New Roman"/>
      <w:b/>
      <w:bCs/>
      <w:sz w:val="32"/>
      <w:szCs w:val="32"/>
    </w:rPr>
  </w:style>
  <w:style w:type="paragraph" w:customStyle="1" w:styleId="27">
    <w:name w:val="No Spacing1"/>
    <w:uiPriority w:val="99"/>
    <w:pPr>
      <w:spacing w:after="160" w:line="480" w:lineRule="auto"/>
    </w:pPr>
    <w:rPr>
      <w:rFonts w:ascii="Cambria" w:hAnsi="Cambria" w:eastAsia="黑体" w:cs="Times New Roman"/>
      <w:sz w:val="22"/>
      <w:szCs w:val="22"/>
      <w:lang w:val="en-US" w:eastAsia="zh-CN" w:bidi="ar-SA"/>
    </w:rPr>
  </w:style>
  <w:style w:type="character" w:customStyle="1" w:styleId="28">
    <w:name w:val="Style1"/>
    <w:basedOn w:val="15"/>
    <w:uiPriority w:val="99"/>
    <w:rPr>
      <w:rFonts w:ascii="Cambria" w:hAnsi="Cambria" w:eastAsia="黑体" w:cs="Times New Roman"/>
      <w:sz w:val="22"/>
      <w:szCs w:val="22"/>
      <w:lang w:eastAsia="zh-CN"/>
    </w:rPr>
  </w:style>
  <w:style w:type="character" w:customStyle="1" w:styleId="29">
    <w:name w:val="Style2"/>
    <w:basedOn w:val="15"/>
    <w:uiPriority w:val="99"/>
    <w:rPr>
      <w:rFonts w:ascii="Cambria" w:hAnsi="Cambria" w:eastAsia="黑体" w:cs="Times New Roman"/>
      <w:sz w:val="22"/>
      <w:szCs w:val="22"/>
      <w:lang w:eastAsia="zh-CN"/>
    </w:rPr>
  </w:style>
  <w:style w:type="character" w:customStyle="1" w:styleId="30">
    <w:name w:val="Style3"/>
    <w:basedOn w:val="15"/>
    <w:uiPriority w:val="99"/>
    <w:rPr>
      <w:rFonts w:ascii="Cambria" w:hAnsi="Cambria" w:eastAsia="黑体" w:cs="Times New Roman"/>
      <w:sz w:val="22"/>
      <w:szCs w:val="22"/>
      <w:lang w:eastAsia="zh-CN"/>
    </w:rPr>
  </w:style>
  <w:style w:type="character" w:customStyle="1" w:styleId="31">
    <w:name w:val="Style4"/>
    <w:basedOn w:val="15"/>
    <w:uiPriority w:val="99"/>
    <w:rPr>
      <w:rFonts w:ascii="Cambria" w:hAnsi="Cambria" w:eastAsia="黑体" w:cs="Times New Roman"/>
      <w:sz w:val="22"/>
      <w:szCs w:val="22"/>
      <w:lang w:eastAsia="zh-CN"/>
    </w:rPr>
  </w:style>
  <w:style w:type="character" w:customStyle="1" w:styleId="32">
    <w:name w:val="Style5"/>
    <w:basedOn w:val="15"/>
    <w:uiPriority w:val="99"/>
    <w:rPr>
      <w:rFonts w:ascii="Cambria" w:hAnsi="Cambria" w:eastAsia="黑体" w:cs="Times New Roman"/>
      <w:sz w:val="22"/>
      <w:szCs w:val="22"/>
      <w:lang w:eastAsia="zh-CN"/>
    </w:rPr>
  </w:style>
  <w:style w:type="paragraph" w:customStyle="1" w:styleId="33">
    <w:name w:val="List Paragraph1"/>
    <w:basedOn w:val="1"/>
    <w:uiPriority w:val="99"/>
    <w:pPr>
      <w:ind w:firstLine="200"/>
    </w:pPr>
  </w:style>
  <w:style w:type="paragraph" w:customStyle="1" w:styleId="34">
    <w:name w:val="普通(网站)1"/>
    <w:next w:val="9"/>
    <w:uiPriority w:val="99"/>
    <w:pPr>
      <w:widowControl w:val="0"/>
    </w:pPr>
    <w:rPr>
      <w:rFonts w:ascii="Calibri" w:hAnsi="Calibri" w:eastAsia="宋体" w:cs="黑体"/>
      <w:sz w:val="24"/>
      <w:szCs w:val="24"/>
      <w:lang w:val="en-US" w:eastAsia="zh-CN" w:bidi="ar-SA"/>
    </w:rPr>
  </w:style>
  <w:style w:type="character" w:customStyle="1" w:styleId="35">
    <w:name w:val="批注文字 Char"/>
    <w:basedOn w:val="15"/>
    <w:link w:val="6"/>
    <w:semiHidden/>
    <w:locked/>
    <w:uiPriority w:val="99"/>
    <w:rPr>
      <w:rFonts w:cs="Times New Roman"/>
      <w:sz w:val="24"/>
      <w:szCs w:val="24"/>
    </w:rPr>
  </w:style>
  <w:style w:type="character" w:customStyle="1" w:styleId="36">
    <w:name w:val="批注主题 Char"/>
    <w:basedOn w:val="35"/>
    <w:link w:val="13"/>
    <w:semiHidden/>
    <w:locked/>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4558</Words>
  <Characters>4907</Characters>
  <Lines>36</Lines>
  <Paragraphs>10</Paragraphs>
  <TotalTime>1481</TotalTime>
  <ScaleCrop>false</ScaleCrop>
  <LinksUpToDate>false</LinksUpToDate>
  <CharactersWithSpaces>4928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2019-10-29T09:08:00Z</dcterms:created>
  <dc:creator>User</dc:creator>
  <cp:lastModifiedBy>上进兄</cp:lastModifiedBy>
  <cp:lastPrinted>2019-09-27T00:42:00Z</cp:lastPrinted>
  <dcterms:modified xsi:type="dcterms:W3CDTF">2024-07-19T09:13:55Z</dcterms:modified>
  <dc:subject>石家庄市xxx部门</dc:subject>
  <dc:title>2017年度部门决算</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12D8731D59E64948AE2F708C079DCF6D_13</vt:lpwstr>
  </property>
</Properties>
</file>