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hint="eastAsia" w:ascii="Times New Roman" w:hAnsi="Times New Roman" w:eastAsia="仿宋_GB2312"/>
          <w:sz w:val="44"/>
          <w:szCs w:val="44"/>
        </w:rPr>
      </w:pPr>
    </w:p>
    <w:p>
      <w:pPr>
        <w:spacing w:line="584" w:lineRule="exact"/>
        <w:ind w:firstLine="880" w:firstLineChars="200"/>
        <w:jc w:val="center"/>
        <w:rPr>
          <w:rFonts w:ascii="Times New Roman" w:hAnsi="Times New Roman" w:eastAsia="方正小标宋简体"/>
          <w:sz w:val="44"/>
          <w:szCs w:val="44"/>
        </w:rPr>
      </w:pPr>
      <w:r>
        <w:rPr>
          <w:rFonts w:hint="eastAsia" w:ascii="Times New Roman" w:hAnsi="Times New Roman" w:eastAsia="方正小标宋简体"/>
          <w:sz w:val="44"/>
          <w:szCs w:val="44"/>
        </w:rPr>
        <w:t>廊坊市广阳区科学技术局</w:t>
      </w:r>
      <w:r>
        <w:rPr>
          <w:rFonts w:ascii="Times New Roman" w:hAnsi="Times New Roman" w:eastAsia="方正小标宋简体"/>
          <w:sz w:val="44"/>
          <w:szCs w:val="44"/>
        </w:rPr>
        <w:t>2020</w:t>
      </w:r>
      <w:r>
        <w:rPr>
          <w:rFonts w:hint="eastAsia" w:ascii="Times New Roman" w:hAnsi="Times New Roman" w:eastAsia="方正小标宋简体"/>
          <w:sz w:val="44"/>
          <w:szCs w:val="44"/>
        </w:rPr>
        <w:t>年部门预算信息公开情况说明</w:t>
      </w:r>
    </w:p>
    <w:p>
      <w:pPr>
        <w:spacing w:line="584" w:lineRule="exact"/>
        <w:ind w:firstLine="880" w:firstLineChars="200"/>
        <w:jc w:val="center"/>
        <w:rPr>
          <w:rFonts w:ascii="Times New Roman" w:hAnsi="Times New Roman" w:eastAsia="仿宋_GB2312"/>
          <w:sz w:val="44"/>
          <w:szCs w:val="44"/>
        </w:rPr>
      </w:pPr>
    </w:p>
    <w:p>
      <w:pPr>
        <w:spacing w:line="58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按照《</w:t>
      </w:r>
      <w:r>
        <w:rPr>
          <w:rFonts w:hint="eastAsia" w:ascii="Times New Roman" w:hAnsi="Times New Roman" w:eastAsia="仿宋_GB2312"/>
          <w:sz w:val="32"/>
          <w:szCs w:val="32"/>
          <w:lang w:eastAsia="zh-CN"/>
        </w:rPr>
        <w:t>中华人民共和国</w:t>
      </w:r>
      <w:r>
        <w:rPr>
          <w:rFonts w:hint="eastAsia" w:ascii="Times New Roman" w:hAnsi="Times New Roman" w:eastAsia="仿宋_GB2312"/>
          <w:sz w:val="32"/>
          <w:szCs w:val="32"/>
        </w:rPr>
        <w:t>预算法》、《地方预决算公开操作规程》和《河北省省级预算公开办法》规定，现将廊坊市广阳区科学技术局</w:t>
      </w:r>
      <w:r>
        <w:rPr>
          <w:rFonts w:ascii="Times New Roman" w:hAnsi="Times New Roman" w:eastAsia="仿宋_GB2312"/>
          <w:sz w:val="32"/>
          <w:szCs w:val="32"/>
        </w:rPr>
        <w:t>2020</w:t>
      </w:r>
      <w:r>
        <w:rPr>
          <w:rFonts w:hint="eastAsia" w:ascii="Times New Roman" w:hAnsi="Times New Roman" w:eastAsia="仿宋_GB2312"/>
          <w:sz w:val="32"/>
          <w:szCs w:val="32"/>
        </w:rPr>
        <w:t>年部门预算公开如下：</w:t>
      </w:r>
    </w:p>
    <w:p>
      <w:pPr>
        <w:spacing w:line="584" w:lineRule="exact"/>
        <w:ind w:firstLine="640" w:firstLineChars="200"/>
        <w:rPr>
          <w:rFonts w:ascii="Times New Roman" w:hAnsi="Times New Roman" w:eastAsia="黑体"/>
          <w:sz w:val="32"/>
          <w:szCs w:val="32"/>
        </w:rPr>
      </w:pPr>
      <w:r>
        <w:rPr>
          <w:rFonts w:hint="eastAsia" w:ascii="Times New Roman" w:hAnsi="黑体" w:eastAsia="黑体"/>
          <w:sz w:val="32"/>
          <w:szCs w:val="32"/>
        </w:rPr>
        <w:t>一、部门职责及机构设置情况</w:t>
      </w:r>
    </w:p>
    <w:p>
      <w:pPr>
        <w:spacing w:line="584" w:lineRule="exact"/>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部门职责：</w:t>
      </w:r>
    </w:p>
    <w:p>
      <w:pPr>
        <w:pStyle w:val="8"/>
        <w:spacing w:before="0" w:beforeAutospacing="0" w:after="0" w:afterAutospacing="0" w:line="579" w:lineRule="exact"/>
        <w:ind w:firstLine="640" w:firstLineChars="200"/>
        <w:jc w:val="both"/>
        <w:rPr>
          <w:rFonts w:ascii="仿宋_GB2312" w:eastAsia="仿宋_GB2312"/>
          <w:sz w:val="32"/>
          <w:szCs w:val="32"/>
        </w:rPr>
      </w:pPr>
      <w:r>
        <w:rPr>
          <w:rFonts w:hint="eastAsia" w:ascii="仿宋_GB2312" w:eastAsia="仿宋_GB2312"/>
          <w:sz w:val="32"/>
          <w:szCs w:val="32"/>
        </w:rPr>
        <w:t>第一条　根据《中共河北省委办公厅河北省人民政府办公厅关于印发〈廊坊市机构改革方案〉的通知》（冀办字〔</w:t>
      </w:r>
      <w:r>
        <w:rPr>
          <w:rFonts w:ascii="仿宋_GB2312" w:eastAsia="仿宋_GB2312"/>
          <w:sz w:val="32"/>
          <w:szCs w:val="32"/>
        </w:rPr>
        <w:t>2018</w:t>
      </w:r>
      <w:r>
        <w:rPr>
          <w:rFonts w:hint="eastAsia" w:ascii="仿宋_GB2312" w:eastAsia="仿宋_GB2312"/>
          <w:sz w:val="32"/>
          <w:szCs w:val="32"/>
        </w:rPr>
        <w:t>〕</w:t>
      </w:r>
      <w:r>
        <w:rPr>
          <w:rFonts w:ascii="仿宋_GB2312" w:eastAsia="仿宋_GB2312"/>
          <w:sz w:val="32"/>
          <w:szCs w:val="32"/>
        </w:rPr>
        <w:t>111</w:t>
      </w:r>
      <w:r>
        <w:rPr>
          <w:rFonts w:hint="eastAsia" w:ascii="仿宋_GB2312" w:eastAsia="仿宋_GB2312"/>
          <w:sz w:val="32"/>
          <w:szCs w:val="32"/>
        </w:rPr>
        <w:t>号），制定本规定。</w:t>
      </w:r>
    </w:p>
    <w:p>
      <w:pPr>
        <w:pStyle w:val="8"/>
        <w:spacing w:before="0" w:beforeAutospacing="0" w:after="0" w:afterAutospacing="0" w:line="579" w:lineRule="exact"/>
        <w:jc w:val="both"/>
        <w:rPr>
          <w:rFonts w:ascii="仿宋_GB2312" w:eastAsia="仿宋_GB2312"/>
          <w:sz w:val="32"/>
          <w:szCs w:val="32"/>
        </w:rPr>
      </w:pPr>
      <w:r>
        <w:rPr>
          <w:rFonts w:hint="eastAsia" w:ascii="仿宋_GB2312" w:eastAsia="仿宋_GB2312"/>
          <w:sz w:val="32"/>
          <w:szCs w:val="32"/>
        </w:rPr>
        <w:t>　　第二条　廊坊市广阳区科学技术局（简称广阳区科学技术局）为市政府工作部门，机构规格正科级，加挂廊坊市广阳区外国专家局牌子。</w:t>
      </w:r>
    </w:p>
    <w:p>
      <w:pPr>
        <w:pStyle w:val="8"/>
        <w:spacing w:before="0" w:beforeAutospacing="0" w:after="0" w:afterAutospacing="0" w:line="579" w:lineRule="exact"/>
        <w:jc w:val="both"/>
        <w:rPr>
          <w:rFonts w:ascii="仿宋_GB2312" w:eastAsia="仿宋_GB2312"/>
          <w:sz w:val="32"/>
          <w:szCs w:val="32"/>
        </w:rPr>
      </w:pPr>
      <w:r>
        <w:rPr>
          <w:rFonts w:hint="eastAsia" w:ascii="仿宋_GB2312" w:eastAsia="仿宋_GB2312"/>
          <w:sz w:val="32"/>
          <w:szCs w:val="32"/>
        </w:rPr>
        <w:t>　　第三条　贯彻落实党中央、省委、市委和区委关于科技创新工作的方针政策和决策部署，坚持和加强党对科技创新工作的集中统一领导。主要职责是：</w:t>
      </w:r>
    </w:p>
    <w:p>
      <w:pPr>
        <w:pStyle w:val="8"/>
        <w:spacing w:before="0" w:beforeAutospacing="0" w:after="0" w:afterAutospacing="0" w:line="579" w:lineRule="exact"/>
        <w:jc w:val="both"/>
        <w:rPr>
          <w:rFonts w:ascii="仿宋_GB2312" w:eastAsia="仿宋_GB2312"/>
          <w:sz w:val="32"/>
          <w:szCs w:val="32"/>
        </w:rPr>
      </w:pPr>
      <w:r>
        <w:rPr>
          <w:rFonts w:hint="eastAsia" w:ascii="仿宋_GB2312" w:eastAsia="仿宋_GB2312"/>
          <w:sz w:val="32"/>
          <w:szCs w:val="32"/>
        </w:rPr>
        <w:t>　　（一）贯彻落实创新驱动发展战略方针，拟订科技发展、引进国外智力规划和政策并组织实施。</w:t>
      </w:r>
    </w:p>
    <w:p>
      <w:pPr>
        <w:pStyle w:val="8"/>
        <w:spacing w:before="0" w:beforeAutospacing="0" w:after="0" w:afterAutospacing="0" w:line="579" w:lineRule="exact"/>
        <w:jc w:val="both"/>
        <w:rPr>
          <w:rFonts w:ascii="仿宋_GB2312" w:eastAsia="仿宋_GB2312"/>
          <w:sz w:val="32"/>
          <w:szCs w:val="32"/>
        </w:rPr>
      </w:pPr>
      <w:r>
        <w:rPr>
          <w:rFonts w:hint="eastAsia" w:ascii="仿宋_GB2312" w:eastAsia="仿宋_GB2312"/>
          <w:sz w:val="32"/>
          <w:szCs w:val="32"/>
        </w:rPr>
        <w:t>　　（二）统筹推进全区创新体系建设和科技体制改革，会同有关部门健全技术创新激励机制。优化科研体系建设，指导科研机构改革发展，推动企业科技创新能力建设，承担推进科技军民融合发展相关工作，推进区重大科技决策咨询制度建设。拟订科学普及和科学传播规划、政策。</w:t>
      </w:r>
    </w:p>
    <w:p>
      <w:pPr>
        <w:pStyle w:val="8"/>
        <w:spacing w:before="0" w:beforeAutospacing="0" w:after="0" w:afterAutospacing="0" w:line="579" w:lineRule="exact"/>
        <w:jc w:val="both"/>
        <w:rPr>
          <w:rFonts w:ascii="仿宋_GB2312" w:eastAsia="仿宋_GB2312"/>
          <w:sz w:val="32"/>
          <w:szCs w:val="32"/>
        </w:rPr>
      </w:pPr>
      <w:r>
        <w:rPr>
          <w:rFonts w:hint="eastAsia" w:ascii="仿宋_GB2312" w:eastAsia="仿宋_GB2312"/>
          <w:sz w:val="32"/>
          <w:szCs w:val="32"/>
        </w:rPr>
        <w:t>　　（三）牵头建立统一的区级科技管理平台和科研项目资金协调、评估、监管机制。会同有关部门提出优化配置科技资源的政策措施建议，推动多元化科技投入体系建设，协调管理区级财政科技计划（专项、基金等）并监督实施。</w:t>
      </w:r>
    </w:p>
    <w:p>
      <w:pPr>
        <w:pStyle w:val="8"/>
        <w:spacing w:before="0" w:beforeAutospacing="0" w:after="0" w:afterAutospacing="0" w:line="579" w:lineRule="exact"/>
        <w:jc w:val="both"/>
        <w:rPr>
          <w:rFonts w:ascii="仿宋_GB2312" w:eastAsia="仿宋_GB2312"/>
          <w:sz w:val="32"/>
          <w:szCs w:val="32"/>
        </w:rPr>
      </w:pPr>
      <w:r>
        <w:rPr>
          <w:rFonts w:hint="eastAsia" w:ascii="仿宋_GB2312" w:eastAsia="仿宋_GB2312"/>
          <w:sz w:val="32"/>
          <w:szCs w:val="32"/>
        </w:rPr>
        <w:t>　　（四）拟订重大科技创新基地建设规划并监督实施，推动科研条件保障、科技平台建设和科技资源开放共享。拟订基础研究规划、政策并组织实施，组织协调区重大基础研究和应用基础研究。组织推荐省自然科学基金项目。</w:t>
      </w:r>
    </w:p>
    <w:p>
      <w:pPr>
        <w:pStyle w:val="8"/>
        <w:spacing w:before="0" w:beforeAutospacing="0" w:after="0" w:afterAutospacing="0" w:line="579" w:lineRule="exact"/>
        <w:jc w:val="both"/>
        <w:rPr>
          <w:rFonts w:ascii="仿宋_GB2312" w:eastAsia="仿宋_GB2312"/>
          <w:sz w:val="32"/>
          <w:szCs w:val="32"/>
        </w:rPr>
      </w:pPr>
      <w:r>
        <w:rPr>
          <w:rFonts w:hint="eastAsia" w:ascii="仿宋_GB2312" w:eastAsia="仿宋_GB2312"/>
          <w:sz w:val="32"/>
          <w:szCs w:val="32"/>
        </w:rPr>
        <w:t>　　（五）编制区重大科技项目规划并监督实施，统筹关键共性技术、前沿引领技术、现代工程技术、颠覆性技术研发和创新，牵头组织重大技术攻关和成果应用示范。</w:t>
      </w:r>
    </w:p>
    <w:p>
      <w:pPr>
        <w:pStyle w:val="8"/>
        <w:spacing w:before="0" w:beforeAutospacing="0" w:after="0" w:afterAutospacing="0" w:line="579" w:lineRule="exact"/>
        <w:jc w:val="both"/>
        <w:rPr>
          <w:rFonts w:ascii="仿宋_GB2312" w:eastAsia="仿宋_GB2312"/>
          <w:sz w:val="32"/>
          <w:szCs w:val="32"/>
        </w:rPr>
      </w:pPr>
      <w:r>
        <w:rPr>
          <w:rFonts w:hint="eastAsia" w:ascii="仿宋_GB2312" w:eastAsia="仿宋_GB2312"/>
          <w:sz w:val="32"/>
          <w:szCs w:val="32"/>
        </w:rPr>
        <w:t>　　（六）组织拟订高新技术发展及产业化、科技促进农业农村和社会发展的规划、政策和措施。组织开展重点领域技术发展需求分析，提出重大任务并监督实施。指导域内高新技术产业开发区、农业科技园区等科技园区建设。</w:t>
      </w:r>
    </w:p>
    <w:p>
      <w:pPr>
        <w:pStyle w:val="8"/>
        <w:spacing w:before="0" w:beforeAutospacing="0" w:after="0" w:afterAutospacing="0" w:line="579" w:lineRule="exact"/>
        <w:jc w:val="both"/>
        <w:rPr>
          <w:rFonts w:ascii="仿宋_GB2312" w:eastAsia="仿宋_GB2312"/>
          <w:sz w:val="32"/>
          <w:szCs w:val="32"/>
        </w:rPr>
      </w:pPr>
      <w:r>
        <w:rPr>
          <w:rFonts w:hint="eastAsia" w:ascii="仿宋_GB2312" w:eastAsia="仿宋_GB2312"/>
          <w:sz w:val="32"/>
          <w:szCs w:val="32"/>
        </w:rPr>
        <w:t>　　（七）牵头技术转移体系建设，拟订科技成果转移转化和促进产学研结合的相关政策措施并监督实施。指导科技服务业、技术市场和科技中介组织发展。</w:t>
      </w:r>
    </w:p>
    <w:p>
      <w:pPr>
        <w:pStyle w:val="8"/>
        <w:spacing w:before="0" w:beforeAutospacing="0" w:after="0" w:afterAutospacing="0" w:line="579" w:lineRule="exact"/>
        <w:jc w:val="both"/>
        <w:rPr>
          <w:rFonts w:ascii="仿宋_GB2312" w:eastAsia="仿宋_GB2312"/>
          <w:sz w:val="32"/>
          <w:szCs w:val="32"/>
        </w:rPr>
      </w:pPr>
      <w:r>
        <w:rPr>
          <w:rFonts w:hint="eastAsia" w:ascii="仿宋_GB2312" w:eastAsia="仿宋_GB2312"/>
          <w:sz w:val="32"/>
          <w:szCs w:val="32"/>
        </w:rPr>
        <w:t>　　（八）统筹区域科技创新体系建设，指导区域创新发展、科技资源合理布局和协同创新能力建设。</w:t>
      </w:r>
    </w:p>
    <w:p>
      <w:pPr>
        <w:pStyle w:val="8"/>
        <w:spacing w:before="0" w:beforeAutospacing="0" w:after="0" w:afterAutospacing="0" w:line="579" w:lineRule="exact"/>
        <w:jc w:val="both"/>
        <w:rPr>
          <w:rFonts w:ascii="仿宋_GB2312" w:eastAsia="仿宋_GB2312"/>
          <w:sz w:val="32"/>
          <w:szCs w:val="32"/>
        </w:rPr>
      </w:pPr>
      <w:r>
        <w:rPr>
          <w:rFonts w:hint="eastAsia" w:ascii="仿宋_GB2312" w:eastAsia="仿宋_GB2312"/>
          <w:sz w:val="32"/>
          <w:szCs w:val="32"/>
        </w:rPr>
        <w:t>　　（九）负责科技监督评价体系建设和相关科技评估管理，指导科技评价机制改革，统筹科研诚信建设。组织实施创新调查和科技报告制度，指导全区科技保密工作。</w:t>
      </w:r>
    </w:p>
    <w:p>
      <w:pPr>
        <w:pStyle w:val="8"/>
        <w:spacing w:before="0" w:beforeAutospacing="0" w:after="0" w:afterAutospacing="0" w:line="579" w:lineRule="exact"/>
        <w:jc w:val="both"/>
        <w:rPr>
          <w:rFonts w:ascii="仿宋_GB2312" w:eastAsia="仿宋_GB2312"/>
          <w:sz w:val="32"/>
          <w:szCs w:val="32"/>
        </w:rPr>
      </w:pPr>
      <w:r>
        <w:rPr>
          <w:rFonts w:hint="eastAsia" w:ascii="仿宋_GB2312" w:eastAsia="仿宋_GB2312"/>
          <w:sz w:val="32"/>
          <w:szCs w:val="32"/>
        </w:rPr>
        <w:t>　　（十）拟订与域外科技合作和创新能力开放合作的规划、政策和措施，组织开展与域外科技合作交流。指导相关部门和乡镇（街道办事处）对外科技合作交流工作。</w:t>
      </w:r>
    </w:p>
    <w:p>
      <w:pPr>
        <w:pStyle w:val="8"/>
        <w:spacing w:before="0" w:beforeAutospacing="0" w:after="0" w:afterAutospacing="0" w:line="579" w:lineRule="exact"/>
        <w:jc w:val="both"/>
        <w:rPr>
          <w:rFonts w:ascii="仿宋_GB2312" w:eastAsia="仿宋_GB2312"/>
          <w:sz w:val="32"/>
          <w:szCs w:val="32"/>
        </w:rPr>
      </w:pPr>
      <w:r>
        <w:rPr>
          <w:rFonts w:hint="eastAsia" w:ascii="仿宋_GB2312" w:eastAsia="仿宋_GB2312"/>
          <w:sz w:val="32"/>
          <w:szCs w:val="32"/>
        </w:rPr>
        <w:t>　　（十一）负责引进国外智力工作。拟订区重点引进外国专家总体规划、计划并组织实施，建立外国高层次人才吸引集聚机制和重点外国专家联系服务机制。拟订出国（境）培训总体规划、政策和年度计划并监督实施。</w:t>
      </w:r>
    </w:p>
    <w:p>
      <w:pPr>
        <w:pStyle w:val="8"/>
        <w:spacing w:before="0" w:beforeAutospacing="0" w:after="0" w:afterAutospacing="0" w:line="579" w:lineRule="exact"/>
        <w:jc w:val="both"/>
        <w:rPr>
          <w:rFonts w:ascii="仿宋_GB2312" w:eastAsia="仿宋_GB2312"/>
          <w:sz w:val="32"/>
          <w:szCs w:val="32"/>
        </w:rPr>
      </w:pPr>
      <w:r>
        <w:rPr>
          <w:rFonts w:hint="eastAsia" w:ascii="仿宋_GB2312" w:eastAsia="仿宋_GB2312"/>
          <w:sz w:val="32"/>
          <w:szCs w:val="32"/>
        </w:rPr>
        <w:t>　　（十二）会同有关部门拟订科技人才队伍建设规划和政策，建立健全科技人才评价和激励机制，组织实施科技人才计划，推动高端科技创新人才队伍建设。</w:t>
      </w:r>
    </w:p>
    <w:p>
      <w:pPr>
        <w:pStyle w:val="8"/>
        <w:spacing w:before="0" w:beforeAutospacing="0" w:after="0" w:afterAutospacing="0" w:line="579" w:lineRule="exact"/>
        <w:jc w:val="both"/>
        <w:rPr>
          <w:rFonts w:ascii="仿宋_GB2312" w:eastAsia="仿宋_GB2312" w:cs="宋体"/>
          <w:kern w:val="0"/>
          <w:sz w:val="32"/>
          <w:szCs w:val="32"/>
        </w:rPr>
      </w:pPr>
      <w:r>
        <w:rPr>
          <w:rFonts w:hint="eastAsia" w:ascii="仿宋_GB2312" w:eastAsia="仿宋_GB2312"/>
          <w:sz w:val="32"/>
          <w:szCs w:val="32"/>
        </w:rPr>
        <w:t>　　（十三）承</w:t>
      </w:r>
      <w:r>
        <w:rPr>
          <w:rFonts w:hint="eastAsia" w:ascii="仿宋_GB2312" w:eastAsia="仿宋_GB2312"/>
          <w:bCs/>
          <w:sz w:val="32"/>
          <w:szCs w:val="32"/>
        </w:rPr>
        <w:t>担</w:t>
      </w:r>
      <w:r>
        <w:rPr>
          <w:rFonts w:hint="eastAsia" w:ascii="仿宋_GB2312" w:eastAsia="仿宋_GB2312"/>
          <w:sz w:val="32"/>
          <w:szCs w:val="32"/>
        </w:rPr>
        <w:t>省科学技术奖、燕赵友谊奖的申报组织工作</w:t>
      </w:r>
      <w:r>
        <w:rPr>
          <w:rFonts w:hint="eastAsia" w:ascii="仿宋_GB2312" w:eastAsia="仿宋_GB2312" w:cs="宋体"/>
          <w:kern w:val="0"/>
          <w:sz w:val="32"/>
          <w:szCs w:val="32"/>
        </w:rPr>
        <w:t>。</w:t>
      </w:r>
    </w:p>
    <w:p>
      <w:pPr>
        <w:pStyle w:val="8"/>
        <w:spacing w:before="0" w:beforeAutospacing="0" w:after="0" w:afterAutospacing="0" w:line="579" w:lineRule="exact"/>
        <w:jc w:val="both"/>
        <w:rPr>
          <w:rFonts w:ascii="仿宋_GB2312" w:eastAsia="仿宋_GB2312"/>
          <w:sz w:val="32"/>
          <w:szCs w:val="32"/>
        </w:rPr>
      </w:pPr>
      <w:r>
        <w:rPr>
          <w:rFonts w:hint="eastAsia" w:ascii="仿宋_GB2312" w:eastAsia="仿宋_GB2312"/>
          <w:sz w:val="32"/>
          <w:szCs w:val="32"/>
        </w:rPr>
        <w:t>　　（十四）完成区委、区政府交办的其他任务。</w:t>
      </w:r>
    </w:p>
    <w:p>
      <w:pPr>
        <w:autoSpaceDE w:val="0"/>
        <w:autoSpaceDN w:val="0"/>
        <w:adjustRightInd w:val="0"/>
        <w:spacing w:line="584" w:lineRule="exact"/>
        <w:ind w:firstLine="630" w:firstLineChars="196"/>
        <w:jc w:val="left"/>
        <w:rPr>
          <w:rFonts w:ascii="Times New Roman" w:hAnsi="Times New Roman" w:eastAsia="楷体_GB2312"/>
          <w:b/>
          <w:sz w:val="32"/>
          <w:szCs w:val="32"/>
        </w:rPr>
      </w:pPr>
      <w:r>
        <w:rPr>
          <w:rFonts w:hint="eastAsia" w:ascii="Times New Roman" w:hAnsi="Times New Roman" w:eastAsia="楷体_GB2312"/>
          <w:b/>
          <w:sz w:val="32"/>
          <w:szCs w:val="32"/>
        </w:rPr>
        <w:t>机构设置：</w:t>
      </w:r>
    </w:p>
    <w:p>
      <w:pPr>
        <w:spacing w:line="584" w:lineRule="exact"/>
        <w:jc w:val="center"/>
        <w:outlineLvl w:val="0"/>
        <w:rPr>
          <w:rFonts w:ascii="Times New Roman" w:hAnsi="Times New Roman" w:eastAsia="仿宋_GB2312"/>
          <w:b/>
          <w:sz w:val="32"/>
          <w:szCs w:val="24"/>
        </w:rPr>
      </w:pPr>
      <w:r>
        <w:rPr>
          <w:rFonts w:hint="eastAsia" w:ascii="Times New Roman" w:hAnsi="Times New Roman" w:eastAsia="仿宋_GB2312"/>
          <w:b/>
          <w:sz w:val="32"/>
          <w:szCs w:val="24"/>
        </w:rPr>
        <w:t>部门机构设置情况</w:t>
      </w:r>
    </w:p>
    <w:tbl>
      <w:tblPr>
        <w:tblStyle w:val="9"/>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单位名称</w:t>
            </w:r>
          </w:p>
        </w:tc>
        <w:tc>
          <w:tcPr>
            <w:tcW w:w="1134"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单位性质</w:t>
            </w:r>
          </w:p>
        </w:tc>
        <w:tc>
          <w:tcPr>
            <w:tcW w:w="1276"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单位规格</w:t>
            </w:r>
          </w:p>
        </w:tc>
        <w:tc>
          <w:tcPr>
            <w:tcW w:w="2902"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vAlign w:val="center"/>
          </w:tcPr>
          <w:p>
            <w:pPr>
              <w:spacing w:line="584" w:lineRule="exact"/>
              <w:jc w:val="left"/>
              <w:outlineLvl w:val="0"/>
              <w:rPr>
                <w:rFonts w:ascii="Times New Roman" w:hAnsi="Times New Roman" w:eastAsia="仿宋_GB2312"/>
                <w:szCs w:val="24"/>
              </w:rPr>
            </w:pPr>
          </w:p>
        </w:tc>
        <w:tc>
          <w:tcPr>
            <w:tcW w:w="1134" w:type="dxa"/>
            <w:vMerge w:val="continue"/>
            <w:vAlign w:val="center"/>
          </w:tcPr>
          <w:p>
            <w:pPr>
              <w:spacing w:line="584" w:lineRule="exact"/>
              <w:jc w:val="left"/>
              <w:outlineLvl w:val="0"/>
              <w:rPr>
                <w:rFonts w:ascii="Times New Roman" w:hAnsi="Times New Roman" w:eastAsia="仿宋_GB2312"/>
                <w:szCs w:val="24"/>
              </w:rPr>
            </w:pPr>
          </w:p>
        </w:tc>
        <w:tc>
          <w:tcPr>
            <w:tcW w:w="1276" w:type="dxa"/>
            <w:vMerge w:val="continue"/>
            <w:vAlign w:val="center"/>
          </w:tcPr>
          <w:p>
            <w:pPr>
              <w:spacing w:line="584" w:lineRule="exact"/>
              <w:jc w:val="left"/>
              <w:outlineLvl w:val="0"/>
              <w:rPr>
                <w:rFonts w:ascii="Times New Roman" w:hAnsi="Times New Roman" w:eastAsia="仿宋_GB2312"/>
                <w:szCs w:val="24"/>
              </w:rPr>
            </w:pPr>
          </w:p>
        </w:tc>
        <w:tc>
          <w:tcPr>
            <w:tcW w:w="2902" w:type="dxa"/>
            <w:vMerge w:val="continue"/>
            <w:vAlign w:val="center"/>
          </w:tcPr>
          <w:p>
            <w:pPr>
              <w:spacing w:line="584" w:lineRule="exact"/>
              <w:jc w:val="left"/>
              <w:outlineLvl w:val="0"/>
              <w:rPr>
                <w:rFonts w:ascii="Times New Roman" w:hAnsi="Times New Roman" w:eastAsia="仿宋_GB2312"/>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widowControl/>
              <w:spacing w:line="225" w:lineRule="atLeast"/>
              <w:jc w:val="center"/>
              <w:rPr>
                <w:rFonts w:ascii="仿宋_GB2312" w:eastAsia="仿宋_GB2312" w:cs="宋体"/>
                <w:kern w:val="0"/>
                <w:sz w:val="32"/>
                <w:szCs w:val="32"/>
              </w:rPr>
            </w:pPr>
            <w:r>
              <w:rPr>
                <w:rFonts w:hint="eastAsia" w:ascii="仿宋_GB2312" w:eastAsia="仿宋_GB2312" w:cs="宋体"/>
                <w:kern w:val="0"/>
                <w:sz w:val="32"/>
                <w:szCs w:val="32"/>
              </w:rPr>
              <w:t>广阳区科学技术局</w:t>
            </w:r>
          </w:p>
        </w:tc>
        <w:tc>
          <w:tcPr>
            <w:tcW w:w="1134" w:type="dxa"/>
            <w:vAlign w:val="center"/>
          </w:tcPr>
          <w:p>
            <w:pPr>
              <w:widowControl/>
              <w:spacing w:line="225" w:lineRule="atLeast"/>
              <w:jc w:val="center"/>
              <w:rPr>
                <w:rFonts w:ascii="仿宋_GB2312" w:eastAsia="仿宋_GB2312" w:cs="宋体"/>
                <w:kern w:val="0"/>
                <w:sz w:val="32"/>
                <w:szCs w:val="32"/>
              </w:rPr>
            </w:pPr>
            <w:r>
              <w:rPr>
                <w:rFonts w:hint="eastAsia" w:ascii="仿宋_GB2312" w:eastAsia="仿宋_GB2312" w:cs="宋体"/>
                <w:kern w:val="0"/>
                <w:sz w:val="32"/>
                <w:szCs w:val="32"/>
              </w:rPr>
              <w:t>行政单位</w:t>
            </w:r>
          </w:p>
        </w:tc>
        <w:tc>
          <w:tcPr>
            <w:tcW w:w="1276" w:type="dxa"/>
            <w:vAlign w:val="center"/>
          </w:tcPr>
          <w:p>
            <w:pPr>
              <w:widowControl/>
              <w:spacing w:line="225" w:lineRule="atLeast"/>
              <w:jc w:val="center"/>
              <w:rPr>
                <w:rFonts w:ascii="仿宋_GB2312" w:eastAsia="仿宋_GB2312" w:cs="宋体"/>
                <w:kern w:val="0"/>
                <w:sz w:val="32"/>
                <w:szCs w:val="32"/>
              </w:rPr>
            </w:pPr>
            <w:r>
              <w:rPr>
                <w:rFonts w:hint="eastAsia" w:ascii="仿宋_GB2312" w:eastAsia="仿宋_GB2312" w:cs="宋体"/>
                <w:kern w:val="0"/>
                <w:sz w:val="32"/>
                <w:szCs w:val="32"/>
              </w:rPr>
              <w:t>正科级</w:t>
            </w:r>
          </w:p>
        </w:tc>
        <w:tc>
          <w:tcPr>
            <w:tcW w:w="2902" w:type="dxa"/>
            <w:vAlign w:val="center"/>
          </w:tcPr>
          <w:p>
            <w:pPr>
              <w:widowControl/>
              <w:spacing w:line="225" w:lineRule="atLeast"/>
              <w:jc w:val="center"/>
              <w:rPr>
                <w:rFonts w:ascii="仿宋_GB2312" w:eastAsia="仿宋_GB2312" w:cs="宋体"/>
                <w:kern w:val="0"/>
                <w:sz w:val="32"/>
                <w:szCs w:val="32"/>
              </w:rPr>
            </w:pPr>
            <w:r>
              <w:rPr>
                <w:rFonts w:hint="eastAsia" w:ascii="仿宋_GB2312" w:eastAsia="仿宋_GB2312" w:cs="宋体"/>
                <w:kern w:val="0"/>
                <w:sz w:val="32"/>
                <w:szCs w:val="32"/>
              </w:rPr>
              <w:t>财政拨款</w:t>
            </w:r>
            <w:r>
              <w:rPr>
                <w:rFonts w:ascii="仿宋_GB2312" w:eastAsia="仿宋_GB2312" w:cs="宋体"/>
                <w:kern w:val="0"/>
                <w:sz w:val="32"/>
                <w:szCs w:val="32"/>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584" w:lineRule="exact"/>
              <w:jc w:val="left"/>
              <w:rPr>
                <w:rFonts w:ascii="Times New Roman" w:hAnsi="Times New Roman" w:eastAsia="仿宋_GB2312"/>
              </w:rPr>
            </w:pPr>
          </w:p>
        </w:tc>
        <w:tc>
          <w:tcPr>
            <w:tcW w:w="1134" w:type="dxa"/>
            <w:vAlign w:val="center"/>
          </w:tcPr>
          <w:p>
            <w:pPr>
              <w:spacing w:line="584" w:lineRule="exact"/>
              <w:jc w:val="center"/>
              <w:rPr>
                <w:rFonts w:ascii="Times New Roman" w:hAnsi="Times New Roman" w:eastAsia="仿宋_GB2312"/>
              </w:rPr>
            </w:pPr>
          </w:p>
        </w:tc>
        <w:tc>
          <w:tcPr>
            <w:tcW w:w="1276" w:type="dxa"/>
            <w:vAlign w:val="center"/>
          </w:tcPr>
          <w:p>
            <w:pPr>
              <w:spacing w:line="584" w:lineRule="exact"/>
              <w:jc w:val="center"/>
              <w:rPr>
                <w:rFonts w:ascii="Times New Roman" w:hAnsi="Times New Roman" w:eastAsia="仿宋_GB2312"/>
              </w:rPr>
            </w:pPr>
          </w:p>
        </w:tc>
        <w:tc>
          <w:tcPr>
            <w:tcW w:w="2902" w:type="dxa"/>
            <w:vAlign w:val="center"/>
          </w:tcPr>
          <w:p>
            <w:pPr>
              <w:spacing w:line="584" w:lineRule="exact"/>
              <w:jc w:val="center"/>
              <w:rPr>
                <w:rFonts w:ascii="Times New Roman" w:hAnsi="Times New Roman" w:eastAsia="仿宋_GB2312"/>
              </w:rPr>
            </w:pPr>
          </w:p>
        </w:tc>
      </w:tr>
    </w:tbl>
    <w:p>
      <w:pPr>
        <w:spacing w:line="584" w:lineRule="exact"/>
        <w:ind w:firstLine="643" w:firstLineChars="200"/>
        <w:rPr>
          <w:rFonts w:ascii="Times New Roman" w:hAnsi="Times New Roman" w:eastAsia="仿宋_GB2312"/>
          <w:sz w:val="32"/>
          <w:szCs w:val="32"/>
        </w:rPr>
      </w:pPr>
      <w:r>
        <w:rPr>
          <w:rFonts w:hint="eastAsia" w:ascii="黑体" w:eastAsia="黑体" w:cs="宋体"/>
          <w:b/>
          <w:bCs/>
          <w:color w:val="000000"/>
          <w:kern w:val="0"/>
          <w:sz w:val="32"/>
          <w:szCs w:val="32"/>
        </w:rPr>
        <w:t>二、部门预算安排的总体情况</w:t>
      </w:r>
      <w:r>
        <w:rPr>
          <w:rFonts w:ascii="黑体" w:eastAsia="黑体" w:cs="宋体"/>
          <w:color w:val="000000"/>
          <w:kern w:val="0"/>
          <w:sz w:val="32"/>
          <w:szCs w:val="32"/>
        </w:rPr>
        <w:br w:type="textWrapping"/>
      </w:r>
      <w:r>
        <w:rPr>
          <w:rFonts w:ascii="宋体" w:hAnsi="宋体" w:eastAsia="仿宋_GB2312" w:cs="宋体"/>
          <w:color w:val="000000"/>
          <w:kern w:val="0"/>
          <w:sz w:val="32"/>
          <w:szCs w:val="32"/>
        </w:rPr>
        <w:t>  </w:t>
      </w:r>
      <w:r>
        <w:rPr>
          <w:rFonts w:hint="eastAsia" w:ascii="仿宋_GB2312" w:eastAsia="仿宋_GB2312" w:cs="宋体"/>
          <w:color w:val="000000"/>
          <w:kern w:val="0"/>
          <w:sz w:val="32"/>
          <w:szCs w:val="32"/>
        </w:rPr>
        <w:t>按照预算管理有关规定，目前我区部门预算的编制实行综合预算制度，即全部收入和支出都反映在预算中。</w:t>
      </w:r>
      <w:r>
        <w:rPr>
          <w:rFonts w:hint="eastAsia" w:ascii="Times New Roman" w:hAnsi="Times New Roman" w:eastAsia="仿宋_GB2312"/>
          <w:sz w:val="32"/>
          <w:szCs w:val="32"/>
        </w:rPr>
        <w:t>廊坊市广阳区科学技术局</w:t>
      </w:r>
      <w:r>
        <w:rPr>
          <w:rFonts w:ascii="Times New Roman" w:hAnsi="Times New Roman" w:eastAsia="仿宋_GB2312"/>
          <w:sz w:val="32"/>
          <w:szCs w:val="32"/>
        </w:rPr>
        <w:t>机关及所属事业单位的收支包含在部门预算中。</w:t>
      </w:r>
    </w:p>
    <w:p>
      <w:pPr>
        <w:widowControl/>
        <w:spacing w:line="360" w:lineRule="atLeast"/>
        <w:ind w:firstLine="643" w:firstLineChars="200"/>
        <w:jc w:val="left"/>
        <w:rPr>
          <w:rFonts w:ascii="仿宋_GB2312" w:eastAsia="仿宋_GB2312" w:cs="宋体"/>
          <w:color w:val="000000"/>
          <w:kern w:val="0"/>
          <w:sz w:val="32"/>
          <w:szCs w:val="32"/>
        </w:rPr>
      </w:pPr>
      <w:r>
        <w:rPr>
          <w:rFonts w:ascii="楷体_GB2312" w:eastAsia="楷体_GB2312" w:cs="宋体"/>
          <w:b/>
          <w:bCs/>
          <w:color w:val="000000"/>
          <w:kern w:val="0"/>
          <w:sz w:val="32"/>
          <w:szCs w:val="32"/>
        </w:rPr>
        <w:t>1</w:t>
      </w:r>
      <w:r>
        <w:rPr>
          <w:rFonts w:hint="eastAsia" w:ascii="楷体_GB2312" w:eastAsia="楷体_GB2312" w:cs="宋体"/>
          <w:b/>
          <w:bCs/>
          <w:color w:val="000000"/>
          <w:kern w:val="0"/>
          <w:sz w:val="32"/>
          <w:szCs w:val="32"/>
        </w:rPr>
        <w:t>、收入说明</w:t>
      </w:r>
    </w:p>
    <w:p>
      <w:pPr>
        <w:spacing w:line="584" w:lineRule="exact"/>
        <w:ind w:firstLine="640"/>
        <w:rPr>
          <w:rFonts w:ascii="Times New Roman" w:hAnsi="Times New Roman" w:eastAsia="仿宋_GB2312"/>
          <w:sz w:val="32"/>
          <w:szCs w:val="32"/>
        </w:rPr>
      </w:pPr>
      <w:r>
        <w:rPr>
          <w:rFonts w:ascii="Times New Roman" w:hAnsi="Times New Roman" w:eastAsia="仿宋_GB2312"/>
          <w:sz w:val="32"/>
          <w:szCs w:val="32"/>
        </w:rPr>
        <w:t>反映本部门当年全部收入。2020年预算收入</w:t>
      </w:r>
      <w:r>
        <w:rPr>
          <w:rFonts w:ascii="仿宋_GB2312" w:eastAsia="仿宋_GB2312" w:cs="宋体"/>
          <w:color w:val="000000"/>
          <w:kern w:val="0"/>
          <w:sz w:val="32"/>
          <w:szCs w:val="32"/>
        </w:rPr>
        <w:t>454.70</w:t>
      </w:r>
      <w:r>
        <w:rPr>
          <w:rFonts w:ascii="Times New Roman" w:hAnsi="Times New Roman" w:eastAsia="仿宋_GB2312"/>
          <w:sz w:val="32"/>
          <w:szCs w:val="32"/>
        </w:rPr>
        <w:t>万元，其中：一般公共预算收入</w:t>
      </w:r>
      <w:r>
        <w:rPr>
          <w:rFonts w:ascii="仿宋_GB2312" w:eastAsia="仿宋_GB2312" w:cs="宋体"/>
          <w:color w:val="000000"/>
          <w:kern w:val="0"/>
          <w:sz w:val="32"/>
          <w:szCs w:val="32"/>
        </w:rPr>
        <w:t>454.70</w:t>
      </w:r>
      <w:r>
        <w:rPr>
          <w:rFonts w:ascii="Times New Roman" w:hAnsi="Times New Roman" w:eastAsia="仿宋_GB2312"/>
          <w:sz w:val="32"/>
          <w:szCs w:val="32"/>
        </w:rPr>
        <w:t>万元，基金预算收入</w:t>
      </w:r>
      <w:r>
        <w:rPr>
          <w:rFonts w:hint="eastAsia" w:ascii="Times New Roman" w:hAnsi="Times New Roman" w:eastAsia="仿宋_GB2312"/>
          <w:sz w:val="32"/>
          <w:szCs w:val="32"/>
        </w:rPr>
        <w:t>0</w:t>
      </w:r>
      <w:r>
        <w:rPr>
          <w:rFonts w:ascii="Times New Roman" w:hAnsi="Times New Roman" w:eastAsia="仿宋_GB2312"/>
          <w:sz w:val="32"/>
          <w:szCs w:val="32"/>
        </w:rPr>
        <w:t>万元，财政专户核拨收入</w:t>
      </w:r>
      <w:r>
        <w:rPr>
          <w:rFonts w:hint="eastAsia" w:ascii="Times New Roman" w:hAnsi="Times New Roman" w:eastAsia="仿宋_GB2312"/>
          <w:sz w:val="32"/>
          <w:szCs w:val="32"/>
        </w:rPr>
        <w:t>0</w:t>
      </w:r>
      <w:r>
        <w:rPr>
          <w:rFonts w:ascii="Times New Roman" w:hAnsi="Times New Roman" w:eastAsia="仿宋_GB2312"/>
          <w:sz w:val="32"/>
          <w:szCs w:val="32"/>
        </w:rPr>
        <w:t>万元，其他来源收入</w:t>
      </w:r>
      <w:r>
        <w:rPr>
          <w:rFonts w:hint="eastAsia" w:ascii="Times New Roman" w:hAnsi="Times New Roman" w:eastAsia="仿宋_GB2312"/>
          <w:sz w:val="32"/>
          <w:szCs w:val="32"/>
        </w:rPr>
        <w:t>0</w:t>
      </w:r>
      <w:r>
        <w:rPr>
          <w:rFonts w:ascii="Times New Roman" w:hAnsi="Times New Roman" w:eastAsia="仿宋_GB2312"/>
          <w:sz w:val="32"/>
          <w:szCs w:val="32"/>
        </w:rPr>
        <w:t>万元。</w:t>
      </w:r>
    </w:p>
    <w:p>
      <w:pPr>
        <w:widowControl/>
        <w:spacing w:line="360" w:lineRule="atLeast"/>
        <w:ind w:firstLine="643" w:firstLineChars="200"/>
        <w:jc w:val="left"/>
        <w:rPr>
          <w:rFonts w:ascii="仿宋_GB2312" w:eastAsia="仿宋_GB2312" w:cs="宋体"/>
          <w:color w:val="000000"/>
          <w:kern w:val="0"/>
          <w:sz w:val="32"/>
          <w:szCs w:val="32"/>
        </w:rPr>
      </w:pPr>
      <w:r>
        <w:rPr>
          <w:rFonts w:ascii="楷体_GB2312" w:eastAsia="楷体_GB2312" w:cs="宋体"/>
          <w:b/>
          <w:bCs/>
          <w:color w:val="000000"/>
          <w:kern w:val="0"/>
          <w:sz w:val="32"/>
          <w:szCs w:val="32"/>
        </w:rPr>
        <w:t>2</w:t>
      </w:r>
      <w:r>
        <w:rPr>
          <w:rFonts w:hint="eastAsia" w:ascii="楷体_GB2312" w:eastAsia="楷体_GB2312" w:cs="宋体"/>
          <w:b/>
          <w:bCs/>
          <w:color w:val="000000"/>
          <w:kern w:val="0"/>
          <w:sz w:val="32"/>
          <w:szCs w:val="32"/>
        </w:rPr>
        <w:t>、支出说明</w:t>
      </w:r>
    </w:p>
    <w:p>
      <w:pPr>
        <w:ind w:firstLine="640"/>
        <w:rPr>
          <w:rFonts w:ascii="仿宋_GB2312" w:eastAsia="仿宋_GB2312" w:cs="宋体"/>
          <w:color w:val="000000"/>
          <w:kern w:val="0"/>
          <w:sz w:val="32"/>
          <w:szCs w:val="32"/>
        </w:rPr>
      </w:pPr>
      <w:r>
        <w:rPr>
          <w:rFonts w:hint="eastAsia" w:ascii="仿宋_GB2312" w:eastAsia="仿宋_GB2312" w:cs="宋体"/>
          <w:color w:val="000000"/>
          <w:kern w:val="0"/>
          <w:sz w:val="32"/>
          <w:szCs w:val="32"/>
        </w:rPr>
        <w:t>收支预算总表支出栏、基本支出表、项目支出表按经济分类和支出功能分类科目编制，反映廊坊市广阳区科技局年度部门预算中支出预算的总体情况。</w:t>
      </w:r>
      <w:r>
        <w:rPr>
          <w:rFonts w:ascii="仿宋_GB2312" w:eastAsia="仿宋_GB2312" w:cs="宋体"/>
          <w:color w:val="000000"/>
          <w:kern w:val="0"/>
          <w:sz w:val="32"/>
          <w:szCs w:val="32"/>
        </w:rPr>
        <w:t>2020</w:t>
      </w:r>
      <w:r>
        <w:rPr>
          <w:rFonts w:hint="eastAsia" w:ascii="仿宋_GB2312" w:eastAsia="仿宋_GB2312" w:cs="宋体"/>
          <w:color w:val="000000"/>
          <w:kern w:val="0"/>
          <w:sz w:val="32"/>
          <w:szCs w:val="32"/>
        </w:rPr>
        <w:t>年支出预算</w:t>
      </w:r>
      <w:r>
        <w:rPr>
          <w:rFonts w:ascii="仿宋_GB2312" w:eastAsia="仿宋_GB2312" w:cs="宋体"/>
          <w:color w:val="000000"/>
          <w:kern w:val="0"/>
          <w:sz w:val="32"/>
          <w:szCs w:val="32"/>
        </w:rPr>
        <w:t>454.70</w:t>
      </w:r>
      <w:r>
        <w:rPr>
          <w:rFonts w:hint="eastAsia" w:ascii="仿宋_GB2312" w:eastAsia="仿宋_GB2312" w:cs="宋体"/>
          <w:color w:val="000000"/>
          <w:kern w:val="0"/>
          <w:sz w:val="32"/>
          <w:szCs w:val="32"/>
        </w:rPr>
        <w:t>万元，其中基本支出</w:t>
      </w:r>
      <w:r>
        <w:rPr>
          <w:rFonts w:ascii="仿宋_GB2312" w:eastAsia="仿宋_GB2312" w:cs="宋体"/>
          <w:color w:val="000000"/>
          <w:kern w:val="0"/>
          <w:sz w:val="32"/>
          <w:szCs w:val="32"/>
        </w:rPr>
        <w:t>350.70</w:t>
      </w:r>
      <w:r>
        <w:rPr>
          <w:rFonts w:hint="eastAsia" w:ascii="仿宋_GB2312" w:eastAsia="仿宋_GB2312" w:cs="宋体"/>
          <w:color w:val="000000"/>
          <w:kern w:val="0"/>
          <w:sz w:val="32"/>
          <w:szCs w:val="32"/>
        </w:rPr>
        <w:t>万元，包括人员经费和日常公用经费；项目支出</w:t>
      </w:r>
      <w:r>
        <w:rPr>
          <w:rFonts w:ascii="仿宋_GB2312" w:eastAsia="仿宋_GB2312" w:cs="宋体"/>
          <w:color w:val="000000"/>
          <w:kern w:val="0"/>
          <w:sz w:val="32"/>
          <w:szCs w:val="32"/>
        </w:rPr>
        <w:t>104</w:t>
      </w:r>
      <w:r>
        <w:rPr>
          <w:rFonts w:hint="eastAsia" w:ascii="仿宋_GB2312" w:eastAsia="仿宋_GB2312" w:cs="宋体"/>
          <w:color w:val="000000"/>
          <w:kern w:val="0"/>
          <w:sz w:val="32"/>
          <w:szCs w:val="32"/>
        </w:rPr>
        <w:t>万元，主要是上级专款专项支出、区级项目资金支出。</w:t>
      </w:r>
    </w:p>
    <w:p>
      <w:pPr>
        <w:widowControl/>
        <w:spacing w:line="360" w:lineRule="atLeast"/>
        <w:ind w:firstLine="643" w:firstLineChars="200"/>
        <w:jc w:val="left"/>
        <w:rPr>
          <w:rFonts w:ascii="楷体_GB2312" w:eastAsia="楷体_GB2312" w:cs="宋体"/>
          <w:b/>
          <w:bCs/>
          <w:color w:val="000000"/>
          <w:kern w:val="0"/>
          <w:sz w:val="32"/>
          <w:szCs w:val="32"/>
        </w:rPr>
      </w:pPr>
      <w:r>
        <w:rPr>
          <w:rFonts w:ascii="楷体_GB2312" w:eastAsia="楷体_GB2312" w:cs="宋体"/>
          <w:b/>
          <w:bCs/>
          <w:color w:val="000000"/>
          <w:kern w:val="0"/>
          <w:sz w:val="32"/>
          <w:szCs w:val="32"/>
        </w:rPr>
        <w:t>3</w:t>
      </w:r>
      <w:r>
        <w:rPr>
          <w:rFonts w:hint="eastAsia" w:ascii="楷体_GB2312" w:eastAsia="楷体_GB2312" w:cs="宋体"/>
          <w:b/>
          <w:bCs/>
          <w:color w:val="000000"/>
          <w:kern w:val="0"/>
          <w:sz w:val="32"/>
          <w:szCs w:val="32"/>
        </w:rPr>
        <w:t>、比上年增减情况</w:t>
      </w:r>
    </w:p>
    <w:p>
      <w:pPr>
        <w:widowControl/>
        <w:spacing w:line="360" w:lineRule="atLeast"/>
        <w:ind w:firstLine="640" w:firstLineChars="200"/>
        <w:jc w:val="left"/>
        <w:rPr>
          <w:rFonts w:ascii="黑体" w:eastAsia="黑体" w:cs="宋体"/>
          <w:b/>
          <w:bCs/>
          <w:color w:val="000000"/>
          <w:kern w:val="0"/>
          <w:sz w:val="32"/>
          <w:szCs w:val="32"/>
        </w:rPr>
      </w:pPr>
      <w:r>
        <w:rPr>
          <w:rFonts w:ascii="仿宋_GB2312" w:eastAsia="仿宋_GB2312" w:cs="宋体"/>
          <w:color w:val="000000"/>
          <w:kern w:val="0"/>
          <w:sz w:val="32"/>
          <w:szCs w:val="32"/>
        </w:rPr>
        <w:t>2020</w:t>
      </w:r>
      <w:r>
        <w:rPr>
          <w:rFonts w:hint="eastAsia" w:ascii="仿宋_GB2312" w:eastAsia="仿宋_GB2312" w:cs="宋体"/>
          <w:color w:val="000000"/>
          <w:kern w:val="0"/>
          <w:sz w:val="32"/>
          <w:szCs w:val="32"/>
        </w:rPr>
        <w:t>年预算收支安排</w:t>
      </w:r>
      <w:r>
        <w:rPr>
          <w:rFonts w:ascii="仿宋_GB2312" w:eastAsia="仿宋_GB2312" w:cs="宋体"/>
          <w:color w:val="000000"/>
          <w:kern w:val="0"/>
          <w:sz w:val="32"/>
          <w:szCs w:val="32"/>
        </w:rPr>
        <w:t>454.70</w:t>
      </w:r>
      <w:r>
        <w:rPr>
          <w:rFonts w:hint="eastAsia" w:ascii="仿宋_GB2312" w:eastAsia="仿宋_GB2312" w:cs="宋体"/>
          <w:color w:val="000000"/>
          <w:kern w:val="0"/>
          <w:sz w:val="32"/>
          <w:szCs w:val="32"/>
        </w:rPr>
        <w:t>万元，较</w:t>
      </w:r>
      <w:r>
        <w:rPr>
          <w:rFonts w:ascii="仿宋_GB2312" w:eastAsia="仿宋_GB2312" w:cs="宋体"/>
          <w:color w:val="000000"/>
          <w:kern w:val="0"/>
          <w:sz w:val="32"/>
          <w:szCs w:val="32"/>
        </w:rPr>
        <w:t>2019</w:t>
      </w:r>
      <w:r>
        <w:rPr>
          <w:rFonts w:hint="eastAsia" w:ascii="仿宋_GB2312" w:eastAsia="仿宋_GB2312" w:cs="宋体"/>
          <w:color w:val="000000"/>
          <w:kern w:val="0"/>
          <w:sz w:val="32"/>
          <w:szCs w:val="32"/>
        </w:rPr>
        <w:t>年预算增加</w:t>
      </w:r>
      <w:r>
        <w:rPr>
          <w:rFonts w:ascii="仿宋_GB2312" w:eastAsia="仿宋_GB2312" w:cs="宋体"/>
          <w:color w:val="000000"/>
          <w:kern w:val="0"/>
          <w:sz w:val="32"/>
          <w:szCs w:val="32"/>
        </w:rPr>
        <w:t>110.61</w:t>
      </w:r>
      <w:r>
        <w:rPr>
          <w:rFonts w:hint="eastAsia" w:ascii="仿宋_GB2312" w:eastAsia="仿宋_GB2312" w:cs="宋体"/>
          <w:color w:val="000000"/>
          <w:kern w:val="0"/>
          <w:sz w:val="32"/>
          <w:szCs w:val="32"/>
        </w:rPr>
        <w:t>万元，其中：基本支出增加</w:t>
      </w:r>
      <w:r>
        <w:rPr>
          <w:rFonts w:ascii="仿宋_GB2312" w:eastAsia="仿宋_GB2312" w:cs="宋体"/>
          <w:color w:val="000000"/>
          <w:kern w:val="0"/>
          <w:sz w:val="32"/>
          <w:szCs w:val="32"/>
        </w:rPr>
        <w:t>10.61</w:t>
      </w:r>
      <w:r>
        <w:rPr>
          <w:rFonts w:hint="eastAsia" w:ascii="仿宋_GB2312" w:eastAsia="仿宋_GB2312" w:cs="宋体"/>
          <w:color w:val="000000"/>
          <w:kern w:val="0"/>
          <w:sz w:val="32"/>
          <w:szCs w:val="32"/>
        </w:rPr>
        <w:t>万元，主要为增加工资支出；项目支出增加</w:t>
      </w:r>
      <w:r>
        <w:rPr>
          <w:rFonts w:ascii="仿宋_GB2312" w:eastAsia="仿宋_GB2312" w:cs="宋体"/>
          <w:color w:val="000000"/>
          <w:kern w:val="0"/>
          <w:sz w:val="32"/>
          <w:szCs w:val="32"/>
        </w:rPr>
        <w:t>100</w:t>
      </w:r>
      <w:r>
        <w:rPr>
          <w:rFonts w:hint="eastAsia" w:ascii="仿宋_GB2312" w:eastAsia="仿宋_GB2312" w:cs="宋体"/>
          <w:color w:val="000000"/>
          <w:kern w:val="0"/>
          <w:sz w:val="32"/>
          <w:szCs w:val="32"/>
        </w:rPr>
        <w:t>万元，主要是上级专项项目支出。</w:t>
      </w:r>
      <w:r>
        <w:rPr>
          <w:rFonts w:ascii="仿宋_GB2312" w:eastAsia="仿宋_GB2312" w:cs="宋体"/>
          <w:color w:val="000000"/>
          <w:kern w:val="0"/>
          <w:sz w:val="32"/>
          <w:szCs w:val="32"/>
        </w:rPr>
        <w:br w:type="textWrapping"/>
      </w:r>
      <w:r>
        <w:rPr>
          <w:rFonts w:hint="eastAsia" w:ascii="黑体" w:eastAsia="黑体" w:cs="宋体"/>
          <w:b/>
          <w:bCs/>
          <w:color w:val="000000"/>
          <w:kern w:val="0"/>
          <w:sz w:val="32"/>
          <w:szCs w:val="32"/>
        </w:rPr>
        <w:t>三、机关运行经费安排情况</w:t>
      </w:r>
    </w:p>
    <w:p>
      <w:pPr>
        <w:widowControl/>
        <w:spacing w:line="360" w:lineRule="atLeast"/>
        <w:ind w:firstLine="640" w:firstLineChars="200"/>
        <w:jc w:val="left"/>
        <w:rPr>
          <w:rFonts w:ascii="仿宋_GB2312" w:eastAsia="仿宋_GB2312" w:cs="宋体"/>
          <w:color w:val="000000"/>
          <w:kern w:val="0"/>
          <w:sz w:val="32"/>
          <w:szCs w:val="32"/>
        </w:rPr>
      </w:pPr>
      <w:r>
        <w:rPr>
          <w:rFonts w:ascii="仿宋_GB2312" w:eastAsia="仿宋_GB2312" w:cs="宋体"/>
          <w:color w:val="000000"/>
          <w:kern w:val="0"/>
          <w:sz w:val="32"/>
          <w:szCs w:val="32"/>
        </w:rPr>
        <w:t>2020</w:t>
      </w:r>
      <w:r>
        <w:rPr>
          <w:rFonts w:hint="eastAsia" w:ascii="仿宋_GB2312" w:eastAsia="仿宋_GB2312" w:cs="宋体"/>
          <w:color w:val="000000"/>
          <w:kern w:val="0"/>
          <w:sz w:val="32"/>
          <w:szCs w:val="32"/>
        </w:rPr>
        <w:t>年预算安排我部门机关运行经费19.84万元，主要用于办公区的日常维修、办公用房水电费、办公用房取暖费、办公用房物业管理费等日常运行支出。</w:t>
      </w:r>
    </w:p>
    <w:p>
      <w:pPr>
        <w:widowControl/>
        <w:spacing w:line="360" w:lineRule="atLeast"/>
        <w:jc w:val="left"/>
        <w:rPr>
          <w:rFonts w:ascii="黑体" w:eastAsia="黑体" w:cs="宋体"/>
          <w:b/>
          <w:bCs/>
          <w:color w:val="000000"/>
          <w:kern w:val="0"/>
          <w:sz w:val="32"/>
          <w:szCs w:val="32"/>
        </w:rPr>
      </w:pPr>
      <w:r>
        <w:rPr>
          <w:rFonts w:hint="eastAsia" w:ascii="黑体" w:eastAsia="黑体" w:cs="宋体"/>
          <w:b/>
          <w:bCs/>
          <w:color w:val="000000"/>
          <w:kern w:val="0"/>
          <w:sz w:val="32"/>
          <w:szCs w:val="32"/>
        </w:rPr>
        <w:t>四、财政拨款“三公”经费预算情况及增减变化原因</w:t>
      </w:r>
    </w:p>
    <w:p>
      <w:pPr>
        <w:autoSpaceDE w:val="0"/>
        <w:autoSpaceDN w:val="0"/>
        <w:adjustRightInd w:val="0"/>
        <w:ind w:left="198" w:firstLine="640" w:firstLineChars="200"/>
        <w:jc w:val="left"/>
        <w:rPr>
          <w:rFonts w:ascii="仿宋_GB2312" w:eastAsia="仿宋_GB2312" w:cs="宋体"/>
          <w:color w:val="000000"/>
          <w:kern w:val="0"/>
          <w:sz w:val="32"/>
          <w:szCs w:val="32"/>
        </w:rPr>
      </w:pPr>
      <w:r>
        <w:rPr>
          <w:rFonts w:ascii="仿宋_GB2312" w:eastAsia="仿宋_GB2312" w:cs="宋体"/>
          <w:color w:val="000000"/>
          <w:kern w:val="0"/>
          <w:sz w:val="32"/>
          <w:szCs w:val="32"/>
        </w:rPr>
        <w:t>2020</w:t>
      </w:r>
      <w:r>
        <w:rPr>
          <w:rFonts w:hint="eastAsia" w:ascii="仿宋_GB2312" w:eastAsia="仿宋_GB2312" w:cs="宋体"/>
          <w:color w:val="000000"/>
          <w:kern w:val="0"/>
          <w:sz w:val="32"/>
          <w:szCs w:val="32"/>
        </w:rPr>
        <w:t>年，我部门“三公”经费预算安排</w:t>
      </w:r>
      <w:r>
        <w:rPr>
          <w:rFonts w:ascii="仿宋_GB2312" w:eastAsia="仿宋_GB2312" w:cs="宋体"/>
          <w:color w:val="000000"/>
          <w:kern w:val="0"/>
          <w:sz w:val="32"/>
          <w:szCs w:val="32"/>
        </w:rPr>
        <w:t>2.19</w:t>
      </w:r>
      <w:r>
        <w:rPr>
          <w:rFonts w:hint="eastAsia" w:ascii="仿宋_GB2312" w:eastAsia="仿宋_GB2312" w:cs="宋体"/>
          <w:color w:val="000000"/>
          <w:kern w:val="0"/>
          <w:sz w:val="32"/>
          <w:szCs w:val="32"/>
        </w:rPr>
        <w:t>万元，其中因公出国（境）费</w:t>
      </w:r>
      <w:r>
        <w:rPr>
          <w:rFonts w:ascii="仿宋_GB2312" w:eastAsia="仿宋_GB2312" w:cs="宋体"/>
          <w:color w:val="000000"/>
          <w:kern w:val="0"/>
          <w:sz w:val="32"/>
          <w:szCs w:val="32"/>
        </w:rPr>
        <w:t>0</w:t>
      </w:r>
      <w:r>
        <w:rPr>
          <w:rFonts w:hint="eastAsia" w:ascii="仿宋_GB2312" w:eastAsia="仿宋_GB2312" w:cs="宋体"/>
          <w:color w:val="000000"/>
          <w:kern w:val="0"/>
          <w:sz w:val="32"/>
          <w:szCs w:val="32"/>
        </w:rPr>
        <w:t>万元；公务用车购置及运维费</w:t>
      </w:r>
      <w:r>
        <w:rPr>
          <w:rFonts w:ascii="仿宋_GB2312" w:eastAsia="仿宋_GB2312" w:cs="宋体"/>
          <w:color w:val="000000"/>
          <w:kern w:val="0"/>
          <w:sz w:val="32"/>
          <w:szCs w:val="32"/>
        </w:rPr>
        <w:t>2.19</w:t>
      </w:r>
      <w:r>
        <w:rPr>
          <w:rFonts w:hint="eastAsia" w:ascii="仿宋_GB2312" w:eastAsia="仿宋_GB2312" w:cs="宋体"/>
          <w:color w:val="000000"/>
          <w:kern w:val="0"/>
          <w:sz w:val="32"/>
          <w:szCs w:val="32"/>
        </w:rPr>
        <w:t>万元（其中：公务用车购置费为</w:t>
      </w:r>
      <w:r>
        <w:rPr>
          <w:rFonts w:ascii="仿宋_GB2312" w:eastAsia="仿宋_GB2312" w:cs="宋体"/>
          <w:color w:val="000000"/>
          <w:kern w:val="0"/>
          <w:sz w:val="32"/>
          <w:szCs w:val="32"/>
        </w:rPr>
        <w:t>0</w:t>
      </w:r>
      <w:r>
        <w:rPr>
          <w:rFonts w:hint="eastAsia" w:ascii="仿宋_GB2312" w:eastAsia="仿宋_GB2312" w:cs="宋体"/>
          <w:color w:val="000000"/>
          <w:kern w:val="0"/>
          <w:sz w:val="32"/>
          <w:szCs w:val="32"/>
        </w:rPr>
        <w:t>万元，公务用车运行费为</w:t>
      </w:r>
      <w:r>
        <w:rPr>
          <w:rFonts w:ascii="仿宋_GB2312" w:eastAsia="仿宋_GB2312" w:cs="宋体"/>
          <w:color w:val="000000"/>
          <w:kern w:val="0"/>
          <w:sz w:val="32"/>
          <w:szCs w:val="32"/>
        </w:rPr>
        <w:t>2.19</w:t>
      </w:r>
      <w:r>
        <w:rPr>
          <w:rFonts w:hint="eastAsia" w:ascii="仿宋_GB2312" w:eastAsia="仿宋_GB2312" w:cs="宋体"/>
          <w:color w:val="000000"/>
          <w:kern w:val="0"/>
          <w:sz w:val="32"/>
          <w:szCs w:val="32"/>
        </w:rPr>
        <w:t>万元</w:t>
      </w:r>
      <w:r>
        <w:rPr>
          <w:rFonts w:ascii="仿宋_GB2312" w:eastAsia="仿宋_GB2312" w:cs="宋体"/>
          <w:color w:val="000000"/>
          <w:kern w:val="0"/>
          <w:sz w:val="32"/>
          <w:szCs w:val="32"/>
        </w:rPr>
        <w:t>)</w:t>
      </w:r>
      <w:r>
        <w:rPr>
          <w:rFonts w:hint="eastAsia" w:ascii="仿宋_GB2312" w:eastAsia="仿宋_GB2312" w:cs="宋体"/>
          <w:color w:val="000000"/>
          <w:kern w:val="0"/>
          <w:sz w:val="32"/>
          <w:szCs w:val="32"/>
        </w:rPr>
        <w:t>；公务接待费</w:t>
      </w:r>
      <w:r>
        <w:rPr>
          <w:rFonts w:ascii="仿宋_GB2312" w:eastAsia="仿宋_GB2312" w:cs="宋体"/>
          <w:color w:val="000000"/>
          <w:kern w:val="0"/>
          <w:sz w:val="32"/>
          <w:szCs w:val="32"/>
        </w:rPr>
        <w:t>0</w:t>
      </w:r>
      <w:r>
        <w:rPr>
          <w:rFonts w:hint="eastAsia" w:ascii="仿宋_GB2312" w:eastAsia="仿宋_GB2312" w:cs="宋体"/>
          <w:color w:val="000000"/>
          <w:kern w:val="0"/>
          <w:sz w:val="32"/>
          <w:szCs w:val="32"/>
        </w:rPr>
        <w:t>万元。与</w:t>
      </w:r>
      <w:r>
        <w:rPr>
          <w:rFonts w:ascii="仿宋_GB2312" w:eastAsia="仿宋_GB2312" w:cs="宋体"/>
          <w:color w:val="000000"/>
          <w:kern w:val="0"/>
          <w:sz w:val="32"/>
          <w:szCs w:val="32"/>
        </w:rPr>
        <w:t>2019</w:t>
      </w:r>
      <w:r>
        <w:rPr>
          <w:rFonts w:hint="eastAsia" w:ascii="仿宋_GB2312" w:eastAsia="仿宋_GB2312" w:cs="宋体"/>
          <w:color w:val="000000"/>
          <w:kern w:val="0"/>
          <w:sz w:val="32"/>
          <w:szCs w:val="32"/>
        </w:rPr>
        <w:t>年相比，</w:t>
      </w:r>
      <w:r>
        <w:rPr>
          <w:rFonts w:hint="eastAsia" w:ascii="Times New Roman" w:hAnsi="Times New Roman" w:eastAsia="仿宋_GB2312"/>
          <w:sz w:val="32"/>
          <w:szCs w:val="32"/>
        </w:rPr>
        <w:t>无增减变化</w:t>
      </w:r>
      <w:r>
        <w:rPr>
          <w:rFonts w:hint="eastAsia" w:ascii="仿宋_GB2312" w:eastAsia="仿宋_GB2312" w:cs="宋体"/>
          <w:color w:val="000000"/>
          <w:kern w:val="0"/>
          <w:sz w:val="32"/>
          <w:szCs w:val="32"/>
        </w:rPr>
        <w:t>。</w:t>
      </w:r>
    </w:p>
    <w:p>
      <w:pPr>
        <w:spacing w:line="584" w:lineRule="exact"/>
        <w:ind w:firstLine="643" w:firstLineChars="200"/>
        <w:jc w:val="left"/>
        <w:rPr>
          <w:rFonts w:ascii="Times New Roman" w:hAnsi="Times New Roman" w:eastAsia="楷体_GB2312"/>
          <w:b/>
          <w:sz w:val="32"/>
          <w:szCs w:val="32"/>
        </w:rPr>
      </w:pPr>
      <w:r>
        <w:rPr>
          <w:rFonts w:hint="eastAsia" w:ascii="黑体" w:eastAsia="黑体" w:cs="宋体"/>
          <w:b/>
          <w:bCs/>
          <w:color w:val="000000"/>
          <w:kern w:val="0"/>
          <w:sz w:val="32"/>
          <w:szCs w:val="32"/>
        </w:rPr>
        <w:t>五、绩效预算信息</w:t>
      </w:r>
      <w:r>
        <w:rPr>
          <w:rFonts w:ascii="黑体" w:eastAsia="黑体" w:cs="宋体"/>
          <w:color w:val="000000"/>
          <w:kern w:val="0"/>
          <w:sz w:val="32"/>
          <w:szCs w:val="32"/>
        </w:rPr>
        <w:br w:type="textWrapping"/>
      </w:r>
      <w:r>
        <w:rPr>
          <w:rFonts w:ascii="Times New Roman" w:hAnsi="Times New Roman" w:eastAsia="楷体_GB2312"/>
          <w:b/>
          <w:sz w:val="32"/>
          <w:szCs w:val="32"/>
        </w:rPr>
        <w:t>第一部分  部门整体绩效目标</w:t>
      </w:r>
    </w:p>
    <w:p>
      <w:pPr>
        <w:spacing w:line="500" w:lineRule="exact"/>
        <w:ind w:firstLine="643" w:firstLineChars="200"/>
        <w:jc w:val="left"/>
        <w:rPr>
          <w:rFonts w:ascii="Times New Roman" w:hAnsi="Times New Roman" w:eastAsia="仿宋_GB2312"/>
          <w:sz w:val="32"/>
          <w:szCs w:val="32"/>
        </w:rPr>
      </w:pPr>
      <w:r>
        <w:rPr>
          <w:rFonts w:ascii="Times New Roman" w:hAnsi="Times New Roman" w:eastAsia="楷体_GB2312"/>
          <w:b/>
          <w:sz w:val="32"/>
          <w:szCs w:val="32"/>
        </w:rPr>
        <w:t>（一）总体绩效目标：</w:t>
      </w:r>
      <w:r>
        <w:rPr>
          <w:rFonts w:ascii="Times New Roman" w:hAnsi="Times New Roman" w:eastAsia="仿宋_GB2312"/>
          <w:sz w:val="32"/>
          <w:szCs w:val="32"/>
        </w:rPr>
        <w:t>2020</w:t>
      </w:r>
      <w:r>
        <w:rPr>
          <w:rFonts w:hint="eastAsia" w:ascii="Times New Roman" w:hAnsi="Times New Roman" w:eastAsia="仿宋_GB2312"/>
          <w:sz w:val="32"/>
          <w:szCs w:val="32"/>
        </w:rPr>
        <w:t>年，区科技局将在区委、区政府的正确领导下，贯彻落实习近平总书记中国特色社会主义思想，深入开展</w:t>
      </w:r>
      <w:r>
        <w:rPr>
          <w:rFonts w:hint="eastAsia" w:ascii="Times New Roman" w:hAnsi="Times New Roman" w:eastAsia="仿宋_GB2312"/>
          <w:sz w:val="32"/>
          <w:szCs w:val="32"/>
          <w:lang w:eastAsia="zh-CN"/>
        </w:rPr>
        <w:t>“不忘初心、牢记使命”主题教育</w:t>
      </w:r>
      <w:r>
        <w:rPr>
          <w:rFonts w:hint="eastAsia" w:ascii="Times New Roman" w:hAnsi="Times New Roman" w:eastAsia="仿宋_GB2312"/>
          <w:sz w:val="32"/>
          <w:szCs w:val="32"/>
        </w:rPr>
        <w:t>，围绕全区中心工作，深化高质量发展，切实做好县域科技创新跃升计划行动，不断优化科技发展环境，提升科技服务水平，为广阳经济社会发展提供强力科技支撑。总体绩效目标如下：</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    1</w:t>
      </w:r>
      <w:r>
        <w:rPr>
          <w:rFonts w:hint="eastAsia" w:ascii="Times New Roman" w:hAnsi="Times New Roman" w:eastAsia="仿宋_GB2312"/>
          <w:sz w:val="32"/>
          <w:szCs w:val="32"/>
        </w:rPr>
        <w:t>、高新技术企业申报、认定工作。全区高新技术企业总量达到</w:t>
      </w:r>
      <w:r>
        <w:rPr>
          <w:rFonts w:ascii="Times New Roman" w:hAnsi="Times New Roman" w:eastAsia="仿宋_GB2312"/>
          <w:sz w:val="32"/>
          <w:szCs w:val="32"/>
        </w:rPr>
        <w:t>43</w:t>
      </w:r>
      <w:r>
        <w:rPr>
          <w:rFonts w:hint="eastAsia" w:ascii="Times New Roman" w:hAnsi="Times New Roman" w:eastAsia="仿宋_GB2312"/>
          <w:sz w:val="32"/>
          <w:szCs w:val="32"/>
        </w:rPr>
        <w:t>家</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    2</w:t>
      </w:r>
      <w:r>
        <w:rPr>
          <w:rFonts w:hint="eastAsia" w:ascii="Times New Roman" w:hAnsi="Times New Roman" w:eastAsia="仿宋_GB2312"/>
          <w:sz w:val="32"/>
          <w:szCs w:val="32"/>
        </w:rPr>
        <w:t>、科技型中小企业申报、认定工作。全区科技型中小企业总量达到</w:t>
      </w:r>
      <w:r>
        <w:rPr>
          <w:rFonts w:ascii="Times New Roman" w:hAnsi="Times New Roman" w:eastAsia="仿宋_GB2312"/>
          <w:sz w:val="32"/>
          <w:szCs w:val="32"/>
        </w:rPr>
        <w:t>479</w:t>
      </w:r>
      <w:r>
        <w:rPr>
          <w:rFonts w:hint="eastAsia" w:ascii="Times New Roman" w:hAnsi="Times New Roman" w:eastAsia="仿宋_GB2312"/>
          <w:sz w:val="32"/>
          <w:szCs w:val="32"/>
        </w:rPr>
        <w:t>家</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    3</w:t>
      </w:r>
      <w:r>
        <w:rPr>
          <w:rFonts w:hint="eastAsia" w:ascii="Times New Roman" w:hAnsi="Times New Roman" w:eastAsia="仿宋_GB2312"/>
          <w:sz w:val="32"/>
          <w:szCs w:val="32"/>
        </w:rPr>
        <w:t>、企业技术研发中心申报、认定工作。全区市级企业技术研发中心总量达到</w:t>
      </w:r>
      <w:r>
        <w:rPr>
          <w:rFonts w:ascii="Times New Roman" w:hAnsi="Times New Roman" w:eastAsia="仿宋_GB2312"/>
          <w:sz w:val="32"/>
          <w:szCs w:val="32"/>
        </w:rPr>
        <w:t>31</w:t>
      </w:r>
      <w:r>
        <w:rPr>
          <w:rFonts w:hint="eastAsia" w:ascii="Times New Roman" w:hAnsi="Times New Roman" w:eastAsia="仿宋_GB2312"/>
          <w:sz w:val="32"/>
          <w:szCs w:val="32"/>
        </w:rPr>
        <w:t>家</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    4</w:t>
      </w:r>
      <w:r>
        <w:rPr>
          <w:rFonts w:hint="eastAsia" w:ascii="Times New Roman" w:hAnsi="Times New Roman" w:eastAsia="仿宋_GB2312"/>
          <w:sz w:val="32"/>
          <w:szCs w:val="32"/>
        </w:rPr>
        <w:t>、市级众创空间申报、认定工作。全区市级众创空间总量达到</w:t>
      </w:r>
      <w:r>
        <w:rPr>
          <w:rFonts w:ascii="Times New Roman" w:hAnsi="Times New Roman" w:eastAsia="仿宋_GB2312"/>
          <w:sz w:val="32"/>
          <w:szCs w:val="32"/>
        </w:rPr>
        <w:t>9</w:t>
      </w:r>
      <w:r>
        <w:rPr>
          <w:rFonts w:hint="eastAsia" w:ascii="Times New Roman" w:hAnsi="Times New Roman" w:eastAsia="仿宋_GB2312"/>
          <w:sz w:val="32"/>
          <w:szCs w:val="32"/>
        </w:rPr>
        <w:t>家，国家级众创空间总量达到</w:t>
      </w:r>
      <w:r>
        <w:rPr>
          <w:rFonts w:ascii="Times New Roman" w:hAnsi="Times New Roman" w:eastAsia="仿宋_GB2312"/>
          <w:sz w:val="32"/>
          <w:szCs w:val="32"/>
        </w:rPr>
        <w:t>2</w:t>
      </w:r>
      <w:r>
        <w:rPr>
          <w:rFonts w:hint="eastAsia" w:ascii="Times New Roman" w:hAnsi="Times New Roman" w:eastAsia="仿宋_GB2312"/>
          <w:sz w:val="32"/>
          <w:szCs w:val="32"/>
        </w:rPr>
        <w:t>家</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    5</w:t>
      </w:r>
      <w:r>
        <w:rPr>
          <w:rFonts w:hint="eastAsia" w:ascii="Times New Roman" w:hAnsi="Times New Roman" w:eastAsia="仿宋_GB2312"/>
          <w:sz w:val="32"/>
          <w:szCs w:val="32"/>
        </w:rPr>
        <w:t>、市级科技企业孵化器申报认定工作。全区市级科技企业孵化器达到总量</w:t>
      </w:r>
      <w:r>
        <w:rPr>
          <w:rFonts w:ascii="Times New Roman" w:hAnsi="Times New Roman" w:eastAsia="仿宋_GB2312"/>
          <w:sz w:val="32"/>
          <w:szCs w:val="32"/>
        </w:rPr>
        <w:t>4</w:t>
      </w:r>
      <w:r>
        <w:rPr>
          <w:rFonts w:hint="eastAsia" w:ascii="Times New Roman" w:hAnsi="Times New Roman" w:eastAsia="仿宋_GB2312"/>
          <w:sz w:val="32"/>
          <w:szCs w:val="32"/>
        </w:rPr>
        <w:t>家</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    6</w:t>
      </w:r>
      <w:r>
        <w:rPr>
          <w:rFonts w:hint="eastAsia" w:ascii="Times New Roman" w:hAnsi="Times New Roman" w:eastAsia="仿宋_GB2312"/>
          <w:sz w:val="32"/>
          <w:szCs w:val="32"/>
        </w:rPr>
        <w:t>、技术交易总额。全区技术交易总额达到</w:t>
      </w:r>
      <w:r>
        <w:rPr>
          <w:rFonts w:ascii="Times New Roman" w:hAnsi="Times New Roman" w:eastAsia="仿宋_GB2312"/>
          <w:sz w:val="32"/>
          <w:szCs w:val="32"/>
        </w:rPr>
        <w:t>20</w:t>
      </w:r>
      <w:r>
        <w:rPr>
          <w:rFonts w:hint="eastAsia" w:ascii="Times New Roman" w:hAnsi="Times New Roman" w:eastAsia="仿宋_GB2312"/>
          <w:sz w:val="32"/>
          <w:szCs w:val="32"/>
        </w:rPr>
        <w:t>亿元</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    7</w:t>
      </w:r>
      <w:r>
        <w:rPr>
          <w:rFonts w:hint="eastAsia" w:ascii="Times New Roman" w:hAnsi="Times New Roman" w:eastAsia="仿宋_GB2312"/>
          <w:sz w:val="32"/>
          <w:szCs w:val="32"/>
        </w:rPr>
        <w:t>、院士工作站申报认定工作。全区院士工作站总量达到</w:t>
      </w:r>
      <w:r>
        <w:rPr>
          <w:rFonts w:ascii="Times New Roman" w:hAnsi="Times New Roman" w:eastAsia="仿宋_GB2312"/>
          <w:sz w:val="32"/>
          <w:szCs w:val="32"/>
        </w:rPr>
        <w:t>7</w:t>
      </w:r>
      <w:r>
        <w:rPr>
          <w:rFonts w:hint="eastAsia" w:ascii="Times New Roman" w:hAnsi="Times New Roman" w:eastAsia="仿宋_GB2312"/>
          <w:sz w:val="32"/>
          <w:szCs w:val="32"/>
        </w:rPr>
        <w:t>家</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    8</w:t>
      </w:r>
      <w:r>
        <w:rPr>
          <w:rFonts w:hint="eastAsia" w:ascii="Times New Roman" w:hAnsi="Times New Roman" w:eastAsia="仿宋_GB2312"/>
          <w:sz w:val="32"/>
          <w:szCs w:val="32"/>
        </w:rPr>
        <w:t>、支持省级双创示范基地建设协助市科技局做好省级</w:t>
      </w:r>
      <w:r>
        <w:rPr>
          <w:rFonts w:ascii="Times New Roman" w:hAnsi="Times New Roman" w:eastAsia="仿宋_GB2312"/>
          <w:sz w:val="32"/>
          <w:szCs w:val="32"/>
        </w:rPr>
        <w:t>“</w:t>
      </w:r>
      <w:r>
        <w:rPr>
          <w:rFonts w:hint="eastAsia" w:ascii="Times New Roman" w:hAnsi="Times New Roman" w:eastAsia="仿宋_GB2312"/>
          <w:sz w:val="32"/>
          <w:szCs w:val="32"/>
        </w:rPr>
        <w:t>双创</w:t>
      </w:r>
      <w:r>
        <w:rPr>
          <w:rFonts w:ascii="Times New Roman" w:hAnsi="Times New Roman" w:eastAsia="仿宋_GB2312"/>
          <w:sz w:val="32"/>
          <w:szCs w:val="32"/>
        </w:rPr>
        <w:t>”</w:t>
      </w:r>
      <w:r>
        <w:rPr>
          <w:rFonts w:hint="eastAsia" w:ascii="Times New Roman" w:hAnsi="Times New Roman" w:eastAsia="仿宋_GB2312"/>
          <w:sz w:val="32"/>
          <w:szCs w:val="32"/>
        </w:rPr>
        <w:t>示范基地建设。</w:t>
      </w:r>
    </w:p>
    <w:p>
      <w:pPr>
        <w:spacing w:line="500" w:lineRule="exact"/>
        <w:ind w:firstLine="643" w:firstLineChars="200"/>
        <w:jc w:val="left"/>
        <w:rPr>
          <w:rFonts w:ascii="Times New Roman" w:hAnsi="Times New Roman" w:eastAsia="仿宋_GB2312"/>
          <w:sz w:val="32"/>
          <w:szCs w:val="32"/>
        </w:rPr>
      </w:pPr>
      <w:r>
        <w:rPr>
          <w:rFonts w:ascii="Times New Roman" w:hAnsi="Times New Roman" w:eastAsia="楷体_GB2312"/>
          <w:b/>
          <w:sz w:val="32"/>
          <w:szCs w:val="32"/>
        </w:rPr>
        <w:t>（二）分项绩效目标</w:t>
      </w:r>
      <w:r>
        <w:rPr>
          <w:rFonts w:hint="eastAsia" w:ascii="Times New Roman" w:hAnsi="Times New Roman" w:eastAsia="楷体_GB2312"/>
          <w:b/>
          <w:sz w:val="32"/>
          <w:szCs w:val="32"/>
        </w:rPr>
        <w:t>：</w:t>
      </w:r>
      <w:r>
        <w:rPr>
          <w:rFonts w:ascii="Times New Roman" w:hAnsi="Times New Roman" w:eastAsia="仿宋_GB2312"/>
          <w:sz w:val="32"/>
          <w:szCs w:val="32"/>
        </w:rPr>
        <w:t>一、产业结构调整与升级技术研究</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工作要求：研发一批产业发展急需的新技术、新工艺、新产品，高新技术应用示范及成果产业化能力不断增强，科技支撑高新技术产业倍增、改造提升传统产业能力增强。</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工作任务及绩效目标：</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1、申报国家、省、市科学计划项目数量。申报研究开发及产业化的产品、软件、系统、专用设备等项目数量。</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2、承担项目企业销售收入平均增长率。企业通过实施科技项目所增加的年销售收入与原销售收入的比例。</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3、科技技术研发成果。项目承担单位研发科技技术成果。</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二、支持科技型中小企业技术创新</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发挥财政资金引导作用，推动科技型中小企业技术创新能力不断增强；发挥科技基金作用，逐步建立有利于促进企业自主创新的多元化、多层次、多渠道科技投融资体系。</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工作任务及绩效目标：</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1、科技投入直接杠杆放大倍数。区本级科技支持资金投入放大倍数。</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2、完成科技型中小企业申报认定任务。鼓励企业申报科技型中小企业。</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3、科技型中小企业增量。科技型中小企业认定数量。</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三、科技创新平台建设</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科技创新平台设备、人才等科研条件进一步改善，各类科技资源配置更加合理，助推科技创新能力不断增强。</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工作任务及绩效目标：</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1、科研成果数量。加强科技创新取得科研成果的数量。</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2、转移转化科技成果数量。向外单位转移、转让的科技成果及单位内部转化应用的科技成果数量。</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3、引进和培养高层次人才数量。引进的具有高级职称、市级以上称号等人才数量及培养的研究生等高水平人才数量。</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四、科技创业平台（基地）建设</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全区科技中介机构、创新创业基地等服务能力得到提升，科技特派员队伍不断壮大。</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工作任务及绩效目标：</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1、科技企业孵化器孵化企业数量。区级以上科技企业孵化器中在孵的创业企业数量。</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2、区级农业科技园区示范应用的新技术。示范应用农业新技术、新品种的数量。</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3、高新区主要经济指标年增长率。此项任务未涉及区科技局工作，区科技局将协助做好科技政策宣传工作。</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4、科技特派员总数。市、区选派科技特派员人数。</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五、支持科技型中小企业技术创新</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区科技基础条件平台体系不断完善，科技资源面向社会开放共享程度提高；创新企业培育和创新方法应用推广取得成效；服务政府决策能力增强，科技合作交流机制健全，科技信息服务能力不断增强。</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工作任务及绩效目标：</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1、创新型企业研发费用占主营业务收入比率。企业当年投入的研究开发费用÷当年的主营业务收入*100%。</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2、形成研究报告数量。通过开展科学课题研究，形成对所研究问题的对策和建议的研究数量。</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3、建设完善科技资源共享服务网络化、社会化平台数量。建设完善大型科学仪器、自然科技资源、科技文献等科技基础条件平台，以及在装备制造、生物技术、海洋科技等领域建设信息化、数字化服务平台的数量。</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六、科学技术奖励</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营造崇尚科学、尊重知识、激励创新创业的社会文化，贯彻落实国家、省、市科技政策，政府科学技术奖励的导向和激励作用不断增强。</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工作任务及绩效目标：</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1、奖励的权威性、公信力和满意率抽样调查情况。在参与评奖的全区机关、企事业单位选取各类科技人员100人进行问卷调查，计算对奖励工作的满意率。</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2、贯彻落实情况。在参与评奖的全区机关、企事业单位选取各类科技人员100人进行问卷调查，计算对奖励工作的满意率。</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3、奖励的权威性、公信力和满意率抽样调查情况。在参与评奖的全区机关、企事业单位选取各类科技人员100人进行问卷调查，计算对奖励工作的满意率。</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七、知识产权管理（该项业务工作已从科技局划转）</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资助专利申请、授权,推进专利质押融资，规范知识产权评估；引导企业制定专利战略，规范企业知识产权管理,培育知识产权竞争优势。健全专利奖励机制，促进专利转化。改善专利行政执法条件，依法及时调处专利纠纷案件，查处假冒专利行为，规范专业市场知识产权保护，提供知识产权维权援助与举报投诉服务，组织协调县级知识保护产权工作。</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工作任务及绩效目标：</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1、资助专利申请、授权,推进专利质押融资，规范知识产权评估；引导企业制定专利战略，规范企业知识产权管理,培育知识产权竞争优势。健全专利奖励机制，促进专利转化。</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1、专利宣传及普及工作。开展知识产权宣传工作次数。</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2、专利申请及授权量。知识产权专利申请及授权数量。</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3、知识产权保护规范化专业市场工作。培育知识产权保护规范化专业市场（有知识产权保护机构、管理办法、工作人员，建立市场准入、内部检查、纠纷处理等制度）的数量。</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八、社会防御管理、宣传和地震应急预案与演练（该项业务工作已从科技局划转）</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推动地震安全农居、中小学校舍安全工程建设。组织全市群测群防和“三网一员”网络建设。参与地震灾害保险、灾区恢复重建规划制定等工作。对市、县地震监测台网（站）和群测群防工作实行行业管理；组织开展防震减灾宣传。开展市级地震应急预案的制定、修订以及宣传贯彻工作。指导各级各类地震应急预案管理。开展应急准备工作检查，指导应急演练，培训应急人员。</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工作任务及绩效目标：</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1、城乡地震安全民居建设宏观观测点数量。各级各类地震宏观观测点累计建设数量。</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2、防震减灾知识宣传教育普及次数。开展防震减灾知识宣传教育的次数。</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3、地震应急培训和演练次数。年度统计完成应急培训和演练次数情况。</w:t>
      </w:r>
    </w:p>
    <w:p>
      <w:pPr>
        <w:spacing w:line="5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4、各级各类预案修订完成情况。完成修订的预案占需要修订预案的比例。</w:t>
      </w:r>
    </w:p>
    <w:p>
      <w:pPr>
        <w:spacing w:line="584" w:lineRule="exact"/>
        <w:ind w:firstLine="643" w:firstLineChars="200"/>
        <w:jc w:val="left"/>
        <w:rPr>
          <w:rFonts w:ascii="Times New Roman" w:hAnsi="Times New Roman" w:eastAsia="楷体_GB2312"/>
          <w:b/>
          <w:sz w:val="32"/>
          <w:szCs w:val="32"/>
        </w:rPr>
      </w:pPr>
      <w:r>
        <w:rPr>
          <w:rFonts w:ascii="Times New Roman" w:hAnsi="Times New Roman" w:eastAsia="楷体_GB2312"/>
          <w:b/>
          <w:sz w:val="32"/>
          <w:szCs w:val="32"/>
        </w:rPr>
        <w:t>（三）工作保障措施</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2020年度科技工作任务已经确定，按照局党组工作要求，各股室对应承担的工作任务进行了梳理，经主管领导审核把关后，以台账的形式上报局办公室。办公室对各股室上报的台账，逐条对照市、区委重点工作和股室“三定职能”进行了审核，确保工作不落项。为如期圆满完成各项目标任务，特提出如下要求：</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一、建立工作日志制度。要注重工作积累，详细记录每天工作内容和领导交办的临时性工作任务进展情况、遇到的问题和解决问题的思路、方法，做到日事日清，提高工作技能和工作执行力。</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二、建立周调度制度。每周一召开领导班子成员碰头会，由局长主持，听取分管领导对负责股室上一周工作进展情况的汇报，协调解决台账所列任务进展中遇到的困难和问题。</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三、建立月汇报制度。每月中旬，由主管领导按照台账所列任务，听取分管股室的工作汇报，逐项掌握进度，侧重发现问题、分析问题、研究问题、解决问题，共同研究改进工作的方法和措施。</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四、建立月督导制度。试行局领导月度值班督导（局领导月度督导值班表附后）。每月25日，由当月值班局领导和下月值班局领导共同听取各股室工作完成情况汇报，各股室要按照当月台账所列任务，逐条汇报完成情况，对没有按照时间节点完成的，要详细说明原因和拟完成时限。对当月股室完成的调研报告，值班局领导要审核把关后，同意上报局主要领导。要切实履行好监督责任，要逐项进行讲评，总结好的经验和做法，解决问题和不足，并列出改进意见。对没有按照时间节点完成目标任务的股室，要视情况追究股室主要负责同志责任，并将具体情况通报给其他分管领导。办公室要做好督导汇报会记录，并在下周一的党组会上做汇报。</w:t>
      </w: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五、建立季度报制度。办公室将各股室每月台账完成情况，认真汇总，按照股室性质，既全面梳理，又突出重点，特别是着重分析收入完成情况，支出进度、保障措施的落实等按季度形成专题督导报告，在全局通报。</w:t>
      </w:r>
    </w:p>
    <w:p>
      <w:pPr>
        <w:ind w:firstLine="643" w:firstLineChars="200"/>
        <w:jc w:val="left"/>
        <w:outlineLvl w:val="1"/>
        <w:rPr>
          <w:rFonts w:hint="eastAsia" w:ascii="Times New Roman" w:hAnsi="Times New Roman" w:eastAsia="楷体_GB2312"/>
          <w:b/>
          <w:sz w:val="32"/>
          <w:szCs w:val="32"/>
        </w:rPr>
      </w:pPr>
      <w:r>
        <w:rPr>
          <w:rFonts w:hint="eastAsia" w:ascii="Times New Roman" w:hAnsi="Times New Roman" w:eastAsia="楷体_GB2312"/>
          <w:b/>
          <w:sz w:val="32"/>
          <w:szCs w:val="32"/>
        </w:rPr>
        <w:t xml:space="preserve">第二部分 </w:t>
      </w:r>
      <w:r>
        <w:rPr>
          <w:rFonts w:ascii="Times New Roman" w:hAnsi="Times New Roman" w:eastAsia="楷体_GB2312"/>
          <w:b/>
          <w:sz w:val="32"/>
          <w:szCs w:val="32"/>
        </w:rPr>
        <w:t>部门整体绩效目标</w:t>
      </w:r>
    </w:p>
    <w:p>
      <w:pPr>
        <w:ind w:firstLine="562" w:firstLineChars="200"/>
        <w:jc w:val="left"/>
        <w:outlineLvl w:val="1"/>
        <w:rPr>
          <w:rFonts w:ascii="Times New Roman" w:hAnsi="宋体"/>
          <w:b/>
          <w:sz w:val="28"/>
        </w:rPr>
      </w:pPr>
      <w:r>
        <w:rPr>
          <w:rFonts w:hint="eastAsia" w:ascii="方正仿宋_GBK" w:eastAsia="方正仿宋_GBK"/>
          <w:b/>
          <w:sz w:val="28"/>
        </w:rPr>
        <w:t>1、科普活动经费绩效目标表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0" w:name="_Toc33538999"/>
      <w:r>
        <w:rPr>
          <w:rFonts w:hint="eastAsia" w:ascii="方正仿宋_GBK" w:eastAsia="方正仿宋_GBK"/>
          <w:b/>
          <w:sz w:val="28"/>
        </w:rPr>
        <w:instrText xml:space="preserve">1、科普活动经费绩效目标表</w:instrText>
      </w:r>
      <w:bookmarkEnd w:id="0"/>
      <w:r>
        <w:rPr>
          <w:rFonts w:hint="eastAsia" w:ascii="方正仿宋_GBK" w:eastAsia="方正仿宋_GBK"/>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、开展科普宣传活动，对科普宣传活动细化量化，是确保科技创新工作及平台建设的重要载体。</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、加强政策培训指导，打通政策落实</w:t>
            </w:r>
            <w:r>
              <w:rPr>
                <w:rFonts w:hint="eastAsia" w:ascii="方正书宋_GBK" w:eastAsia="方正书宋_GBK"/>
                <w:lang w:val="en-US" w:eastAsia="zh-CN"/>
              </w:rPr>
              <w:t>“</w:t>
            </w:r>
            <w:r>
              <w:rPr>
                <w:rFonts w:hint="eastAsia" w:ascii="方正书宋_GBK" w:eastAsia="方正书宋_GBK"/>
              </w:rPr>
              <w:t>最后一公里</w:t>
            </w:r>
            <w:r>
              <w:rPr>
                <w:rFonts w:hint="eastAsia" w:ascii="方正书宋_GBK" w:eastAsia="方正书宋_GBK"/>
                <w:lang w:val="en-US" w:eastAsia="zh-CN"/>
              </w:rPr>
              <w:t>”</w:t>
            </w:r>
            <w:r>
              <w:rPr>
                <w:rFonts w:hint="eastAsia" w:ascii="方正书宋_GBK" w:eastAsia="方正书宋_GBK"/>
              </w:rPr>
              <w:t>，营造我区良好科技创新环境。</w:t>
            </w:r>
            <w:bookmarkStart w:id="2" w:name="_GoBack"/>
            <w:bookmarkEnd w:id="2"/>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科技宣传入企服务次数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科技宣传入企服务的次数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《科技创新三年行动计划（</w:t>
            </w:r>
            <w:r>
              <w:rPr>
                <w:rFonts w:ascii="方正书宋_GBK" w:eastAsia="方正书宋_GBK"/>
              </w:rPr>
              <w:t>2018-2020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科技宣传培育人次</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科技宣传培育人次</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400</w:t>
            </w:r>
            <w:r>
              <w:rPr>
                <w:rFonts w:hint="eastAsia" w:ascii="方正书宋_GBK" w:eastAsia="方正书宋_GBK"/>
              </w:rPr>
              <w:t>人次</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《科技创新三年行动计划（</w:t>
            </w:r>
            <w:r>
              <w:rPr>
                <w:rFonts w:ascii="方正书宋_GBK" w:eastAsia="方正书宋_GBK"/>
              </w:rPr>
              <w:t>2018-2020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科技宣传发放材料数量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科技宣传发放材料的数量</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20000</w:t>
            </w:r>
            <w:r>
              <w:rPr>
                <w:rFonts w:hint="eastAsia" w:ascii="方正书宋_GBK" w:eastAsia="方正书宋_GBK"/>
              </w:rPr>
              <w:t>份</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《科技创新三年行动计划（</w:t>
            </w:r>
            <w:r>
              <w:rPr>
                <w:rFonts w:ascii="方正书宋_GBK" w:eastAsia="方正书宋_GBK"/>
              </w:rPr>
              <w:t>2018-2020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优化科技创新环境</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推进科技创新政策落实</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个</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《科技创新三年行动计划（</w:t>
            </w:r>
            <w:r>
              <w:rPr>
                <w:rFonts w:ascii="方正书宋_GBK" w:eastAsia="方正书宋_GBK"/>
              </w:rPr>
              <w:t>2018-2020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科技型中小企业增量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新增科技型中小企业数量</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家</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《科技创新三年行动计划（</w:t>
            </w:r>
            <w:r>
              <w:rPr>
                <w:rFonts w:ascii="方正书宋_GBK" w:eastAsia="方正书宋_GBK"/>
              </w:rPr>
              <w:t>2018-2020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《科技创新三年行动计划（</w:t>
            </w:r>
            <w:r>
              <w:rPr>
                <w:rFonts w:ascii="方正书宋_GBK" w:eastAsia="方正书宋_GBK"/>
              </w:rPr>
              <w:t>2018-2020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科技创新企业满意度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科技创新企业满意度比例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《科技创新三年行动计划（</w:t>
            </w:r>
            <w:r>
              <w:rPr>
                <w:rFonts w:ascii="方正书宋_GBK" w:eastAsia="方正书宋_GBK"/>
              </w:rPr>
              <w:t>2018-2020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企业科技创新负责人满意度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企业科技创新负责人满意度比例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《科技创新三年行动计划（</w:t>
            </w:r>
            <w:r>
              <w:rPr>
                <w:rFonts w:ascii="方正书宋_GBK" w:eastAsia="方正书宋_GBK"/>
              </w:rPr>
              <w:t>2018-2020</w:t>
            </w:r>
            <w:r>
              <w:rPr>
                <w:rFonts w:hint="eastAsia" w:ascii="方正书宋_GBK" w:eastAsia="方正书宋_GBK"/>
              </w:rPr>
              <w:t>）》</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ind w:firstLine="562" w:firstLineChars="200"/>
        <w:jc w:val="left"/>
        <w:outlineLvl w:val="1"/>
        <w:rPr>
          <w:rFonts w:ascii="Times New Roman" w:hAnsi="宋体"/>
          <w:b/>
          <w:sz w:val="28"/>
        </w:rPr>
      </w:pPr>
      <w:r>
        <w:rPr>
          <w:rFonts w:hint="eastAsia" w:ascii="方正仿宋_GBK" w:eastAsia="方正仿宋_GBK"/>
          <w:b/>
          <w:sz w:val="28"/>
        </w:rPr>
        <w:t>2、提前下达2020年支持市县科技创新和科学普及省级专项资金绩效目标表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 w:name="_Toc33539000"/>
      <w:r>
        <w:rPr>
          <w:rFonts w:hint="eastAsia" w:ascii="方正仿宋_GBK" w:eastAsia="方正仿宋_GBK"/>
          <w:b/>
          <w:sz w:val="28"/>
        </w:rPr>
        <w:instrText xml:space="preserve">1、提前下达2020年支持市县科技创新和科学普及省级专项资金绩效目标表</w:instrText>
      </w:r>
      <w:bookmarkEnd w:id="1"/>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、广阳区在全省科技跃升计划县区排名列前</w:t>
            </w:r>
            <w:r>
              <w:rPr>
                <w:rFonts w:ascii="方正书宋_GBK" w:eastAsia="方正书宋_GBK"/>
              </w:rPr>
              <w:t>30</w:t>
            </w:r>
            <w:r>
              <w:rPr>
                <w:rFonts w:hint="eastAsia" w:ascii="方正书宋_GBK" w:eastAsia="方正书宋_GBK"/>
              </w:rPr>
              <w:t>名</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、按照省、市科技跃升计划要求，达标工作任务指标要求</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科技型中小企业认定数量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年度科技型中小企业申报认定的数量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家</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《河北省县域科技创新跃升计划（</w:t>
            </w:r>
            <w:r>
              <w:rPr>
                <w:rFonts w:ascii="方正书宋_GBK" w:eastAsia="方正书宋_GBK"/>
              </w:rPr>
              <w:t>2019-2025</w:t>
            </w:r>
            <w:r>
              <w:rPr>
                <w:rFonts w:hint="eastAsia" w:ascii="方正书宋_GBK" w:eastAsia="方正书宋_GBK"/>
              </w:rPr>
              <w:t>年）》（冀政办字〔</w:t>
            </w:r>
            <w:r>
              <w:rPr>
                <w:rFonts w:ascii="方正书宋_GBK" w:eastAsia="方正书宋_GBK"/>
              </w:rPr>
              <w:t>2019</w:t>
            </w:r>
            <w:r>
              <w:rPr>
                <w:rFonts w:hint="eastAsia" w:ascii="方正书宋_GBK" w:eastAsia="方正书宋_GBK"/>
              </w:rPr>
              <w:t>〕</w:t>
            </w:r>
            <w:r>
              <w:rPr>
                <w:rFonts w:ascii="方正书宋_GBK" w:eastAsia="方正书宋_GBK"/>
              </w:rPr>
              <w:t>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高新技术企业认定数量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年度高新技术企业申报认定的数量</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家</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《河北省县域科技创新跃升计划（</w:t>
            </w:r>
            <w:r>
              <w:rPr>
                <w:rFonts w:ascii="方正书宋_GBK" w:eastAsia="方正书宋_GBK"/>
              </w:rPr>
              <w:t>2019-2025</w:t>
            </w:r>
            <w:r>
              <w:rPr>
                <w:rFonts w:hint="eastAsia" w:ascii="方正书宋_GBK" w:eastAsia="方正书宋_GBK"/>
              </w:rPr>
              <w:t>年）》（冀政办字〔</w:t>
            </w:r>
            <w:r>
              <w:rPr>
                <w:rFonts w:ascii="方正书宋_GBK" w:eastAsia="方正书宋_GBK"/>
              </w:rPr>
              <w:t>2019</w:t>
            </w:r>
            <w:r>
              <w:rPr>
                <w:rFonts w:hint="eastAsia" w:ascii="方正书宋_GBK" w:eastAsia="方正书宋_GBK"/>
              </w:rPr>
              <w:t>〕</w:t>
            </w:r>
            <w:r>
              <w:rPr>
                <w:rFonts w:ascii="方正书宋_GBK" w:eastAsia="方正书宋_GBK"/>
              </w:rPr>
              <w:t>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科技跃升计划全省排名</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广阳区在科技跃升计划中全省排名名词</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排名</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《河北省县域科技创新跃升计划（</w:t>
            </w:r>
            <w:r>
              <w:rPr>
                <w:rFonts w:ascii="方正书宋_GBK" w:eastAsia="方正书宋_GBK"/>
              </w:rPr>
              <w:t>2019-2025</w:t>
            </w:r>
            <w:r>
              <w:rPr>
                <w:rFonts w:hint="eastAsia" w:ascii="方正书宋_GBK" w:eastAsia="方正书宋_GBK"/>
              </w:rPr>
              <w:t>年）》（冀政办字〔</w:t>
            </w:r>
            <w:r>
              <w:rPr>
                <w:rFonts w:ascii="方正书宋_GBK" w:eastAsia="方正书宋_GBK"/>
              </w:rPr>
              <w:t>2019</w:t>
            </w:r>
            <w:r>
              <w:rPr>
                <w:rFonts w:hint="eastAsia" w:ascii="方正书宋_GBK" w:eastAsia="方正书宋_GBK"/>
              </w:rPr>
              <w:t>〕</w:t>
            </w:r>
            <w:r>
              <w:rPr>
                <w:rFonts w:ascii="方正书宋_GBK" w:eastAsia="方正书宋_GBK"/>
              </w:rPr>
              <w:t>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推进科技创新载体跃升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科技企业孵化器、众创空间数量</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家</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《河北省县域科技创新跃升计划（</w:t>
            </w:r>
            <w:r>
              <w:rPr>
                <w:rFonts w:ascii="方正书宋_GBK" w:eastAsia="方正书宋_GBK"/>
              </w:rPr>
              <w:t>2019-2025</w:t>
            </w:r>
            <w:r>
              <w:rPr>
                <w:rFonts w:hint="eastAsia" w:ascii="方正书宋_GBK" w:eastAsia="方正书宋_GBK"/>
              </w:rPr>
              <w:t>年）》（冀政办字〔</w:t>
            </w:r>
            <w:r>
              <w:rPr>
                <w:rFonts w:ascii="方正书宋_GBK" w:eastAsia="方正书宋_GBK"/>
              </w:rPr>
              <w:t>2019</w:t>
            </w:r>
            <w:r>
              <w:rPr>
                <w:rFonts w:hint="eastAsia" w:ascii="方正书宋_GBK" w:eastAsia="方正书宋_GBK"/>
              </w:rPr>
              <w:t>〕</w:t>
            </w:r>
            <w:r>
              <w:rPr>
                <w:rFonts w:ascii="方正书宋_GBK" w:eastAsia="方正书宋_GBK"/>
              </w:rPr>
              <w:t>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技术合同交易额</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年度技术合同交易登记额的数量</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亿元</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《河北省县域科技创新跃升计划（</w:t>
            </w:r>
            <w:r>
              <w:rPr>
                <w:rFonts w:ascii="方正书宋_GBK" w:eastAsia="方正书宋_GBK"/>
              </w:rPr>
              <w:t>2019-2025</w:t>
            </w:r>
            <w:r>
              <w:rPr>
                <w:rFonts w:hint="eastAsia" w:ascii="方正书宋_GBK" w:eastAsia="方正书宋_GBK"/>
              </w:rPr>
              <w:t>年）》（冀政办字〔</w:t>
            </w:r>
            <w:r>
              <w:rPr>
                <w:rFonts w:ascii="方正书宋_GBK" w:eastAsia="方正书宋_GBK"/>
              </w:rPr>
              <w:t>2019</w:t>
            </w:r>
            <w:r>
              <w:rPr>
                <w:rFonts w:hint="eastAsia" w:ascii="方正书宋_GBK" w:eastAsia="方正书宋_GBK"/>
              </w:rPr>
              <w:t>〕</w:t>
            </w:r>
            <w:r>
              <w:rPr>
                <w:rFonts w:ascii="方正书宋_GBK" w:eastAsia="方正书宋_GBK"/>
              </w:rPr>
              <w:t>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争取上级上级科技创新资金数量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全区争取上级科技创新资金数量</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万元</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《河北省县域科技创新跃升计划（</w:t>
            </w:r>
            <w:r>
              <w:rPr>
                <w:rFonts w:ascii="方正书宋_GBK" w:eastAsia="方正书宋_GBK"/>
              </w:rPr>
              <w:t>2019-2025</w:t>
            </w:r>
            <w:r>
              <w:rPr>
                <w:rFonts w:hint="eastAsia" w:ascii="方正书宋_GBK" w:eastAsia="方正书宋_GBK"/>
              </w:rPr>
              <w:t>年）》（冀政办字〔</w:t>
            </w:r>
            <w:r>
              <w:rPr>
                <w:rFonts w:ascii="方正书宋_GBK" w:eastAsia="方正书宋_GBK"/>
              </w:rPr>
              <w:t>2019</w:t>
            </w:r>
            <w:r>
              <w:rPr>
                <w:rFonts w:hint="eastAsia" w:ascii="方正书宋_GBK" w:eastAsia="方正书宋_GBK"/>
              </w:rPr>
              <w:t>〕</w:t>
            </w:r>
            <w:r>
              <w:rPr>
                <w:rFonts w:ascii="方正书宋_GBK" w:eastAsia="方正书宋_GBK"/>
              </w:rPr>
              <w:t>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科技跃升计划行动方案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科技创新企业满意度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科技创新企业满意数量占总数比例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《河北省县域科技创新跃升计划（</w:t>
            </w:r>
            <w:r>
              <w:rPr>
                <w:rFonts w:ascii="方正书宋_GBK" w:eastAsia="方正书宋_GBK"/>
              </w:rPr>
              <w:t>2019-2025</w:t>
            </w:r>
            <w:r>
              <w:rPr>
                <w:rFonts w:hint="eastAsia" w:ascii="方正书宋_GBK" w:eastAsia="方正书宋_GBK"/>
              </w:rPr>
              <w:t>年）》（冀政办字〔</w:t>
            </w:r>
            <w:r>
              <w:rPr>
                <w:rFonts w:ascii="方正书宋_GBK" w:eastAsia="方正书宋_GBK"/>
              </w:rPr>
              <w:t>2019</w:t>
            </w:r>
            <w:r>
              <w:rPr>
                <w:rFonts w:hint="eastAsia" w:ascii="方正书宋_GBK" w:eastAsia="方正书宋_GBK"/>
              </w:rPr>
              <w:t>〕</w:t>
            </w:r>
            <w:r>
              <w:rPr>
                <w:rFonts w:ascii="方正书宋_GBK" w:eastAsia="方正书宋_GBK"/>
              </w:rPr>
              <w:t>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科技型企业负责人满意度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科技型企业负责人满意数量占总数比例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《河北省县域科技创新跃升计划（</w:t>
            </w:r>
            <w:r>
              <w:rPr>
                <w:rFonts w:ascii="方正书宋_GBK" w:eastAsia="方正书宋_GBK"/>
              </w:rPr>
              <w:t>2019-2025</w:t>
            </w:r>
            <w:r>
              <w:rPr>
                <w:rFonts w:hint="eastAsia" w:ascii="方正书宋_GBK" w:eastAsia="方正书宋_GBK"/>
              </w:rPr>
              <w:t>年）》（冀政办字〔</w:t>
            </w:r>
            <w:r>
              <w:rPr>
                <w:rFonts w:ascii="方正书宋_GBK" w:eastAsia="方正书宋_GBK"/>
              </w:rPr>
              <w:t>2019</w:t>
            </w:r>
            <w:r>
              <w:rPr>
                <w:rFonts w:hint="eastAsia" w:ascii="方正书宋_GBK" w:eastAsia="方正书宋_GBK"/>
              </w:rPr>
              <w:t>〕</w:t>
            </w:r>
            <w:r>
              <w:rPr>
                <w:rFonts w:ascii="方正书宋_GBK" w:eastAsia="方正书宋_GBK"/>
              </w:rPr>
              <w:t>9</w:t>
            </w:r>
            <w:r>
              <w:rPr>
                <w:rFonts w:hint="eastAsia" w:ascii="方正书宋_GBK" w:eastAsia="方正书宋_GBK"/>
              </w:rPr>
              <w:t>号）</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outlineLvl w:val="0"/>
        <w:rPr>
          <w:rFonts w:ascii="仿宋_GB2312" w:eastAsia="仿宋_GB2312" w:cs="宋体"/>
          <w:color w:val="000000"/>
          <w:kern w:val="0"/>
          <w:sz w:val="32"/>
          <w:szCs w:val="32"/>
        </w:rPr>
      </w:pPr>
      <w:r>
        <w:rPr>
          <w:rFonts w:hint="eastAsia" w:ascii="黑体" w:eastAsia="黑体" w:cs="宋体"/>
          <w:b/>
          <w:bCs/>
          <w:color w:val="000000"/>
          <w:kern w:val="0"/>
          <w:sz w:val="32"/>
          <w:szCs w:val="32"/>
        </w:rPr>
        <w:t>六、政府采购预算情况</w:t>
      </w:r>
      <w:r>
        <w:rPr>
          <w:rFonts w:ascii="黑体" w:eastAsia="黑体" w:cs="宋体"/>
          <w:color w:val="000000"/>
          <w:kern w:val="0"/>
          <w:sz w:val="32"/>
          <w:szCs w:val="32"/>
        </w:rPr>
        <w:br w:type="textWrapping"/>
      </w:r>
      <w:r>
        <w:rPr>
          <w:rFonts w:ascii="宋体" w:hAnsi="宋体" w:eastAsia="仿宋_GB2312" w:cs="宋体"/>
          <w:color w:val="000000"/>
          <w:kern w:val="0"/>
          <w:sz w:val="32"/>
          <w:szCs w:val="32"/>
        </w:rPr>
        <w:t>  </w:t>
      </w:r>
      <w:r>
        <w:rPr>
          <w:rFonts w:ascii="仿宋_GB2312" w:eastAsia="仿宋_GB2312" w:cs="宋体"/>
          <w:color w:val="000000"/>
          <w:kern w:val="0"/>
          <w:sz w:val="32"/>
          <w:szCs w:val="32"/>
        </w:rPr>
        <w:t>2020</w:t>
      </w:r>
      <w:r>
        <w:rPr>
          <w:rFonts w:hint="eastAsia" w:ascii="仿宋_GB2312" w:eastAsia="仿宋_GB2312" w:cs="宋体"/>
          <w:color w:val="000000"/>
          <w:kern w:val="0"/>
          <w:sz w:val="32"/>
          <w:szCs w:val="32"/>
        </w:rPr>
        <w:t>年，我部门无安排政府采购预算。具体内容见下表。</w:t>
      </w:r>
    </w:p>
    <w:p>
      <w:pPr>
        <w:jc w:val="center"/>
        <w:outlineLvl w:val="0"/>
        <w:rPr>
          <w:rFonts w:ascii="仿宋_GB2312" w:eastAsia="仿宋_GB2312"/>
          <w:sz w:val="28"/>
          <w:szCs w:val="28"/>
        </w:rPr>
      </w:pPr>
      <w:r>
        <w:rPr>
          <w:rFonts w:hint="eastAsia" w:ascii="仿宋_GB2312" w:eastAsia="仿宋_GB2312"/>
          <w:sz w:val="28"/>
          <w:szCs w:val="28"/>
        </w:rPr>
        <w:t>部门政府采购预算</w:t>
      </w:r>
    </w:p>
    <w:tbl>
      <w:tblPr>
        <w:tblStyle w:val="9"/>
        <w:tblW w:w="5114"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34"/>
        <w:gridCol w:w="1130"/>
        <w:gridCol w:w="931"/>
        <w:gridCol w:w="1480"/>
        <w:gridCol w:w="931"/>
        <w:gridCol w:w="931"/>
        <w:gridCol w:w="955"/>
        <w:gridCol w:w="952"/>
        <w:gridCol w:w="952"/>
        <w:gridCol w:w="952"/>
        <w:gridCol w:w="866"/>
        <w:gridCol w:w="934"/>
        <w:gridCol w:w="934"/>
        <w:gridCol w:w="8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95" w:type="pct"/>
            <w:gridSpan w:val="7"/>
            <w:tcBorders>
              <w:top w:val="single" w:color="FFFFFF" w:sz="6" w:space="0"/>
              <w:left w:val="single" w:color="FFFFFF" w:sz="6" w:space="0"/>
              <w:right w:val="single" w:color="FFFFFF" w:sz="6" w:space="0"/>
            </w:tcBorders>
            <w:vAlign w:val="center"/>
          </w:tcPr>
          <w:p>
            <w:pPr>
              <w:spacing w:line="300" w:lineRule="exact"/>
              <w:jc w:val="left"/>
              <w:rPr>
                <w:rFonts w:ascii="仿宋_GB2312" w:eastAsia="仿宋_GB2312"/>
                <w:sz w:val="28"/>
                <w:szCs w:val="28"/>
              </w:rPr>
            </w:pPr>
            <w:r>
              <w:rPr>
                <w:rFonts w:hint="eastAsia" w:ascii="仿宋_GB2312" w:eastAsia="仿宋_GB2312"/>
                <w:sz w:val="28"/>
                <w:szCs w:val="28"/>
              </w:rPr>
              <w:t>[481]廊坊市广阳区科技局</w:t>
            </w:r>
          </w:p>
        </w:tc>
        <w:tc>
          <w:tcPr>
            <w:tcW w:w="2105" w:type="pct"/>
            <w:gridSpan w:val="7"/>
            <w:tcBorders>
              <w:top w:val="single" w:color="FFFFFF" w:sz="6" w:space="0"/>
              <w:left w:val="single" w:color="FFFFFF" w:sz="6" w:space="0"/>
              <w:right w:val="single" w:color="FFFFFF" w:sz="6" w:space="0"/>
            </w:tcBorders>
            <w:vAlign w:val="center"/>
          </w:tcPr>
          <w:p>
            <w:pPr>
              <w:spacing w:line="300" w:lineRule="exact"/>
              <w:jc w:val="right"/>
              <w:rPr>
                <w:rFonts w:ascii="仿宋_GB2312" w:eastAsia="仿宋_GB2312"/>
                <w:sz w:val="28"/>
                <w:szCs w:val="28"/>
              </w:rPr>
            </w:pPr>
            <w:r>
              <w:rPr>
                <w:rFonts w:hint="eastAsia" w:ascii="仿宋_GB2312" w:eastAsia="仿宋_GB2312"/>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93" w:type="pct"/>
            <w:gridSpan w:val="2"/>
            <w:vAlign w:val="center"/>
          </w:tcPr>
          <w:p>
            <w:pPr>
              <w:spacing w:line="300" w:lineRule="exact"/>
              <w:jc w:val="center"/>
              <w:rPr>
                <w:rFonts w:ascii="仿宋_GB2312" w:eastAsia="仿宋_GB2312"/>
                <w:b/>
                <w:sz w:val="28"/>
                <w:szCs w:val="28"/>
              </w:rPr>
            </w:pPr>
            <w:r>
              <w:rPr>
                <w:rFonts w:hint="eastAsia" w:ascii="仿宋_GB2312" w:eastAsia="仿宋_GB2312"/>
                <w:b/>
                <w:sz w:val="28"/>
                <w:szCs w:val="28"/>
              </w:rPr>
              <w:t>政府采购项目来源</w:t>
            </w:r>
          </w:p>
        </w:tc>
        <w:tc>
          <w:tcPr>
            <w:tcW w:w="303" w:type="pct"/>
            <w:vMerge w:val="restart"/>
            <w:vAlign w:val="center"/>
          </w:tcPr>
          <w:p>
            <w:pPr>
              <w:spacing w:line="300" w:lineRule="exact"/>
              <w:jc w:val="center"/>
              <w:rPr>
                <w:rFonts w:ascii="仿宋_GB2312" w:eastAsia="仿宋_GB2312"/>
                <w:b/>
                <w:sz w:val="28"/>
                <w:szCs w:val="28"/>
              </w:rPr>
            </w:pPr>
            <w:r>
              <w:rPr>
                <w:rFonts w:hint="eastAsia" w:ascii="仿宋_GB2312" w:eastAsia="仿宋_GB2312"/>
                <w:b/>
                <w:sz w:val="28"/>
                <w:szCs w:val="28"/>
              </w:rPr>
              <w:t>采购物品名称</w:t>
            </w:r>
          </w:p>
        </w:tc>
        <w:tc>
          <w:tcPr>
            <w:tcW w:w="482" w:type="pct"/>
            <w:vMerge w:val="restart"/>
            <w:vAlign w:val="center"/>
          </w:tcPr>
          <w:p>
            <w:pPr>
              <w:spacing w:line="300" w:lineRule="exact"/>
              <w:jc w:val="center"/>
              <w:rPr>
                <w:rFonts w:ascii="仿宋_GB2312" w:eastAsia="仿宋_GB2312"/>
                <w:b/>
                <w:sz w:val="28"/>
                <w:szCs w:val="28"/>
              </w:rPr>
            </w:pPr>
            <w:r>
              <w:rPr>
                <w:rFonts w:hint="eastAsia" w:ascii="仿宋_GB2312" w:eastAsia="仿宋_GB2312"/>
                <w:b/>
                <w:sz w:val="28"/>
                <w:szCs w:val="28"/>
              </w:rPr>
              <w:t>政府采购目录序号</w:t>
            </w:r>
          </w:p>
        </w:tc>
        <w:tc>
          <w:tcPr>
            <w:tcW w:w="303" w:type="pct"/>
            <w:vMerge w:val="restart"/>
            <w:vAlign w:val="center"/>
          </w:tcPr>
          <w:p>
            <w:pPr>
              <w:spacing w:line="300" w:lineRule="exact"/>
              <w:jc w:val="center"/>
              <w:rPr>
                <w:rFonts w:ascii="仿宋_GB2312" w:eastAsia="仿宋_GB2312"/>
                <w:b/>
                <w:sz w:val="28"/>
                <w:szCs w:val="28"/>
              </w:rPr>
            </w:pPr>
            <w:r>
              <w:rPr>
                <w:rFonts w:hint="eastAsia" w:ascii="仿宋_GB2312" w:eastAsia="仿宋_GB2312"/>
                <w:b/>
                <w:sz w:val="28"/>
                <w:szCs w:val="28"/>
              </w:rPr>
              <w:t>数量</w:t>
            </w:r>
            <w:r>
              <w:rPr>
                <w:rFonts w:ascii="仿宋_GB2312" w:eastAsia="仿宋_GB2312"/>
                <w:b/>
                <w:sz w:val="28"/>
                <w:szCs w:val="28"/>
              </w:rPr>
              <w:t xml:space="preserve">  </w:t>
            </w:r>
            <w:r>
              <w:rPr>
                <w:rFonts w:hint="eastAsia" w:ascii="仿宋_GB2312" w:eastAsia="仿宋_GB2312"/>
                <w:b/>
                <w:sz w:val="28"/>
                <w:szCs w:val="28"/>
              </w:rPr>
              <w:t>单位</w:t>
            </w:r>
          </w:p>
        </w:tc>
        <w:tc>
          <w:tcPr>
            <w:tcW w:w="303" w:type="pct"/>
            <w:vMerge w:val="restart"/>
            <w:vAlign w:val="center"/>
          </w:tcPr>
          <w:p>
            <w:pPr>
              <w:spacing w:line="300" w:lineRule="exact"/>
              <w:jc w:val="center"/>
              <w:rPr>
                <w:rFonts w:ascii="仿宋_GB2312" w:eastAsia="仿宋_GB2312"/>
                <w:b/>
                <w:sz w:val="28"/>
                <w:szCs w:val="28"/>
              </w:rPr>
            </w:pPr>
            <w:r>
              <w:rPr>
                <w:rFonts w:hint="eastAsia" w:ascii="仿宋_GB2312" w:eastAsia="仿宋_GB2312"/>
                <w:b/>
                <w:sz w:val="28"/>
                <w:szCs w:val="28"/>
              </w:rPr>
              <w:t>数量</w:t>
            </w:r>
          </w:p>
        </w:tc>
        <w:tc>
          <w:tcPr>
            <w:tcW w:w="311" w:type="pct"/>
            <w:vMerge w:val="restart"/>
            <w:vAlign w:val="center"/>
          </w:tcPr>
          <w:p>
            <w:pPr>
              <w:spacing w:line="300" w:lineRule="exact"/>
              <w:jc w:val="center"/>
              <w:rPr>
                <w:rFonts w:ascii="仿宋_GB2312" w:eastAsia="仿宋_GB2312"/>
                <w:b/>
                <w:sz w:val="28"/>
                <w:szCs w:val="28"/>
              </w:rPr>
            </w:pPr>
            <w:r>
              <w:rPr>
                <w:rFonts w:hint="eastAsia" w:ascii="仿宋_GB2312" w:eastAsia="仿宋_GB2312"/>
                <w:b/>
                <w:sz w:val="28"/>
                <w:szCs w:val="28"/>
              </w:rPr>
              <w:t>单价</w:t>
            </w:r>
          </w:p>
        </w:tc>
        <w:tc>
          <w:tcPr>
            <w:tcW w:w="2105" w:type="pct"/>
            <w:gridSpan w:val="7"/>
            <w:vAlign w:val="center"/>
          </w:tcPr>
          <w:p>
            <w:pPr>
              <w:spacing w:line="300" w:lineRule="exact"/>
              <w:jc w:val="center"/>
              <w:rPr>
                <w:rFonts w:ascii="仿宋_GB2312" w:eastAsia="仿宋_GB2312"/>
                <w:b/>
                <w:sz w:val="28"/>
                <w:szCs w:val="28"/>
              </w:rPr>
            </w:pPr>
            <w:r>
              <w:rPr>
                <w:rFonts w:hint="eastAsia" w:ascii="仿宋_GB2312" w:eastAsia="仿宋_GB2312"/>
                <w:b/>
                <w:sz w:val="28"/>
                <w:szCs w:val="28"/>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restart"/>
            <w:vAlign w:val="center"/>
          </w:tcPr>
          <w:p>
            <w:pPr>
              <w:spacing w:line="300" w:lineRule="exact"/>
              <w:jc w:val="center"/>
              <w:rPr>
                <w:rFonts w:ascii="仿宋_GB2312" w:eastAsia="仿宋_GB2312"/>
                <w:b/>
                <w:sz w:val="28"/>
                <w:szCs w:val="28"/>
              </w:rPr>
            </w:pPr>
            <w:r>
              <w:rPr>
                <w:rFonts w:hint="eastAsia" w:ascii="仿宋_GB2312" w:eastAsia="仿宋_GB2312"/>
                <w:b/>
                <w:sz w:val="28"/>
                <w:szCs w:val="28"/>
              </w:rPr>
              <w:t>项目名称</w:t>
            </w:r>
          </w:p>
        </w:tc>
        <w:tc>
          <w:tcPr>
            <w:tcW w:w="368" w:type="pct"/>
            <w:vMerge w:val="restart"/>
            <w:vAlign w:val="center"/>
          </w:tcPr>
          <w:p>
            <w:pPr>
              <w:spacing w:line="300" w:lineRule="exact"/>
              <w:jc w:val="center"/>
              <w:rPr>
                <w:rFonts w:ascii="仿宋_GB2312" w:eastAsia="仿宋_GB2312"/>
                <w:b/>
                <w:sz w:val="28"/>
                <w:szCs w:val="28"/>
              </w:rPr>
            </w:pPr>
            <w:r>
              <w:rPr>
                <w:rFonts w:hint="eastAsia" w:ascii="仿宋_GB2312" w:eastAsia="仿宋_GB2312"/>
                <w:b/>
                <w:sz w:val="28"/>
                <w:szCs w:val="28"/>
              </w:rPr>
              <w:t>预算资金</w:t>
            </w:r>
          </w:p>
        </w:tc>
        <w:tc>
          <w:tcPr>
            <w:tcW w:w="303" w:type="pct"/>
            <w:vMerge w:val="continue"/>
            <w:vAlign w:val="center"/>
          </w:tcPr>
          <w:p/>
        </w:tc>
        <w:tc>
          <w:tcPr>
            <w:tcW w:w="482" w:type="pct"/>
            <w:vMerge w:val="continue"/>
            <w:vAlign w:val="center"/>
          </w:tcPr>
          <w:p/>
        </w:tc>
        <w:tc>
          <w:tcPr>
            <w:tcW w:w="303" w:type="pct"/>
            <w:vMerge w:val="continue"/>
            <w:vAlign w:val="center"/>
          </w:tcPr>
          <w:p/>
        </w:tc>
        <w:tc>
          <w:tcPr>
            <w:tcW w:w="303" w:type="pct"/>
            <w:vMerge w:val="continue"/>
            <w:vAlign w:val="center"/>
          </w:tcPr>
          <w:p/>
        </w:tc>
        <w:tc>
          <w:tcPr>
            <w:tcW w:w="311" w:type="pct"/>
            <w:vMerge w:val="continue"/>
            <w:vAlign w:val="center"/>
          </w:tcPr>
          <w:p/>
        </w:tc>
        <w:tc>
          <w:tcPr>
            <w:tcW w:w="310" w:type="pct"/>
            <w:vMerge w:val="restart"/>
            <w:vAlign w:val="center"/>
          </w:tcPr>
          <w:p>
            <w:pPr>
              <w:spacing w:line="300" w:lineRule="exact"/>
              <w:jc w:val="center"/>
              <w:rPr>
                <w:rFonts w:ascii="仿宋_GB2312" w:eastAsia="仿宋_GB2312"/>
                <w:b/>
                <w:sz w:val="28"/>
                <w:szCs w:val="28"/>
              </w:rPr>
            </w:pPr>
            <w:r>
              <w:rPr>
                <w:rFonts w:hint="eastAsia" w:ascii="仿宋_GB2312" w:eastAsia="仿宋_GB2312"/>
                <w:b/>
                <w:sz w:val="28"/>
                <w:szCs w:val="28"/>
              </w:rPr>
              <w:t>总计</w:t>
            </w:r>
          </w:p>
        </w:tc>
        <w:tc>
          <w:tcPr>
            <w:tcW w:w="1510" w:type="pct"/>
            <w:gridSpan w:val="5"/>
            <w:vAlign w:val="center"/>
          </w:tcPr>
          <w:p>
            <w:pPr>
              <w:spacing w:line="300" w:lineRule="exact"/>
              <w:jc w:val="center"/>
              <w:rPr>
                <w:rFonts w:ascii="仿宋_GB2312" w:eastAsia="仿宋_GB2312"/>
                <w:b/>
                <w:sz w:val="28"/>
                <w:szCs w:val="28"/>
              </w:rPr>
            </w:pPr>
            <w:r>
              <w:rPr>
                <w:rFonts w:hint="eastAsia" w:ascii="仿宋_GB2312" w:eastAsia="仿宋_GB2312"/>
                <w:b/>
                <w:sz w:val="28"/>
                <w:szCs w:val="28"/>
              </w:rPr>
              <w:t>当年部门预算安排资金</w:t>
            </w:r>
          </w:p>
        </w:tc>
        <w:tc>
          <w:tcPr>
            <w:tcW w:w="285" w:type="pct"/>
            <w:vMerge w:val="restart"/>
            <w:vAlign w:val="center"/>
          </w:tcPr>
          <w:p>
            <w:pPr>
              <w:spacing w:line="300" w:lineRule="exact"/>
              <w:jc w:val="center"/>
              <w:rPr>
                <w:rFonts w:ascii="仿宋_GB2312" w:eastAsia="仿宋_GB2312"/>
                <w:b/>
                <w:sz w:val="28"/>
                <w:szCs w:val="28"/>
              </w:rPr>
            </w:pPr>
            <w:r>
              <w:rPr>
                <w:rFonts w:hint="eastAsia" w:ascii="仿宋_GB2312" w:eastAsia="仿宋_GB2312"/>
                <w:b/>
                <w:sz w:val="28"/>
                <w:szCs w:val="28"/>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continue"/>
            <w:vAlign w:val="center"/>
          </w:tcPr>
          <w:p/>
        </w:tc>
        <w:tc>
          <w:tcPr>
            <w:tcW w:w="368" w:type="pct"/>
            <w:vMerge w:val="continue"/>
            <w:vAlign w:val="center"/>
          </w:tcPr>
          <w:p/>
        </w:tc>
        <w:tc>
          <w:tcPr>
            <w:tcW w:w="303" w:type="pct"/>
            <w:vMerge w:val="continue"/>
            <w:vAlign w:val="center"/>
          </w:tcPr>
          <w:p/>
        </w:tc>
        <w:tc>
          <w:tcPr>
            <w:tcW w:w="482" w:type="pct"/>
            <w:vMerge w:val="continue"/>
            <w:vAlign w:val="center"/>
          </w:tcPr>
          <w:p/>
        </w:tc>
        <w:tc>
          <w:tcPr>
            <w:tcW w:w="303" w:type="pct"/>
            <w:vMerge w:val="continue"/>
            <w:vAlign w:val="center"/>
          </w:tcPr>
          <w:p/>
        </w:tc>
        <w:tc>
          <w:tcPr>
            <w:tcW w:w="303" w:type="pct"/>
            <w:vMerge w:val="continue"/>
            <w:vAlign w:val="center"/>
          </w:tcPr>
          <w:p/>
        </w:tc>
        <w:tc>
          <w:tcPr>
            <w:tcW w:w="311" w:type="pct"/>
            <w:vMerge w:val="continue"/>
            <w:vAlign w:val="center"/>
          </w:tcPr>
          <w:p/>
        </w:tc>
        <w:tc>
          <w:tcPr>
            <w:tcW w:w="310" w:type="pct"/>
            <w:vMerge w:val="continue"/>
            <w:vAlign w:val="center"/>
          </w:tcPr>
          <w:p/>
        </w:tc>
        <w:tc>
          <w:tcPr>
            <w:tcW w:w="310" w:type="pct"/>
            <w:vAlign w:val="center"/>
          </w:tcPr>
          <w:p>
            <w:pPr>
              <w:spacing w:line="300" w:lineRule="exact"/>
              <w:jc w:val="center"/>
              <w:rPr>
                <w:rFonts w:ascii="仿宋_GB2312" w:eastAsia="仿宋_GB2312"/>
                <w:b/>
                <w:sz w:val="28"/>
                <w:szCs w:val="28"/>
              </w:rPr>
            </w:pPr>
            <w:r>
              <w:rPr>
                <w:rFonts w:hint="eastAsia" w:ascii="仿宋_GB2312" w:eastAsia="仿宋_GB2312"/>
                <w:b/>
                <w:sz w:val="28"/>
                <w:szCs w:val="28"/>
              </w:rPr>
              <w:t>合计</w:t>
            </w:r>
          </w:p>
        </w:tc>
        <w:tc>
          <w:tcPr>
            <w:tcW w:w="310" w:type="pct"/>
            <w:vAlign w:val="center"/>
          </w:tcPr>
          <w:p>
            <w:pPr>
              <w:spacing w:line="300" w:lineRule="exact"/>
              <w:jc w:val="center"/>
              <w:rPr>
                <w:rFonts w:ascii="仿宋_GB2312" w:eastAsia="仿宋_GB2312"/>
                <w:b/>
                <w:sz w:val="28"/>
                <w:szCs w:val="28"/>
              </w:rPr>
            </w:pPr>
            <w:r>
              <w:rPr>
                <w:rFonts w:hint="eastAsia" w:ascii="仿宋_GB2312" w:eastAsia="仿宋_GB2312"/>
                <w:b/>
                <w:sz w:val="28"/>
                <w:szCs w:val="28"/>
              </w:rPr>
              <w:t>一般公共预算拨款</w:t>
            </w:r>
          </w:p>
        </w:tc>
        <w:tc>
          <w:tcPr>
            <w:tcW w:w="282" w:type="pct"/>
            <w:vAlign w:val="center"/>
          </w:tcPr>
          <w:p>
            <w:pPr>
              <w:spacing w:line="300" w:lineRule="exact"/>
              <w:jc w:val="center"/>
              <w:rPr>
                <w:rFonts w:ascii="仿宋_GB2312" w:eastAsia="仿宋_GB2312"/>
                <w:b/>
                <w:sz w:val="28"/>
                <w:szCs w:val="28"/>
              </w:rPr>
            </w:pPr>
            <w:r>
              <w:rPr>
                <w:rFonts w:hint="eastAsia" w:ascii="仿宋_GB2312" w:eastAsia="仿宋_GB2312"/>
                <w:b/>
                <w:sz w:val="28"/>
                <w:szCs w:val="28"/>
              </w:rPr>
              <w:t>基金预算拨款</w:t>
            </w:r>
          </w:p>
        </w:tc>
        <w:tc>
          <w:tcPr>
            <w:tcW w:w="304" w:type="pct"/>
            <w:vAlign w:val="center"/>
          </w:tcPr>
          <w:p>
            <w:pPr>
              <w:spacing w:line="300" w:lineRule="exact"/>
              <w:jc w:val="center"/>
              <w:rPr>
                <w:rFonts w:ascii="仿宋_GB2312" w:eastAsia="仿宋_GB2312"/>
                <w:b/>
                <w:sz w:val="28"/>
                <w:szCs w:val="28"/>
              </w:rPr>
            </w:pPr>
            <w:r>
              <w:rPr>
                <w:rFonts w:hint="eastAsia" w:ascii="仿宋_GB2312" w:eastAsia="仿宋_GB2312"/>
                <w:b/>
                <w:sz w:val="28"/>
                <w:szCs w:val="28"/>
              </w:rPr>
              <w:t>财政专户核拨</w:t>
            </w:r>
          </w:p>
        </w:tc>
        <w:tc>
          <w:tcPr>
            <w:tcW w:w="304" w:type="pct"/>
            <w:vAlign w:val="center"/>
          </w:tcPr>
          <w:p>
            <w:pPr>
              <w:spacing w:line="300" w:lineRule="exact"/>
              <w:jc w:val="center"/>
              <w:rPr>
                <w:rFonts w:ascii="仿宋_GB2312" w:eastAsia="仿宋_GB2312"/>
                <w:b/>
                <w:sz w:val="28"/>
                <w:szCs w:val="28"/>
              </w:rPr>
            </w:pPr>
            <w:r>
              <w:rPr>
                <w:rFonts w:hint="eastAsia" w:ascii="仿宋_GB2312" w:eastAsia="仿宋_GB2312"/>
                <w:b/>
                <w:sz w:val="28"/>
                <w:szCs w:val="28"/>
              </w:rPr>
              <w:t>其他来源收入</w:t>
            </w:r>
          </w:p>
        </w:tc>
        <w:tc>
          <w:tcPr>
            <w:tcW w:w="285" w:type="pct"/>
            <w:vMerge w:val="continue"/>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vAlign w:val="center"/>
          </w:tcPr>
          <w:p>
            <w:pPr>
              <w:spacing w:line="300" w:lineRule="exact"/>
              <w:jc w:val="center"/>
              <w:rPr>
                <w:rFonts w:ascii="仿宋_GB2312" w:eastAsia="仿宋_GB2312"/>
                <w:b/>
                <w:sz w:val="28"/>
                <w:szCs w:val="28"/>
              </w:rPr>
            </w:pPr>
            <w:r>
              <w:rPr>
                <w:rFonts w:hint="eastAsia" w:ascii="仿宋_GB2312" w:eastAsia="仿宋_GB2312"/>
                <w:b/>
                <w:sz w:val="28"/>
                <w:szCs w:val="28"/>
              </w:rPr>
              <w:t>合　计</w:t>
            </w:r>
          </w:p>
        </w:tc>
        <w:tc>
          <w:tcPr>
            <w:tcW w:w="368" w:type="pct"/>
            <w:vAlign w:val="center"/>
          </w:tcPr>
          <w:p>
            <w:pPr>
              <w:spacing w:line="300" w:lineRule="exact"/>
              <w:jc w:val="center"/>
              <w:rPr>
                <w:rFonts w:ascii="仿宋_GB2312" w:eastAsia="仿宋_GB2312"/>
                <w:b/>
                <w:sz w:val="28"/>
                <w:szCs w:val="28"/>
              </w:rPr>
            </w:pPr>
          </w:p>
        </w:tc>
        <w:tc>
          <w:tcPr>
            <w:tcW w:w="303" w:type="pct"/>
            <w:vAlign w:val="center"/>
          </w:tcPr>
          <w:p>
            <w:pPr>
              <w:spacing w:line="300" w:lineRule="exact"/>
              <w:jc w:val="center"/>
              <w:rPr>
                <w:rFonts w:ascii="仿宋_GB2312" w:eastAsia="仿宋_GB2312"/>
                <w:b/>
                <w:sz w:val="28"/>
                <w:szCs w:val="28"/>
              </w:rPr>
            </w:pPr>
          </w:p>
        </w:tc>
        <w:tc>
          <w:tcPr>
            <w:tcW w:w="482" w:type="pct"/>
            <w:vAlign w:val="center"/>
          </w:tcPr>
          <w:p>
            <w:pPr>
              <w:spacing w:line="300" w:lineRule="exact"/>
              <w:jc w:val="center"/>
              <w:rPr>
                <w:rFonts w:ascii="仿宋_GB2312" w:eastAsia="仿宋_GB2312"/>
                <w:b/>
                <w:sz w:val="28"/>
                <w:szCs w:val="28"/>
              </w:rPr>
            </w:pPr>
          </w:p>
        </w:tc>
        <w:tc>
          <w:tcPr>
            <w:tcW w:w="303" w:type="pct"/>
            <w:vAlign w:val="center"/>
          </w:tcPr>
          <w:p>
            <w:pPr>
              <w:spacing w:line="300" w:lineRule="exact"/>
              <w:jc w:val="center"/>
              <w:rPr>
                <w:rFonts w:ascii="仿宋_GB2312" w:eastAsia="仿宋_GB2312"/>
                <w:b/>
                <w:sz w:val="28"/>
                <w:szCs w:val="28"/>
              </w:rPr>
            </w:pPr>
          </w:p>
        </w:tc>
        <w:tc>
          <w:tcPr>
            <w:tcW w:w="303" w:type="pct"/>
            <w:vAlign w:val="center"/>
          </w:tcPr>
          <w:p>
            <w:pPr>
              <w:spacing w:line="300" w:lineRule="exact"/>
              <w:jc w:val="center"/>
              <w:rPr>
                <w:rFonts w:ascii="仿宋_GB2312" w:eastAsia="仿宋_GB2312"/>
                <w:b/>
                <w:sz w:val="28"/>
                <w:szCs w:val="28"/>
              </w:rPr>
            </w:pPr>
          </w:p>
        </w:tc>
        <w:tc>
          <w:tcPr>
            <w:tcW w:w="311" w:type="pct"/>
            <w:vAlign w:val="center"/>
          </w:tcPr>
          <w:p>
            <w:pPr>
              <w:spacing w:line="300" w:lineRule="exact"/>
              <w:jc w:val="center"/>
              <w:rPr>
                <w:rFonts w:ascii="仿宋_GB2312" w:eastAsia="仿宋_GB2312"/>
                <w:b/>
                <w:sz w:val="28"/>
                <w:szCs w:val="28"/>
              </w:rPr>
            </w:pPr>
          </w:p>
        </w:tc>
        <w:tc>
          <w:tcPr>
            <w:tcW w:w="310" w:type="pct"/>
            <w:vAlign w:val="center"/>
          </w:tcPr>
          <w:p>
            <w:pPr>
              <w:spacing w:line="300" w:lineRule="exact"/>
              <w:jc w:val="center"/>
              <w:rPr>
                <w:rFonts w:ascii="仿宋_GB2312" w:eastAsia="仿宋_GB2312"/>
                <w:b/>
                <w:sz w:val="28"/>
                <w:szCs w:val="28"/>
              </w:rPr>
            </w:pPr>
          </w:p>
        </w:tc>
        <w:tc>
          <w:tcPr>
            <w:tcW w:w="310" w:type="pct"/>
            <w:vAlign w:val="center"/>
          </w:tcPr>
          <w:p>
            <w:pPr>
              <w:spacing w:line="300" w:lineRule="exact"/>
              <w:jc w:val="center"/>
              <w:rPr>
                <w:rFonts w:ascii="仿宋_GB2312" w:eastAsia="仿宋_GB2312"/>
                <w:b/>
                <w:sz w:val="28"/>
                <w:szCs w:val="28"/>
              </w:rPr>
            </w:pPr>
          </w:p>
        </w:tc>
        <w:tc>
          <w:tcPr>
            <w:tcW w:w="310" w:type="pct"/>
            <w:vAlign w:val="center"/>
          </w:tcPr>
          <w:p>
            <w:pPr>
              <w:spacing w:line="300" w:lineRule="exact"/>
              <w:jc w:val="center"/>
              <w:rPr>
                <w:rFonts w:ascii="仿宋_GB2312" w:eastAsia="仿宋_GB2312"/>
                <w:b/>
                <w:sz w:val="28"/>
                <w:szCs w:val="28"/>
              </w:rPr>
            </w:pPr>
          </w:p>
        </w:tc>
        <w:tc>
          <w:tcPr>
            <w:tcW w:w="282" w:type="pct"/>
            <w:vAlign w:val="center"/>
          </w:tcPr>
          <w:p>
            <w:pPr>
              <w:spacing w:line="300" w:lineRule="exact"/>
              <w:jc w:val="center"/>
              <w:rPr>
                <w:rFonts w:ascii="仿宋_GB2312" w:eastAsia="仿宋_GB2312"/>
                <w:b/>
                <w:sz w:val="28"/>
                <w:szCs w:val="28"/>
              </w:rPr>
            </w:pPr>
          </w:p>
        </w:tc>
        <w:tc>
          <w:tcPr>
            <w:tcW w:w="304" w:type="pct"/>
            <w:vAlign w:val="center"/>
          </w:tcPr>
          <w:p>
            <w:pPr>
              <w:spacing w:line="300" w:lineRule="exact"/>
              <w:jc w:val="center"/>
              <w:rPr>
                <w:rFonts w:ascii="仿宋_GB2312" w:eastAsia="仿宋_GB2312"/>
                <w:b/>
                <w:sz w:val="28"/>
                <w:szCs w:val="28"/>
              </w:rPr>
            </w:pPr>
          </w:p>
        </w:tc>
        <w:tc>
          <w:tcPr>
            <w:tcW w:w="304" w:type="pct"/>
            <w:vAlign w:val="center"/>
          </w:tcPr>
          <w:p>
            <w:pPr>
              <w:spacing w:line="300" w:lineRule="exact"/>
              <w:jc w:val="center"/>
              <w:rPr>
                <w:rFonts w:ascii="仿宋_GB2312" w:eastAsia="仿宋_GB2312"/>
                <w:b/>
                <w:sz w:val="28"/>
                <w:szCs w:val="28"/>
              </w:rPr>
            </w:pPr>
          </w:p>
        </w:tc>
        <w:tc>
          <w:tcPr>
            <w:tcW w:w="285" w:type="pct"/>
            <w:vAlign w:val="center"/>
          </w:tcPr>
          <w:p>
            <w:pPr>
              <w:spacing w:line="300" w:lineRule="exact"/>
              <w:jc w:val="center"/>
              <w:rPr>
                <w:rFonts w:ascii="仿宋_GB2312" w:eastAsia="仿宋_GB2312"/>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tcPr>
          <w:p>
            <w:r>
              <w:rPr>
                <w:rFonts w:ascii="仿宋_GB2312" w:eastAsia="仿宋_GB2312"/>
                <w:b/>
                <w:sz w:val="28"/>
                <w:szCs w:val="28"/>
              </w:rPr>
              <w:t>0</w:t>
            </w:r>
          </w:p>
        </w:tc>
        <w:tc>
          <w:tcPr>
            <w:tcW w:w="368" w:type="pct"/>
          </w:tcPr>
          <w:p>
            <w:r>
              <w:rPr>
                <w:rFonts w:ascii="仿宋_GB2312" w:eastAsia="仿宋_GB2312"/>
                <w:b/>
                <w:sz w:val="28"/>
                <w:szCs w:val="28"/>
              </w:rPr>
              <w:t>0</w:t>
            </w:r>
          </w:p>
        </w:tc>
        <w:tc>
          <w:tcPr>
            <w:tcW w:w="303" w:type="pct"/>
          </w:tcPr>
          <w:p>
            <w:r>
              <w:rPr>
                <w:rFonts w:ascii="仿宋_GB2312" w:eastAsia="仿宋_GB2312"/>
                <w:b/>
                <w:sz w:val="28"/>
                <w:szCs w:val="28"/>
              </w:rPr>
              <w:t>0</w:t>
            </w:r>
          </w:p>
        </w:tc>
        <w:tc>
          <w:tcPr>
            <w:tcW w:w="482" w:type="pct"/>
          </w:tcPr>
          <w:p>
            <w:r>
              <w:rPr>
                <w:rFonts w:ascii="仿宋_GB2312" w:eastAsia="仿宋_GB2312"/>
                <w:b/>
                <w:sz w:val="28"/>
                <w:szCs w:val="28"/>
              </w:rPr>
              <w:t>0</w:t>
            </w:r>
          </w:p>
        </w:tc>
        <w:tc>
          <w:tcPr>
            <w:tcW w:w="303" w:type="pct"/>
          </w:tcPr>
          <w:p>
            <w:r>
              <w:rPr>
                <w:rFonts w:ascii="仿宋_GB2312" w:eastAsia="仿宋_GB2312"/>
                <w:b/>
                <w:sz w:val="28"/>
                <w:szCs w:val="28"/>
              </w:rPr>
              <w:t>0</w:t>
            </w:r>
          </w:p>
        </w:tc>
        <w:tc>
          <w:tcPr>
            <w:tcW w:w="303" w:type="pct"/>
          </w:tcPr>
          <w:p>
            <w:r>
              <w:rPr>
                <w:rFonts w:ascii="仿宋_GB2312" w:eastAsia="仿宋_GB2312"/>
                <w:b/>
                <w:sz w:val="28"/>
                <w:szCs w:val="28"/>
              </w:rPr>
              <w:t>0</w:t>
            </w:r>
          </w:p>
        </w:tc>
        <w:tc>
          <w:tcPr>
            <w:tcW w:w="311" w:type="pct"/>
          </w:tcPr>
          <w:p>
            <w:r>
              <w:rPr>
                <w:rFonts w:ascii="仿宋_GB2312" w:eastAsia="仿宋_GB2312"/>
                <w:b/>
                <w:sz w:val="28"/>
                <w:szCs w:val="28"/>
              </w:rPr>
              <w:t>0</w:t>
            </w:r>
          </w:p>
        </w:tc>
        <w:tc>
          <w:tcPr>
            <w:tcW w:w="310" w:type="pct"/>
          </w:tcPr>
          <w:p>
            <w:r>
              <w:rPr>
                <w:rFonts w:ascii="仿宋_GB2312" w:eastAsia="仿宋_GB2312"/>
                <w:b/>
                <w:sz w:val="28"/>
                <w:szCs w:val="28"/>
              </w:rPr>
              <w:t>0</w:t>
            </w:r>
          </w:p>
        </w:tc>
        <w:tc>
          <w:tcPr>
            <w:tcW w:w="310" w:type="pct"/>
          </w:tcPr>
          <w:p>
            <w:r>
              <w:rPr>
                <w:rFonts w:ascii="仿宋_GB2312" w:eastAsia="仿宋_GB2312"/>
                <w:b/>
                <w:sz w:val="28"/>
                <w:szCs w:val="28"/>
              </w:rPr>
              <w:t>0</w:t>
            </w:r>
          </w:p>
        </w:tc>
        <w:tc>
          <w:tcPr>
            <w:tcW w:w="310" w:type="pct"/>
          </w:tcPr>
          <w:p>
            <w:r>
              <w:rPr>
                <w:rFonts w:ascii="仿宋_GB2312" w:eastAsia="仿宋_GB2312"/>
                <w:b/>
                <w:sz w:val="28"/>
                <w:szCs w:val="28"/>
              </w:rPr>
              <w:t>0</w:t>
            </w:r>
          </w:p>
        </w:tc>
        <w:tc>
          <w:tcPr>
            <w:tcW w:w="282" w:type="pct"/>
          </w:tcPr>
          <w:p>
            <w:r>
              <w:rPr>
                <w:rFonts w:ascii="仿宋_GB2312" w:eastAsia="仿宋_GB2312"/>
                <w:b/>
                <w:sz w:val="28"/>
                <w:szCs w:val="28"/>
              </w:rPr>
              <w:t>0</w:t>
            </w:r>
          </w:p>
        </w:tc>
        <w:tc>
          <w:tcPr>
            <w:tcW w:w="304" w:type="pct"/>
          </w:tcPr>
          <w:p>
            <w:r>
              <w:rPr>
                <w:rFonts w:ascii="仿宋_GB2312" w:eastAsia="仿宋_GB2312"/>
                <w:b/>
                <w:sz w:val="28"/>
                <w:szCs w:val="28"/>
              </w:rPr>
              <w:t>0</w:t>
            </w:r>
          </w:p>
        </w:tc>
        <w:tc>
          <w:tcPr>
            <w:tcW w:w="304" w:type="pct"/>
          </w:tcPr>
          <w:p>
            <w:r>
              <w:rPr>
                <w:rFonts w:ascii="仿宋_GB2312" w:eastAsia="仿宋_GB2312"/>
                <w:b/>
                <w:sz w:val="28"/>
                <w:szCs w:val="28"/>
              </w:rPr>
              <w:t>0</w:t>
            </w:r>
          </w:p>
        </w:tc>
        <w:tc>
          <w:tcPr>
            <w:tcW w:w="285" w:type="pct"/>
          </w:tcPr>
          <w:p>
            <w:r>
              <w:rPr>
                <w:rFonts w:ascii="仿宋_GB2312" w:eastAsia="仿宋_GB2312"/>
                <w:b/>
                <w:sz w:val="28"/>
                <w:szCs w:val="2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vAlign w:val="center"/>
          </w:tcPr>
          <w:p>
            <w:pPr>
              <w:spacing w:line="300" w:lineRule="exact"/>
              <w:jc w:val="center"/>
              <w:rPr>
                <w:rFonts w:ascii="仿宋_GB2312" w:eastAsia="仿宋_GB2312"/>
                <w:sz w:val="28"/>
                <w:szCs w:val="28"/>
              </w:rPr>
            </w:pPr>
          </w:p>
        </w:tc>
        <w:tc>
          <w:tcPr>
            <w:tcW w:w="368" w:type="pct"/>
            <w:vAlign w:val="center"/>
          </w:tcPr>
          <w:p>
            <w:pPr>
              <w:spacing w:line="300" w:lineRule="exact"/>
              <w:jc w:val="center"/>
              <w:rPr>
                <w:rFonts w:ascii="仿宋_GB2312" w:eastAsia="仿宋_GB2312"/>
                <w:sz w:val="28"/>
                <w:szCs w:val="28"/>
              </w:rPr>
            </w:pPr>
          </w:p>
        </w:tc>
        <w:tc>
          <w:tcPr>
            <w:tcW w:w="303" w:type="pct"/>
            <w:vAlign w:val="center"/>
          </w:tcPr>
          <w:p>
            <w:pPr>
              <w:spacing w:line="300" w:lineRule="exact"/>
              <w:jc w:val="center"/>
              <w:rPr>
                <w:rFonts w:ascii="仿宋_GB2312" w:eastAsia="仿宋_GB2312"/>
                <w:sz w:val="28"/>
                <w:szCs w:val="28"/>
              </w:rPr>
            </w:pPr>
          </w:p>
        </w:tc>
        <w:tc>
          <w:tcPr>
            <w:tcW w:w="482" w:type="pct"/>
            <w:vAlign w:val="center"/>
          </w:tcPr>
          <w:p>
            <w:pPr>
              <w:spacing w:line="300" w:lineRule="exact"/>
              <w:jc w:val="center"/>
              <w:rPr>
                <w:rFonts w:ascii="仿宋_GB2312" w:eastAsia="仿宋_GB2312"/>
                <w:sz w:val="28"/>
                <w:szCs w:val="28"/>
              </w:rPr>
            </w:pPr>
          </w:p>
        </w:tc>
        <w:tc>
          <w:tcPr>
            <w:tcW w:w="303" w:type="pct"/>
            <w:vAlign w:val="center"/>
          </w:tcPr>
          <w:p>
            <w:pPr>
              <w:spacing w:line="300" w:lineRule="exact"/>
              <w:jc w:val="center"/>
              <w:rPr>
                <w:rFonts w:ascii="仿宋_GB2312" w:eastAsia="仿宋_GB2312"/>
                <w:sz w:val="28"/>
                <w:szCs w:val="28"/>
              </w:rPr>
            </w:pPr>
          </w:p>
        </w:tc>
        <w:tc>
          <w:tcPr>
            <w:tcW w:w="303" w:type="pct"/>
            <w:vAlign w:val="center"/>
          </w:tcPr>
          <w:p>
            <w:pPr>
              <w:spacing w:line="300" w:lineRule="exact"/>
              <w:jc w:val="center"/>
              <w:rPr>
                <w:rFonts w:ascii="仿宋_GB2312" w:eastAsia="仿宋_GB2312"/>
                <w:sz w:val="28"/>
                <w:szCs w:val="28"/>
              </w:rPr>
            </w:pPr>
          </w:p>
        </w:tc>
        <w:tc>
          <w:tcPr>
            <w:tcW w:w="311" w:type="pct"/>
            <w:vAlign w:val="center"/>
          </w:tcPr>
          <w:p>
            <w:pPr>
              <w:spacing w:line="300" w:lineRule="exact"/>
              <w:jc w:val="center"/>
              <w:rPr>
                <w:rFonts w:ascii="仿宋_GB2312" w:eastAsia="仿宋_GB2312"/>
                <w:sz w:val="28"/>
                <w:szCs w:val="28"/>
              </w:rPr>
            </w:pPr>
          </w:p>
        </w:tc>
        <w:tc>
          <w:tcPr>
            <w:tcW w:w="310" w:type="pct"/>
            <w:vAlign w:val="center"/>
          </w:tcPr>
          <w:p>
            <w:pPr>
              <w:spacing w:line="300" w:lineRule="exact"/>
              <w:jc w:val="center"/>
              <w:rPr>
                <w:rFonts w:ascii="仿宋_GB2312" w:eastAsia="仿宋_GB2312"/>
                <w:sz w:val="28"/>
                <w:szCs w:val="28"/>
              </w:rPr>
            </w:pPr>
          </w:p>
        </w:tc>
        <w:tc>
          <w:tcPr>
            <w:tcW w:w="310" w:type="pct"/>
            <w:vAlign w:val="center"/>
          </w:tcPr>
          <w:p>
            <w:pPr>
              <w:spacing w:line="300" w:lineRule="exact"/>
              <w:jc w:val="center"/>
              <w:rPr>
                <w:rFonts w:ascii="仿宋_GB2312" w:eastAsia="仿宋_GB2312"/>
                <w:sz w:val="28"/>
                <w:szCs w:val="28"/>
              </w:rPr>
            </w:pPr>
          </w:p>
        </w:tc>
        <w:tc>
          <w:tcPr>
            <w:tcW w:w="310" w:type="pct"/>
            <w:vAlign w:val="center"/>
          </w:tcPr>
          <w:p>
            <w:pPr>
              <w:spacing w:line="300" w:lineRule="exact"/>
              <w:jc w:val="center"/>
              <w:rPr>
                <w:rFonts w:ascii="仿宋_GB2312" w:eastAsia="仿宋_GB2312"/>
                <w:sz w:val="28"/>
                <w:szCs w:val="28"/>
              </w:rPr>
            </w:pPr>
          </w:p>
        </w:tc>
        <w:tc>
          <w:tcPr>
            <w:tcW w:w="282" w:type="pct"/>
            <w:vAlign w:val="center"/>
          </w:tcPr>
          <w:p>
            <w:pPr>
              <w:spacing w:line="300" w:lineRule="exact"/>
              <w:jc w:val="center"/>
              <w:rPr>
                <w:rFonts w:ascii="仿宋_GB2312" w:eastAsia="仿宋_GB2312"/>
                <w:sz w:val="28"/>
                <w:szCs w:val="28"/>
              </w:rPr>
            </w:pPr>
          </w:p>
        </w:tc>
        <w:tc>
          <w:tcPr>
            <w:tcW w:w="304" w:type="pct"/>
            <w:vAlign w:val="center"/>
          </w:tcPr>
          <w:p>
            <w:pPr>
              <w:spacing w:line="300" w:lineRule="exact"/>
              <w:jc w:val="center"/>
              <w:rPr>
                <w:rFonts w:ascii="仿宋_GB2312" w:eastAsia="仿宋_GB2312"/>
                <w:sz w:val="28"/>
                <w:szCs w:val="28"/>
              </w:rPr>
            </w:pPr>
          </w:p>
        </w:tc>
        <w:tc>
          <w:tcPr>
            <w:tcW w:w="304" w:type="pct"/>
            <w:vAlign w:val="center"/>
          </w:tcPr>
          <w:p>
            <w:pPr>
              <w:spacing w:line="300" w:lineRule="exact"/>
              <w:jc w:val="center"/>
              <w:rPr>
                <w:rFonts w:ascii="仿宋_GB2312" w:eastAsia="仿宋_GB2312"/>
                <w:sz w:val="28"/>
                <w:szCs w:val="28"/>
              </w:rPr>
            </w:pPr>
          </w:p>
        </w:tc>
        <w:tc>
          <w:tcPr>
            <w:tcW w:w="285" w:type="pct"/>
            <w:vAlign w:val="center"/>
          </w:tcPr>
          <w:p>
            <w:pPr>
              <w:spacing w:line="300" w:lineRule="exact"/>
              <w:jc w:val="center"/>
              <w:rPr>
                <w:rFonts w:ascii="仿宋_GB2312" w:eastAsia="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vAlign w:val="center"/>
          </w:tcPr>
          <w:p>
            <w:pPr>
              <w:spacing w:line="300" w:lineRule="exact"/>
              <w:jc w:val="center"/>
              <w:rPr>
                <w:rFonts w:ascii="仿宋_GB2312" w:eastAsia="仿宋_GB2312"/>
                <w:sz w:val="28"/>
                <w:szCs w:val="28"/>
              </w:rPr>
            </w:pPr>
          </w:p>
        </w:tc>
        <w:tc>
          <w:tcPr>
            <w:tcW w:w="368" w:type="pct"/>
            <w:vAlign w:val="center"/>
          </w:tcPr>
          <w:p>
            <w:pPr>
              <w:spacing w:line="300" w:lineRule="exact"/>
              <w:jc w:val="center"/>
              <w:rPr>
                <w:rFonts w:ascii="仿宋_GB2312" w:eastAsia="仿宋_GB2312"/>
                <w:sz w:val="28"/>
                <w:szCs w:val="28"/>
              </w:rPr>
            </w:pPr>
          </w:p>
        </w:tc>
        <w:tc>
          <w:tcPr>
            <w:tcW w:w="303" w:type="pct"/>
            <w:vAlign w:val="center"/>
          </w:tcPr>
          <w:p>
            <w:pPr>
              <w:spacing w:line="300" w:lineRule="exact"/>
              <w:jc w:val="center"/>
              <w:rPr>
                <w:rFonts w:ascii="仿宋_GB2312" w:eastAsia="仿宋_GB2312"/>
                <w:sz w:val="28"/>
                <w:szCs w:val="28"/>
              </w:rPr>
            </w:pPr>
          </w:p>
        </w:tc>
        <w:tc>
          <w:tcPr>
            <w:tcW w:w="482" w:type="pct"/>
            <w:vAlign w:val="center"/>
          </w:tcPr>
          <w:p>
            <w:pPr>
              <w:spacing w:line="300" w:lineRule="exact"/>
              <w:jc w:val="center"/>
              <w:rPr>
                <w:rFonts w:ascii="仿宋_GB2312" w:eastAsia="仿宋_GB2312"/>
                <w:sz w:val="28"/>
                <w:szCs w:val="28"/>
              </w:rPr>
            </w:pPr>
          </w:p>
        </w:tc>
        <w:tc>
          <w:tcPr>
            <w:tcW w:w="303" w:type="pct"/>
            <w:vAlign w:val="center"/>
          </w:tcPr>
          <w:p>
            <w:pPr>
              <w:spacing w:line="300" w:lineRule="exact"/>
              <w:jc w:val="center"/>
              <w:rPr>
                <w:rFonts w:ascii="仿宋_GB2312" w:eastAsia="仿宋_GB2312"/>
                <w:sz w:val="28"/>
                <w:szCs w:val="28"/>
              </w:rPr>
            </w:pPr>
          </w:p>
        </w:tc>
        <w:tc>
          <w:tcPr>
            <w:tcW w:w="303" w:type="pct"/>
            <w:vAlign w:val="center"/>
          </w:tcPr>
          <w:p>
            <w:pPr>
              <w:spacing w:line="300" w:lineRule="exact"/>
              <w:jc w:val="center"/>
              <w:rPr>
                <w:rFonts w:ascii="仿宋_GB2312" w:eastAsia="仿宋_GB2312"/>
                <w:sz w:val="28"/>
                <w:szCs w:val="28"/>
              </w:rPr>
            </w:pPr>
          </w:p>
        </w:tc>
        <w:tc>
          <w:tcPr>
            <w:tcW w:w="311" w:type="pct"/>
            <w:vAlign w:val="center"/>
          </w:tcPr>
          <w:p>
            <w:pPr>
              <w:spacing w:line="300" w:lineRule="exact"/>
              <w:jc w:val="center"/>
              <w:rPr>
                <w:rFonts w:ascii="仿宋_GB2312" w:eastAsia="仿宋_GB2312"/>
                <w:sz w:val="28"/>
                <w:szCs w:val="28"/>
              </w:rPr>
            </w:pPr>
          </w:p>
        </w:tc>
        <w:tc>
          <w:tcPr>
            <w:tcW w:w="310" w:type="pct"/>
            <w:vAlign w:val="center"/>
          </w:tcPr>
          <w:p>
            <w:pPr>
              <w:spacing w:line="300" w:lineRule="exact"/>
              <w:jc w:val="center"/>
              <w:rPr>
                <w:rFonts w:ascii="仿宋_GB2312" w:eastAsia="仿宋_GB2312"/>
                <w:sz w:val="28"/>
                <w:szCs w:val="28"/>
              </w:rPr>
            </w:pPr>
          </w:p>
        </w:tc>
        <w:tc>
          <w:tcPr>
            <w:tcW w:w="310" w:type="pct"/>
            <w:vAlign w:val="center"/>
          </w:tcPr>
          <w:p>
            <w:pPr>
              <w:spacing w:line="300" w:lineRule="exact"/>
              <w:jc w:val="center"/>
              <w:rPr>
                <w:rFonts w:ascii="仿宋_GB2312" w:eastAsia="仿宋_GB2312"/>
                <w:sz w:val="28"/>
                <w:szCs w:val="28"/>
              </w:rPr>
            </w:pPr>
          </w:p>
        </w:tc>
        <w:tc>
          <w:tcPr>
            <w:tcW w:w="310" w:type="pct"/>
            <w:vAlign w:val="center"/>
          </w:tcPr>
          <w:p>
            <w:pPr>
              <w:spacing w:line="300" w:lineRule="exact"/>
              <w:jc w:val="center"/>
              <w:rPr>
                <w:rFonts w:ascii="仿宋_GB2312" w:eastAsia="仿宋_GB2312"/>
                <w:sz w:val="28"/>
                <w:szCs w:val="28"/>
              </w:rPr>
            </w:pPr>
          </w:p>
        </w:tc>
        <w:tc>
          <w:tcPr>
            <w:tcW w:w="282" w:type="pct"/>
            <w:vAlign w:val="center"/>
          </w:tcPr>
          <w:p>
            <w:pPr>
              <w:spacing w:line="300" w:lineRule="exact"/>
              <w:jc w:val="center"/>
              <w:rPr>
                <w:rFonts w:ascii="仿宋_GB2312" w:eastAsia="仿宋_GB2312"/>
                <w:sz w:val="28"/>
                <w:szCs w:val="28"/>
              </w:rPr>
            </w:pPr>
          </w:p>
        </w:tc>
        <w:tc>
          <w:tcPr>
            <w:tcW w:w="304" w:type="pct"/>
            <w:vAlign w:val="center"/>
          </w:tcPr>
          <w:p>
            <w:pPr>
              <w:spacing w:line="300" w:lineRule="exact"/>
              <w:jc w:val="center"/>
              <w:rPr>
                <w:rFonts w:ascii="仿宋_GB2312" w:eastAsia="仿宋_GB2312"/>
                <w:sz w:val="28"/>
                <w:szCs w:val="28"/>
              </w:rPr>
            </w:pPr>
          </w:p>
        </w:tc>
        <w:tc>
          <w:tcPr>
            <w:tcW w:w="304" w:type="pct"/>
            <w:vAlign w:val="center"/>
          </w:tcPr>
          <w:p>
            <w:pPr>
              <w:spacing w:line="300" w:lineRule="exact"/>
              <w:jc w:val="center"/>
              <w:rPr>
                <w:rFonts w:ascii="仿宋_GB2312" w:eastAsia="仿宋_GB2312"/>
                <w:sz w:val="28"/>
                <w:szCs w:val="28"/>
              </w:rPr>
            </w:pPr>
          </w:p>
        </w:tc>
        <w:tc>
          <w:tcPr>
            <w:tcW w:w="285" w:type="pct"/>
            <w:vAlign w:val="center"/>
          </w:tcPr>
          <w:p>
            <w:pPr>
              <w:spacing w:line="300" w:lineRule="exact"/>
              <w:jc w:val="center"/>
              <w:rPr>
                <w:rFonts w:ascii="仿宋_GB2312" w:eastAsia="仿宋_GB2312"/>
                <w:sz w:val="28"/>
                <w:szCs w:val="28"/>
              </w:rPr>
            </w:pPr>
          </w:p>
        </w:tc>
      </w:tr>
    </w:tbl>
    <w:p>
      <w:pPr>
        <w:widowControl/>
        <w:spacing w:line="360" w:lineRule="atLeast"/>
        <w:jc w:val="left"/>
        <w:rPr>
          <w:rFonts w:ascii="仿宋_GB2312" w:eastAsia="仿宋_GB2312" w:cs="宋体"/>
          <w:b/>
          <w:bCs/>
          <w:color w:val="000000"/>
          <w:kern w:val="0"/>
          <w:sz w:val="32"/>
          <w:szCs w:val="32"/>
        </w:rPr>
      </w:pPr>
    </w:p>
    <w:p>
      <w:pPr>
        <w:widowControl/>
        <w:spacing w:line="360" w:lineRule="atLeast"/>
        <w:jc w:val="left"/>
        <w:rPr>
          <w:rFonts w:ascii="仿宋_GB2312" w:eastAsia="仿宋_GB2312" w:cs="宋体"/>
          <w:b/>
          <w:bCs/>
          <w:color w:val="000000"/>
          <w:kern w:val="0"/>
          <w:sz w:val="32"/>
          <w:szCs w:val="32"/>
        </w:rPr>
      </w:pPr>
    </w:p>
    <w:p>
      <w:pPr>
        <w:widowControl/>
        <w:spacing w:line="360" w:lineRule="atLeast"/>
        <w:jc w:val="left"/>
        <w:rPr>
          <w:rFonts w:ascii="仿宋_GB2312" w:eastAsia="仿宋_GB2312" w:cs="宋体"/>
          <w:b/>
          <w:bCs/>
          <w:color w:val="000000"/>
          <w:kern w:val="0"/>
          <w:sz w:val="32"/>
          <w:szCs w:val="32"/>
        </w:rPr>
      </w:pPr>
    </w:p>
    <w:p>
      <w:pPr>
        <w:widowControl/>
        <w:spacing w:line="360" w:lineRule="atLeast"/>
        <w:jc w:val="left"/>
        <w:rPr>
          <w:rFonts w:ascii="仿宋_GB2312" w:eastAsia="仿宋_GB2312" w:cs="宋体"/>
          <w:b/>
          <w:bCs/>
          <w:color w:val="000000"/>
          <w:kern w:val="0"/>
          <w:sz w:val="32"/>
          <w:szCs w:val="32"/>
        </w:rPr>
      </w:pPr>
    </w:p>
    <w:p>
      <w:pPr>
        <w:widowControl/>
        <w:spacing w:line="360" w:lineRule="atLeast"/>
        <w:ind w:left="161" w:hanging="161" w:hangingChars="50"/>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七、国有资产信息</w:t>
      </w:r>
      <w:r>
        <w:rPr>
          <w:rFonts w:ascii="黑体" w:eastAsia="黑体" w:cs="宋体"/>
          <w:color w:val="000000"/>
          <w:kern w:val="0"/>
          <w:sz w:val="32"/>
          <w:szCs w:val="32"/>
        </w:rPr>
        <w:br w:type="textWrapping"/>
      </w:r>
      <w:r>
        <w:rPr>
          <w:rFonts w:hint="eastAsia" w:ascii="仿宋_GB2312" w:eastAsia="仿宋_GB2312" w:cs="宋体"/>
          <w:color w:val="000000"/>
          <w:kern w:val="0"/>
          <w:sz w:val="32"/>
          <w:szCs w:val="32"/>
        </w:rPr>
        <w:t>廊坊市广阳区科技局（含所属单位）上年末固定资产金额为</w:t>
      </w:r>
      <w:r>
        <w:rPr>
          <w:rFonts w:ascii="仿宋_GB2312" w:eastAsia="仿宋_GB2312" w:cs="宋体"/>
          <w:color w:val="000000"/>
          <w:kern w:val="0"/>
          <w:sz w:val="32"/>
          <w:szCs w:val="32"/>
        </w:rPr>
        <w:t>90.8</w:t>
      </w:r>
      <w:r>
        <w:rPr>
          <w:rFonts w:hint="eastAsia" w:ascii="仿宋_GB2312" w:eastAsia="仿宋_GB2312" w:cs="宋体"/>
          <w:color w:val="000000"/>
          <w:kern w:val="0"/>
          <w:sz w:val="32"/>
          <w:szCs w:val="32"/>
        </w:rPr>
        <w:t>万元，我部门本年度无拟购置固定资产，详见下表。</w:t>
      </w:r>
    </w:p>
    <w:tbl>
      <w:tblPr>
        <w:tblStyle w:val="9"/>
        <w:tblW w:w="10280" w:type="dxa"/>
        <w:jc w:val="center"/>
        <w:tblCellSpacing w:w="0" w:type="dxa"/>
        <w:tblLayout w:type="autofit"/>
        <w:tblCellMar>
          <w:top w:w="0" w:type="dxa"/>
          <w:left w:w="0" w:type="dxa"/>
          <w:bottom w:w="0" w:type="dxa"/>
          <w:right w:w="0" w:type="dxa"/>
        </w:tblCellMar>
      </w:tblPr>
      <w:tblGrid>
        <w:gridCol w:w="4025"/>
        <w:gridCol w:w="2585"/>
        <w:gridCol w:w="3790"/>
      </w:tblGrid>
      <w:tr>
        <w:tblPrEx>
          <w:tblCellMar>
            <w:top w:w="0" w:type="dxa"/>
            <w:left w:w="0" w:type="dxa"/>
            <w:bottom w:w="0" w:type="dxa"/>
            <w:right w:w="0" w:type="dxa"/>
          </w:tblCellMar>
        </w:tblPrEx>
        <w:trPr>
          <w:trHeight w:val="705" w:hRule="atLeast"/>
          <w:tblCellSpacing w:w="0" w:type="dxa"/>
          <w:jc w:val="center"/>
        </w:trPr>
        <w:tc>
          <w:tcPr>
            <w:tcW w:w="10310" w:type="dxa"/>
            <w:gridSpan w:val="3"/>
            <w:noWrap/>
            <w:vAlign w:val="center"/>
          </w:tcPr>
          <w:p>
            <w:pPr>
              <w:widowControl/>
              <w:jc w:val="center"/>
              <w:rPr>
                <w:rFonts w:ascii="仿宋_GB2312" w:eastAsia="仿宋_GB2312" w:cs="宋体"/>
                <w:kern w:val="0"/>
                <w:sz w:val="28"/>
                <w:szCs w:val="28"/>
              </w:rPr>
            </w:pPr>
            <w:r>
              <w:rPr>
                <w:rFonts w:ascii="宋体" w:hAnsi="宋体" w:eastAsia="仿宋_GB2312" w:cs="宋体"/>
                <w:kern w:val="0"/>
                <w:sz w:val="28"/>
                <w:szCs w:val="28"/>
              </w:rPr>
              <w:t> </w:t>
            </w:r>
            <w:r>
              <w:rPr>
                <w:rFonts w:hint="eastAsia" w:ascii="仿宋_GB2312" w:eastAsia="仿宋_GB2312" w:cs="宋体"/>
                <w:b/>
                <w:bCs/>
                <w:kern w:val="0"/>
                <w:sz w:val="28"/>
                <w:szCs w:val="28"/>
              </w:rPr>
              <w:t>廊坊市广阳区预算部门固定资产占用情况表</w:t>
            </w:r>
          </w:p>
        </w:tc>
      </w:tr>
      <w:tr>
        <w:tblPrEx>
          <w:tblCellMar>
            <w:top w:w="0" w:type="dxa"/>
            <w:left w:w="0" w:type="dxa"/>
            <w:bottom w:w="0" w:type="dxa"/>
            <w:right w:w="0" w:type="dxa"/>
          </w:tblCellMar>
        </w:tblPrEx>
        <w:trPr>
          <w:trHeight w:val="510" w:hRule="atLeast"/>
          <w:tblCellSpacing w:w="0" w:type="dxa"/>
          <w:jc w:val="center"/>
        </w:trPr>
        <w:tc>
          <w:tcPr>
            <w:tcW w:w="6555" w:type="dxa"/>
            <w:gridSpan w:val="2"/>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编制部门：</w:t>
            </w:r>
            <w:r>
              <w:rPr>
                <w:rFonts w:hint="eastAsia" w:ascii="仿宋_GB2312" w:eastAsia="仿宋_GB2312" w:cs="宋体"/>
                <w:b/>
                <w:bCs/>
                <w:kern w:val="0"/>
                <w:sz w:val="28"/>
                <w:szCs w:val="28"/>
              </w:rPr>
              <w:t>廊坊市广阳区科技局</w:t>
            </w:r>
          </w:p>
        </w:tc>
        <w:tc>
          <w:tcPr>
            <w:tcW w:w="3770" w:type="dxa"/>
            <w:noWrap/>
            <w:vAlign w:val="center"/>
          </w:tcPr>
          <w:p>
            <w:pPr>
              <w:widowControl/>
              <w:jc w:val="center"/>
              <w:rPr>
                <w:rFonts w:ascii="宋体" w:hAnsi="宋体" w:eastAsia="仿宋_GB2312" w:cs="宋体"/>
                <w:kern w:val="0"/>
                <w:sz w:val="28"/>
                <w:szCs w:val="28"/>
              </w:rPr>
            </w:pPr>
            <w:r>
              <w:rPr>
                <w:rFonts w:hint="eastAsia" w:ascii="仿宋_GB2312" w:eastAsia="仿宋_GB2312" w:cs="宋体"/>
                <w:kern w:val="0"/>
                <w:sz w:val="28"/>
                <w:szCs w:val="28"/>
              </w:rPr>
              <w:t>截止时间：</w:t>
            </w:r>
            <w:r>
              <w:rPr>
                <w:rFonts w:ascii="仿宋_GB2312" w:eastAsia="仿宋_GB2312" w:cs="宋体"/>
                <w:kern w:val="0"/>
                <w:sz w:val="28"/>
                <w:szCs w:val="28"/>
              </w:rPr>
              <w:t>20</w:t>
            </w:r>
            <w:r>
              <w:rPr>
                <w:rFonts w:hint="eastAsia" w:ascii="仿宋_GB2312" w:eastAsia="仿宋_GB2312" w:cs="宋体"/>
                <w:kern w:val="0"/>
                <w:sz w:val="28"/>
                <w:szCs w:val="28"/>
              </w:rPr>
              <w:t>19年</w:t>
            </w:r>
            <w:r>
              <w:rPr>
                <w:rFonts w:ascii="仿宋_GB2312" w:eastAsia="仿宋_GB2312" w:cs="宋体"/>
                <w:kern w:val="0"/>
                <w:sz w:val="28"/>
                <w:szCs w:val="28"/>
              </w:rPr>
              <w:t>1</w:t>
            </w:r>
            <w:r>
              <w:rPr>
                <w:rFonts w:hint="eastAsia" w:ascii="仿宋_GB2312" w:eastAsia="仿宋_GB2312" w:cs="宋体"/>
                <w:kern w:val="0"/>
                <w:sz w:val="28"/>
                <w:szCs w:val="28"/>
              </w:rPr>
              <w:t>2月</w:t>
            </w:r>
            <w:r>
              <w:rPr>
                <w:rFonts w:ascii="仿宋_GB2312" w:eastAsia="仿宋_GB2312" w:cs="宋体"/>
                <w:kern w:val="0"/>
                <w:sz w:val="28"/>
                <w:szCs w:val="28"/>
              </w:rPr>
              <w:t>31</w:t>
            </w:r>
            <w:r>
              <w:rPr>
                <w:rFonts w:hint="eastAsia" w:ascii="仿宋_GB2312" w:eastAsia="仿宋_GB2312" w:cs="宋体"/>
                <w:kern w:val="0"/>
                <w:sz w:val="28"/>
                <w:szCs w:val="28"/>
              </w:rPr>
              <w:t>日</w:t>
            </w:r>
            <w:r>
              <w:rPr>
                <w:rFonts w:ascii="宋体" w:hAnsi="宋体" w:eastAsia="仿宋_GB2312" w:cs="宋体"/>
                <w:kern w:val="0"/>
                <w:sz w:val="28"/>
                <w:szCs w:val="28"/>
              </w:rPr>
              <w:t> </w:t>
            </w:r>
          </w:p>
        </w:tc>
      </w:tr>
      <w:tr>
        <w:tblPrEx>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项</w:t>
            </w:r>
            <w:r>
              <w:rPr>
                <w:rFonts w:ascii="宋体" w:hAnsi="宋体" w:eastAsia="仿宋_GB2312" w:cs="宋体"/>
                <w:b/>
                <w:bCs/>
                <w:kern w:val="0"/>
                <w:sz w:val="28"/>
                <w:szCs w:val="28"/>
              </w:rPr>
              <w:t xml:space="preserve">   </w:t>
            </w:r>
            <w:r>
              <w:rPr>
                <w:rFonts w:hint="eastAsia" w:ascii="仿宋_GB2312" w:eastAsia="仿宋_GB2312" w:cs="宋体"/>
                <w:b/>
                <w:bCs/>
                <w:kern w:val="0"/>
                <w:sz w:val="28"/>
                <w:szCs w:val="28"/>
              </w:rPr>
              <w:t>目</w:t>
            </w:r>
          </w:p>
        </w:tc>
        <w:tc>
          <w:tcPr>
            <w:tcW w:w="256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数量</w:t>
            </w:r>
          </w:p>
        </w:tc>
        <w:tc>
          <w:tcPr>
            <w:tcW w:w="37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价值（金额单位：万元）</w:t>
            </w:r>
          </w:p>
        </w:tc>
      </w:tr>
      <w:tr>
        <w:tblPrEx>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资产总额</w:t>
            </w:r>
          </w:p>
        </w:tc>
        <w:tc>
          <w:tcPr>
            <w:tcW w:w="256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p>
        </w:tc>
        <w:tc>
          <w:tcPr>
            <w:tcW w:w="37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ascii="仿宋_GB2312" w:eastAsia="仿宋_GB2312" w:cs="宋体"/>
                <w:kern w:val="0"/>
                <w:sz w:val="28"/>
                <w:szCs w:val="28"/>
              </w:rPr>
              <w:t>78.809</w:t>
            </w:r>
          </w:p>
        </w:tc>
      </w:tr>
      <w:tr>
        <w:tblPrEx>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ascii="仿宋_GB2312" w:eastAsia="仿宋_GB2312" w:cs="宋体"/>
                <w:kern w:val="0"/>
                <w:sz w:val="28"/>
                <w:szCs w:val="28"/>
              </w:rPr>
              <w:t>1</w:t>
            </w:r>
            <w:r>
              <w:rPr>
                <w:rFonts w:hint="eastAsia" w:ascii="仿宋_GB2312" w:eastAsia="仿宋_GB2312" w:cs="宋体"/>
                <w:kern w:val="0"/>
                <w:sz w:val="28"/>
                <w:szCs w:val="28"/>
              </w:rPr>
              <w:t>、房屋（平方米）</w:t>
            </w:r>
          </w:p>
        </w:tc>
        <w:tc>
          <w:tcPr>
            <w:tcW w:w="256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ascii="仿宋_GB2312" w:eastAsia="仿宋_GB2312" w:cs="宋体"/>
                <w:kern w:val="0"/>
                <w:sz w:val="28"/>
                <w:szCs w:val="28"/>
              </w:rPr>
              <w:t>1320</w:t>
            </w:r>
          </w:p>
        </w:tc>
        <w:tc>
          <w:tcPr>
            <w:tcW w:w="37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ascii="仿宋_GB2312" w:eastAsia="仿宋_GB2312" w:cs="宋体"/>
                <w:kern w:val="0"/>
                <w:sz w:val="28"/>
                <w:szCs w:val="28"/>
              </w:rPr>
              <w:t>75</w:t>
            </w:r>
          </w:p>
        </w:tc>
      </w:tr>
      <w:tr>
        <w:tblPrEx>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ascii="宋体" w:hAnsi="宋体" w:eastAsia="仿宋_GB2312" w:cs="宋体"/>
                <w:kern w:val="0"/>
                <w:sz w:val="28"/>
                <w:szCs w:val="28"/>
              </w:rPr>
              <w:t xml:space="preserve">   </w:t>
            </w:r>
            <w:r>
              <w:rPr>
                <w:rFonts w:hint="eastAsia" w:ascii="仿宋_GB2312" w:eastAsia="仿宋_GB2312" w:cs="宋体"/>
                <w:kern w:val="0"/>
                <w:sz w:val="28"/>
                <w:szCs w:val="28"/>
              </w:rPr>
              <w:t>其中：办公用房（平方米）</w:t>
            </w:r>
          </w:p>
        </w:tc>
        <w:tc>
          <w:tcPr>
            <w:tcW w:w="256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ascii="仿宋_GB2312" w:eastAsia="仿宋_GB2312" w:cs="宋体"/>
                <w:kern w:val="0"/>
                <w:sz w:val="28"/>
                <w:szCs w:val="28"/>
              </w:rPr>
              <w:t>1320</w:t>
            </w:r>
          </w:p>
        </w:tc>
        <w:tc>
          <w:tcPr>
            <w:tcW w:w="37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p>
        </w:tc>
      </w:tr>
      <w:tr>
        <w:tblPrEx>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ascii="仿宋_GB2312" w:eastAsia="仿宋_GB2312" w:cs="宋体"/>
                <w:kern w:val="0"/>
                <w:sz w:val="28"/>
                <w:szCs w:val="28"/>
              </w:rPr>
              <w:t>2</w:t>
            </w:r>
            <w:r>
              <w:rPr>
                <w:rFonts w:hint="eastAsia" w:ascii="仿宋_GB2312" w:eastAsia="仿宋_GB2312" w:cs="宋体"/>
                <w:kern w:val="0"/>
                <w:sz w:val="28"/>
                <w:szCs w:val="28"/>
              </w:rPr>
              <w:t>、车辆（台、辆）</w:t>
            </w:r>
          </w:p>
        </w:tc>
        <w:tc>
          <w:tcPr>
            <w:tcW w:w="256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ascii="仿宋_GB2312" w:eastAsia="仿宋_GB2312" w:cs="宋体"/>
                <w:kern w:val="0"/>
                <w:sz w:val="28"/>
                <w:szCs w:val="28"/>
              </w:rPr>
              <w:t>1</w:t>
            </w:r>
          </w:p>
        </w:tc>
        <w:tc>
          <w:tcPr>
            <w:tcW w:w="37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ascii="仿宋_GB2312" w:eastAsia="仿宋_GB2312" w:cs="宋体"/>
                <w:kern w:val="0"/>
                <w:sz w:val="28"/>
                <w:szCs w:val="28"/>
              </w:rPr>
              <w:t>19.28</w:t>
            </w:r>
          </w:p>
        </w:tc>
      </w:tr>
      <w:tr>
        <w:tblPrEx>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ascii="仿宋_GB2312" w:eastAsia="仿宋_GB2312" w:cs="宋体"/>
                <w:kern w:val="0"/>
                <w:sz w:val="28"/>
                <w:szCs w:val="28"/>
              </w:rPr>
              <w:t>3</w:t>
            </w:r>
            <w:r>
              <w:rPr>
                <w:rFonts w:hint="eastAsia" w:ascii="仿宋_GB2312" w:eastAsia="仿宋_GB2312" w:cs="宋体"/>
                <w:kern w:val="0"/>
                <w:sz w:val="28"/>
                <w:szCs w:val="28"/>
              </w:rPr>
              <w:t>、单价在</w:t>
            </w:r>
            <w:r>
              <w:rPr>
                <w:rFonts w:ascii="仿宋_GB2312" w:eastAsia="仿宋_GB2312" w:cs="宋体"/>
                <w:kern w:val="0"/>
                <w:sz w:val="28"/>
                <w:szCs w:val="28"/>
              </w:rPr>
              <w:t>50</w:t>
            </w:r>
            <w:r>
              <w:rPr>
                <w:rFonts w:hint="eastAsia" w:ascii="仿宋_GB2312" w:eastAsia="仿宋_GB2312" w:cs="宋体"/>
                <w:kern w:val="0"/>
                <w:sz w:val="28"/>
                <w:szCs w:val="28"/>
              </w:rPr>
              <w:t>万元以上的设备</w:t>
            </w:r>
          </w:p>
        </w:tc>
        <w:tc>
          <w:tcPr>
            <w:tcW w:w="256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p>
        </w:tc>
        <w:tc>
          <w:tcPr>
            <w:tcW w:w="37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p>
        </w:tc>
      </w:tr>
      <w:tr>
        <w:tblPrEx>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ascii="仿宋_GB2312" w:eastAsia="仿宋_GB2312" w:cs="宋体"/>
                <w:kern w:val="0"/>
                <w:sz w:val="28"/>
                <w:szCs w:val="28"/>
              </w:rPr>
              <w:t>4</w:t>
            </w:r>
            <w:r>
              <w:rPr>
                <w:rFonts w:hint="eastAsia" w:ascii="仿宋_GB2312" w:eastAsia="仿宋_GB2312" w:cs="宋体"/>
                <w:kern w:val="0"/>
                <w:sz w:val="28"/>
                <w:szCs w:val="28"/>
              </w:rPr>
              <w:t>、其他固定资产</w:t>
            </w:r>
          </w:p>
        </w:tc>
        <w:tc>
          <w:tcPr>
            <w:tcW w:w="256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仿宋_GB2312" w:cs="宋体"/>
                <w:kern w:val="0"/>
                <w:sz w:val="28"/>
                <w:szCs w:val="28"/>
              </w:rPr>
            </w:pPr>
          </w:p>
        </w:tc>
        <w:tc>
          <w:tcPr>
            <w:tcW w:w="37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ascii="仿宋_GB2312" w:eastAsia="仿宋_GB2312" w:cs="宋体"/>
                <w:kern w:val="0"/>
                <w:sz w:val="28"/>
                <w:szCs w:val="28"/>
              </w:rPr>
              <w:t>3.809</w:t>
            </w:r>
          </w:p>
        </w:tc>
      </w:tr>
    </w:tbl>
    <w:p>
      <w:pPr>
        <w:pStyle w:val="16"/>
        <w:rPr>
          <w:rFonts w:hint="eastAsia" w:ascii="黑体" w:eastAsia="黑体" w:cs="宋体"/>
          <w:b/>
          <w:bCs/>
          <w:sz w:val="32"/>
          <w:szCs w:val="32"/>
        </w:rPr>
      </w:pPr>
    </w:p>
    <w:p>
      <w:pPr>
        <w:pStyle w:val="16"/>
        <w:rPr>
          <w:rFonts w:hint="eastAsia" w:ascii="黑体" w:eastAsia="黑体" w:cs="宋体"/>
          <w:b/>
          <w:bCs/>
          <w:sz w:val="32"/>
          <w:szCs w:val="32"/>
        </w:rPr>
      </w:pPr>
    </w:p>
    <w:p>
      <w:pPr>
        <w:autoSpaceDE w:val="0"/>
        <w:autoSpaceDN w:val="0"/>
        <w:adjustRightInd w:val="0"/>
        <w:spacing w:line="584" w:lineRule="exact"/>
        <w:ind w:firstLine="640" w:firstLineChars="200"/>
        <w:jc w:val="left"/>
        <w:rPr>
          <w:rFonts w:ascii="Times New Roman" w:hAnsi="Times New Roman" w:eastAsia="黑体"/>
          <w:sz w:val="32"/>
          <w:szCs w:val="32"/>
        </w:rPr>
      </w:pPr>
      <w:r>
        <w:rPr>
          <w:rFonts w:ascii="Times New Roman" w:hAnsi="Times New Roman" w:eastAsia="黑体"/>
          <w:sz w:val="32"/>
          <w:szCs w:val="32"/>
        </w:rPr>
        <w:t>八、名词解释</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1、一般公共预算拨款收入：</w:t>
      </w:r>
      <w:r>
        <w:rPr>
          <w:rFonts w:ascii="Times New Roman" w:hAnsi="Times New Roman" w:eastAsia="仿宋_GB2312"/>
          <w:sz w:val="32"/>
          <w:szCs w:val="32"/>
        </w:rPr>
        <w:t>指省级财政当年拨付的资金。</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2、事业收入：</w:t>
      </w:r>
      <w:r>
        <w:rPr>
          <w:rFonts w:ascii="Times New Roman" w:hAnsi="Times New Roman" w:eastAsia="仿宋_GB2312"/>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3、其他收入：</w:t>
      </w:r>
      <w:r>
        <w:rPr>
          <w:rFonts w:ascii="Times New Roman" w:hAnsi="Times New Roman" w:eastAsia="仿宋_GB2312"/>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4、基本支出：</w:t>
      </w:r>
      <w:r>
        <w:rPr>
          <w:rFonts w:ascii="Times New Roman" w:hAnsi="Times New Roman" w:eastAsia="仿宋_GB2312"/>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5、项目支出：</w:t>
      </w:r>
      <w:r>
        <w:rPr>
          <w:rFonts w:ascii="Times New Roman" w:hAnsi="Times New Roman" w:eastAsia="仿宋_GB2312"/>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6、上缴上级支出：</w:t>
      </w:r>
      <w:r>
        <w:rPr>
          <w:rFonts w:ascii="Times New Roman" w:hAnsi="Times New Roman" w:eastAsia="仿宋_GB2312"/>
          <w:sz w:val="32"/>
          <w:szCs w:val="32"/>
        </w:rPr>
        <w:t>指下级单位上缴上级的支出。</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7、“三公”经费：</w:t>
      </w:r>
      <w:r>
        <w:rPr>
          <w:rFonts w:ascii="Times New Roman" w:hAnsi="Times New Roman" w:eastAsia="仿宋_GB2312"/>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8、机关运行费：</w:t>
      </w:r>
      <w:r>
        <w:rPr>
          <w:rFonts w:ascii="Times New Roman" w:hAnsi="Times New Roman" w:eastAsia="仿宋_GB2312"/>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9、上年结转：</w:t>
      </w:r>
      <w:r>
        <w:rPr>
          <w:rFonts w:ascii="Times New Roman" w:hAnsi="Times New Roman" w:eastAsia="仿宋_GB2312"/>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10、事业单位经营支出：</w:t>
      </w:r>
      <w:r>
        <w:rPr>
          <w:rFonts w:ascii="Times New Roman" w:hAnsi="Times New Roman" w:eastAsia="仿宋_GB2312"/>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sz w:val="32"/>
          <w:szCs w:val="32"/>
        </w:rPr>
      </w:pPr>
      <w:r>
        <w:rPr>
          <w:rFonts w:ascii="Times New Roman" w:hAnsi="Times New Roman" w:eastAsia="黑体"/>
          <w:sz w:val="32"/>
          <w:szCs w:val="32"/>
        </w:rPr>
        <w:t>九、其他需要说明的事项</w:t>
      </w:r>
    </w:p>
    <w:p>
      <w:pPr>
        <w:spacing w:line="58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我部门无其他需要说明的事项。</w:t>
      </w:r>
    </w:p>
    <w:p>
      <w:pPr>
        <w:widowControl/>
        <w:spacing w:line="360" w:lineRule="atLeast"/>
        <w:jc w:val="left"/>
        <w:rPr>
          <w:rFonts w:ascii="宋体" w:hAnsi="宋体" w:eastAsia="仿宋_GB2312" w:cs="宋体"/>
          <w:color w:val="000000"/>
          <w:kern w:val="0"/>
          <w:sz w:val="32"/>
          <w:szCs w:val="32"/>
        </w:rPr>
      </w:pPr>
      <w:r>
        <w:rPr>
          <w:rFonts w:ascii="仿宋_GB2312" w:eastAsia="仿宋_GB2312" w:cs="宋体"/>
          <w:color w:val="000000"/>
          <w:kern w:val="0"/>
          <w:sz w:val="32"/>
          <w:szCs w:val="32"/>
        </w:rPr>
        <w:br w:type="textWrapping"/>
      </w:r>
      <w:r>
        <w:rPr>
          <w:rFonts w:ascii="宋体" w:hAnsi="宋体" w:eastAsia="仿宋_GB2312" w:cs="宋体"/>
          <w:color w:val="000000"/>
          <w:kern w:val="0"/>
          <w:sz w:val="32"/>
          <w:szCs w:val="32"/>
        </w:rPr>
        <w:t> </w:t>
      </w:r>
    </w:p>
    <w:p>
      <w:pPr>
        <w:rPr>
          <w:rFonts w:eastAsia="仿宋_GB2312"/>
          <w:sz w:val="32"/>
          <w:szCs w:val="32"/>
        </w:rPr>
      </w:pPr>
    </w:p>
    <w:p>
      <w:pPr>
        <w:spacing w:line="584" w:lineRule="exact"/>
        <w:ind w:firstLine="420" w:firstLineChars="200"/>
      </w:pPr>
    </w:p>
    <w:sectPr>
      <w:footerReference r:id="rId4" w:type="first"/>
      <w:footerReference r:id="rId3" w:type="default"/>
      <w:pgSz w:w="16839" w:h="11907" w:orient="landscape"/>
      <w:pgMar w:top="1361" w:right="1020" w:bottom="1361"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t>-</w:t>
    </w:r>
    <w:r>
      <w:fldChar w:fldCharType="begin"/>
    </w:r>
    <w:r>
      <w:instrText xml:space="preserve">PAGE   \* MERGEFORMAT</w:instrText>
    </w:r>
    <w:r>
      <w:fldChar w:fldCharType="separate"/>
    </w:r>
    <w:r>
      <w:rPr>
        <w:lang w:val="zh-CN"/>
      </w:rPr>
      <w:t>19</w:t>
    </w:r>
    <w:r>
      <w:rPr>
        <w:lang w:val="zh-CN"/>
      </w:rPr>
      <w:fldChar w:fldCharType="end"/>
    </w:r>
    <w: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8</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6032"/>
    <w:rsid w:val="0000151C"/>
    <w:rsid w:val="000053CC"/>
    <w:rsid w:val="00037AF6"/>
    <w:rsid w:val="000410F2"/>
    <w:rsid w:val="0004565F"/>
    <w:rsid w:val="00070080"/>
    <w:rsid w:val="00072187"/>
    <w:rsid w:val="00075D5F"/>
    <w:rsid w:val="0008180F"/>
    <w:rsid w:val="00093DA3"/>
    <w:rsid w:val="000B529B"/>
    <w:rsid w:val="000C24E6"/>
    <w:rsid w:val="000C3A19"/>
    <w:rsid w:val="000E4305"/>
    <w:rsid w:val="000E615A"/>
    <w:rsid w:val="000F0D09"/>
    <w:rsid w:val="0010500F"/>
    <w:rsid w:val="001245BB"/>
    <w:rsid w:val="001251A3"/>
    <w:rsid w:val="0015229A"/>
    <w:rsid w:val="00160266"/>
    <w:rsid w:val="001643E8"/>
    <w:rsid w:val="00176C13"/>
    <w:rsid w:val="001919C4"/>
    <w:rsid w:val="0019723B"/>
    <w:rsid w:val="001A0943"/>
    <w:rsid w:val="001A2CF5"/>
    <w:rsid w:val="001B5C1D"/>
    <w:rsid w:val="001E0757"/>
    <w:rsid w:val="001E5F79"/>
    <w:rsid w:val="001E6DDC"/>
    <w:rsid w:val="001E70E9"/>
    <w:rsid w:val="001F5C92"/>
    <w:rsid w:val="001F7873"/>
    <w:rsid w:val="00230E48"/>
    <w:rsid w:val="00241FD4"/>
    <w:rsid w:val="00246317"/>
    <w:rsid w:val="00251B12"/>
    <w:rsid w:val="00265318"/>
    <w:rsid w:val="00265F39"/>
    <w:rsid w:val="002835D7"/>
    <w:rsid w:val="00290FD6"/>
    <w:rsid w:val="00292821"/>
    <w:rsid w:val="00296113"/>
    <w:rsid w:val="002A673A"/>
    <w:rsid w:val="002C5E13"/>
    <w:rsid w:val="002C62BC"/>
    <w:rsid w:val="002E0EB8"/>
    <w:rsid w:val="002F3896"/>
    <w:rsid w:val="002F3E58"/>
    <w:rsid w:val="0030542C"/>
    <w:rsid w:val="00311B7A"/>
    <w:rsid w:val="003126B6"/>
    <w:rsid w:val="00313D9C"/>
    <w:rsid w:val="00325215"/>
    <w:rsid w:val="0033339C"/>
    <w:rsid w:val="00335660"/>
    <w:rsid w:val="00380815"/>
    <w:rsid w:val="003A05EE"/>
    <w:rsid w:val="003B6D37"/>
    <w:rsid w:val="004132D7"/>
    <w:rsid w:val="00414BD3"/>
    <w:rsid w:val="00424943"/>
    <w:rsid w:val="0042727E"/>
    <w:rsid w:val="0043175C"/>
    <w:rsid w:val="00437296"/>
    <w:rsid w:val="00451590"/>
    <w:rsid w:val="00451871"/>
    <w:rsid w:val="00455103"/>
    <w:rsid w:val="004706DE"/>
    <w:rsid w:val="00472923"/>
    <w:rsid w:val="00486DCD"/>
    <w:rsid w:val="0048734B"/>
    <w:rsid w:val="0049120C"/>
    <w:rsid w:val="004B0C3A"/>
    <w:rsid w:val="004C49A8"/>
    <w:rsid w:val="004C58D3"/>
    <w:rsid w:val="004D5788"/>
    <w:rsid w:val="004E3066"/>
    <w:rsid w:val="004E419C"/>
    <w:rsid w:val="004E74CD"/>
    <w:rsid w:val="00515CF5"/>
    <w:rsid w:val="00524EFD"/>
    <w:rsid w:val="00557603"/>
    <w:rsid w:val="00572067"/>
    <w:rsid w:val="00573562"/>
    <w:rsid w:val="00590ECE"/>
    <w:rsid w:val="005C0E90"/>
    <w:rsid w:val="005D0C27"/>
    <w:rsid w:val="005D37CA"/>
    <w:rsid w:val="005F5714"/>
    <w:rsid w:val="005F7AE1"/>
    <w:rsid w:val="00611D03"/>
    <w:rsid w:val="00614A29"/>
    <w:rsid w:val="00651BA2"/>
    <w:rsid w:val="00654FB9"/>
    <w:rsid w:val="00673D76"/>
    <w:rsid w:val="006854F0"/>
    <w:rsid w:val="006B1C4A"/>
    <w:rsid w:val="006B610D"/>
    <w:rsid w:val="006C206A"/>
    <w:rsid w:val="006E49F5"/>
    <w:rsid w:val="007013C8"/>
    <w:rsid w:val="00713522"/>
    <w:rsid w:val="00727C84"/>
    <w:rsid w:val="00741AF5"/>
    <w:rsid w:val="0074338E"/>
    <w:rsid w:val="00753836"/>
    <w:rsid w:val="0075393C"/>
    <w:rsid w:val="00754592"/>
    <w:rsid w:val="00776C08"/>
    <w:rsid w:val="00790ABF"/>
    <w:rsid w:val="007B49AA"/>
    <w:rsid w:val="007C219A"/>
    <w:rsid w:val="007E1DA8"/>
    <w:rsid w:val="007E4B05"/>
    <w:rsid w:val="007F1335"/>
    <w:rsid w:val="007F6C26"/>
    <w:rsid w:val="00800F72"/>
    <w:rsid w:val="00811795"/>
    <w:rsid w:val="00813208"/>
    <w:rsid w:val="00814DF4"/>
    <w:rsid w:val="00815157"/>
    <w:rsid w:val="0083348E"/>
    <w:rsid w:val="008334AE"/>
    <w:rsid w:val="00836FED"/>
    <w:rsid w:val="0083724E"/>
    <w:rsid w:val="00841D53"/>
    <w:rsid w:val="00843DF8"/>
    <w:rsid w:val="00845CD2"/>
    <w:rsid w:val="00852B0D"/>
    <w:rsid w:val="0085425A"/>
    <w:rsid w:val="00862CE4"/>
    <w:rsid w:val="00864B7F"/>
    <w:rsid w:val="00881692"/>
    <w:rsid w:val="00882539"/>
    <w:rsid w:val="008858FF"/>
    <w:rsid w:val="008A6576"/>
    <w:rsid w:val="008B3CC5"/>
    <w:rsid w:val="008B52CD"/>
    <w:rsid w:val="008C7C4D"/>
    <w:rsid w:val="008E4261"/>
    <w:rsid w:val="008E70D4"/>
    <w:rsid w:val="008F4662"/>
    <w:rsid w:val="0090563F"/>
    <w:rsid w:val="00905D08"/>
    <w:rsid w:val="00925753"/>
    <w:rsid w:val="00937F8B"/>
    <w:rsid w:val="009425F4"/>
    <w:rsid w:val="00943BD8"/>
    <w:rsid w:val="00954B2C"/>
    <w:rsid w:val="00966C5C"/>
    <w:rsid w:val="009676A1"/>
    <w:rsid w:val="00967911"/>
    <w:rsid w:val="00973104"/>
    <w:rsid w:val="009842F6"/>
    <w:rsid w:val="00984E9A"/>
    <w:rsid w:val="0099315C"/>
    <w:rsid w:val="00995BF0"/>
    <w:rsid w:val="00996540"/>
    <w:rsid w:val="009A16D5"/>
    <w:rsid w:val="009A353D"/>
    <w:rsid w:val="009B0B77"/>
    <w:rsid w:val="009B511E"/>
    <w:rsid w:val="009B5215"/>
    <w:rsid w:val="009C6C86"/>
    <w:rsid w:val="009D37D3"/>
    <w:rsid w:val="009D3807"/>
    <w:rsid w:val="009E6FC7"/>
    <w:rsid w:val="009F24CE"/>
    <w:rsid w:val="009F3D98"/>
    <w:rsid w:val="00A16E6C"/>
    <w:rsid w:val="00A40F60"/>
    <w:rsid w:val="00A431A1"/>
    <w:rsid w:val="00A44E3D"/>
    <w:rsid w:val="00A72D2E"/>
    <w:rsid w:val="00A74447"/>
    <w:rsid w:val="00A74CE5"/>
    <w:rsid w:val="00A74DA7"/>
    <w:rsid w:val="00A77500"/>
    <w:rsid w:val="00A849B6"/>
    <w:rsid w:val="00A8536F"/>
    <w:rsid w:val="00A911E7"/>
    <w:rsid w:val="00A939D9"/>
    <w:rsid w:val="00AB77AA"/>
    <w:rsid w:val="00AC0E98"/>
    <w:rsid w:val="00AC4748"/>
    <w:rsid w:val="00AD5259"/>
    <w:rsid w:val="00B01D36"/>
    <w:rsid w:val="00B078CD"/>
    <w:rsid w:val="00B20712"/>
    <w:rsid w:val="00B32BD1"/>
    <w:rsid w:val="00B40832"/>
    <w:rsid w:val="00B43238"/>
    <w:rsid w:val="00B45DD3"/>
    <w:rsid w:val="00B54B90"/>
    <w:rsid w:val="00B6358B"/>
    <w:rsid w:val="00B64FA8"/>
    <w:rsid w:val="00B73582"/>
    <w:rsid w:val="00B7433C"/>
    <w:rsid w:val="00B75216"/>
    <w:rsid w:val="00B755A2"/>
    <w:rsid w:val="00B9104C"/>
    <w:rsid w:val="00B91D52"/>
    <w:rsid w:val="00B9490F"/>
    <w:rsid w:val="00BA1ACD"/>
    <w:rsid w:val="00BD09F8"/>
    <w:rsid w:val="00BE2289"/>
    <w:rsid w:val="00BE356A"/>
    <w:rsid w:val="00C005B2"/>
    <w:rsid w:val="00C1565C"/>
    <w:rsid w:val="00C21E0F"/>
    <w:rsid w:val="00C362CA"/>
    <w:rsid w:val="00C37A99"/>
    <w:rsid w:val="00C772C1"/>
    <w:rsid w:val="00C93D22"/>
    <w:rsid w:val="00CA7176"/>
    <w:rsid w:val="00CB51D7"/>
    <w:rsid w:val="00CC75B0"/>
    <w:rsid w:val="00CD2773"/>
    <w:rsid w:val="00CE01BA"/>
    <w:rsid w:val="00CE143B"/>
    <w:rsid w:val="00CE3A91"/>
    <w:rsid w:val="00D07DBA"/>
    <w:rsid w:val="00D23C16"/>
    <w:rsid w:val="00D27003"/>
    <w:rsid w:val="00D324AD"/>
    <w:rsid w:val="00D51E09"/>
    <w:rsid w:val="00D9307A"/>
    <w:rsid w:val="00DB4322"/>
    <w:rsid w:val="00DD1D0C"/>
    <w:rsid w:val="00DE186D"/>
    <w:rsid w:val="00E04760"/>
    <w:rsid w:val="00E167C7"/>
    <w:rsid w:val="00E440CF"/>
    <w:rsid w:val="00E55B78"/>
    <w:rsid w:val="00E76361"/>
    <w:rsid w:val="00E84020"/>
    <w:rsid w:val="00E87647"/>
    <w:rsid w:val="00EB7A80"/>
    <w:rsid w:val="00EC47F6"/>
    <w:rsid w:val="00EE6D6D"/>
    <w:rsid w:val="00EF08C9"/>
    <w:rsid w:val="00EF535E"/>
    <w:rsid w:val="00F15CF0"/>
    <w:rsid w:val="00F26058"/>
    <w:rsid w:val="00F471F7"/>
    <w:rsid w:val="00F66032"/>
    <w:rsid w:val="00F83B96"/>
    <w:rsid w:val="00F8441D"/>
    <w:rsid w:val="00F87C1E"/>
    <w:rsid w:val="00F958C2"/>
    <w:rsid w:val="00FA740E"/>
    <w:rsid w:val="00FC06C7"/>
    <w:rsid w:val="00FD5DB4"/>
    <w:rsid w:val="00FD7FCC"/>
    <w:rsid w:val="00FE1724"/>
    <w:rsid w:val="00FE53A1"/>
    <w:rsid w:val="00FE753C"/>
    <w:rsid w:val="00FF2346"/>
    <w:rsid w:val="2DDF3720"/>
    <w:rsid w:val="59402D7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qFormat/>
    <w:uiPriority w:val="99"/>
    <w:rPr>
      <w:sz w:val="18"/>
      <w:szCs w:val="18"/>
    </w:rPr>
  </w:style>
  <w:style w:type="paragraph" w:styleId="3">
    <w:name w:val="footer"/>
    <w:basedOn w:val="1"/>
    <w:link w:val="14"/>
    <w:qFormat/>
    <w:uiPriority w:val="99"/>
    <w:pPr>
      <w:tabs>
        <w:tab w:val="center" w:pos="4153"/>
        <w:tab w:val="right" w:pos="8306"/>
      </w:tabs>
      <w:snapToGrid w:val="0"/>
      <w:jc w:val="left"/>
    </w:pPr>
    <w:rPr>
      <w:rFonts w:ascii="Times New Roman" w:hAnsi="Times New Roman"/>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5">
    <w:name w:val="toc 1"/>
    <w:basedOn w:val="1"/>
    <w:next w:val="1"/>
    <w:qFormat/>
    <w:uiPriority w:val="99"/>
    <w:rPr>
      <w:rFonts w:ascii="Times New Roman" w:hAnsi="Times New Roman"/>
      <w:szCs w:val="24"/>
    </w:rPr>
  </w:style>
  <w:style w:type="paragraph" w:styleId="6">
    <w:name w:val="footnote text"/>
    <w:basedOn w:val="1"/>
    <w:link w:val="17"/>
    <w:semiHidden/>
    <w:qFormat/>
    <w:uiPriority w:val="99"/>
    <w:pPr>
      <w:snapToGrid w:val="0"/>
      <w:jc w:val="left"/>
    </w:pPr>
    <w:rPr>
      <w:sz w:val="18"/>
      <w:szCs w:val="18"/>
    </w:rPr>
  </w:style>
  <w:style w:type="paragraph" w:styleId="7">
    <w:name w:val="toc 2"/>
    <w:basedOn w:val="1"/>
    <w:next w:val="1"/>
    <w:qFormat/>
    <w:uiPriority w:val="99"/>
    <w:pPr>
      <w:ind w:left="420" w:leftChars="200"/>
    </w:pPr>
    <w:rPr>
      <w:rFonts w:ascii="Times New Roman" w:hAnsi="Times New Roman"/>
      <w:szCs w:val="24"/>
    </w:rPr>
  </w:style>
  <w:style w:type="paragraph" w:styleId="8">
    <w:name w:val="Normal (Web)"/>
    <w:basedOn w:val="1"/>
    <w:next w:val="3"/>
    <w:uiPriority w:val="99"/>
    <w:pPr>
      <w:spacing w:before="100" w:beforeAutospacing="1" w:after="100" w:afterAutospacing="1"/>
      <w:jc w:val="left"/>
    </w:pPr>
    <w:rPr>
      <w:rFonts w:ascii="宋体" w:hAnsi="Times New Roman"/>
      <w:sz w:val="24"/>
      <w:szCs w:val="20"/>
    </w:rPr>
  </w:style>
  <w:style w:type="character" w:styleId="11">
    <w:name w:val="page number"/>
    <w:semiHidden/>
    <w:unhideWhenUsed/>
    <w:qFormat/>
    <w:uiPriority w:val="99"/>
  </w:style>
  <w:style w:type="character" w:styleId="12">
    <w:name w:val="footnote reference"/>
    <w:semiHidden/>
    <w:qFormat/>
    <w:uiPriority w:val="99"/>
    <w:rPr>
      <w:rFonts w:cs="Times New Roman"/>
      <w:vertAlign w:val="superscript"/>
    </w:rPr>
  </w:style>
  <w:style w:type="character" w:customStyle="1" w:styleId="13">
    <w:name w:val="页眉 Char"/>
    <w:link w:val="4"/>
    <w:qFormat/>
    <w:locked/>
    <w:uiPriority w:val="99"/>
    <w:rPr>
      <w:rFonts w:ascii="Times New Roman" w:hAnsi="Times New Roman" w:eastAsia="宋体" w:cs="Times New Roman"/>
      <w:sz w:val="18"/>
      <w:szCs w:val="18"/>
    </w:rPr>
  </w:style>
  <w:style w:type="character" w:customStyle="1" w:styleId="14">
    <w:name w:val="页脚 Char"/>
    <w:link w:val="3"/>
    <w:qFormat/>
    <w:locked/>
    <w:uiPriority w:val="99"/>
    <w:rPr>
      <w:rFonts w:ascii="Times New Roman" w:hAnsi="Times New Roman" w:eastAsia="宋体" w:cs="Times New Roman"/>
      <w:sz w:val="18"/>
      <w:szCs w:val="18"/>
    </w:rPr>
  </w:style>
  <w:style w:type="character" w:customStyle="1" w:styleId="15">
    <w:name w:val="批注框文本 Char"/>
    <w:link w:val="2"/>
    <w:semiHidden/>
    <w:qFormat/>
    <w:locked/>
    <w:uiPriority w:val="99"/>
    <w:rPr>
      <w:rFonts w:cs="Times New Roman"/>
      <w:sz w:val="18"/>
      <w:szCs w:val="18"/>
    </w:rPr>
  </w:style>
  <w:style w:type="paragraph" w:customStyle="1" w:styleId="16">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7">
    <w:name w:val="脚注文本 Char"/>
    <w:link w:val="6"/>
    <w:semiHidden/>
    <w:qFormat/>
    <w:locked/>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19</Pages>
  <Words>1247</Words>
  <Characters>7109</Characters>
  <Lines>59</Lines>
  <Paragraphs>16</Paragraphs>
  <TotalTime>0</TotalTime>
  <ScaleCrop>false</ScaleCrop>
  <LinksUpToDate>false</LinksUpToDate>
  <CharactersWithSpaces>8340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2020-02-12T07:23:00Z</dcterms:created>
  <dc:creator>guest</dc:creator>
  <cp:lastModifiedBy>111</cp:lastModifiedBy>
  <cp:lastPrinted>2019-02-18T02:45:00Z</cp:lastPrinted>
  <dcterms:modified xsi:type="dcterms:W3CDTF">2024-07-12T08:53:20Z</dcterms:modified>
  <dc:title>廊坊市广阳区科学技术局2020年部门预算信息公开情况说明</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17F4D28C0E79456F81CEC2A2213F04E7</vt:lpwstr>
  </property>
</Properties>
</file>