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b/>
          <w:sz w:val="44"/>
          <w:szCs w:val="44"/>
        </w:rPr>
        <w:t>廊坊市广阳区审计局</w:t>
      </w:r>
    </w:p>
    <w:p/>
    <w:p/>
    <w:p>
      <w:pPr>
        <w:widowControl/>
        <w:jc w:val="center"/>
        <w:rPr>
          <w:rFonts w:ascii="黑体" w:eastAsia="黑体"/>
          <w:color w:val="000000"/>
          <w:sz w:val="72"/>
          <w:szCs w:val="72"/>
        </w:rPr>
      </w:pPr>
    </w:p>
    <w:p>
      <w:pPr>
        <w:widowControl/>
        <w:jc w:val="center"/>
        <w:rPr>
          <w:rFonts w:ascii="黑体" w:eastAsia="黑体"/>
          <w:color w:val="000000"/>
          <w:sz w:val="72"/>
          <w:szCs w:val="72"/>
        </w:rPr>
      </w:pPr>
    </w:p>
    <w:p>
      <w:pPr>
        <w:widowControl/>
        <w:jc w:val="center"/>
        <w:rPr>
          <w:rFonts w:ascii="黑体" w:eastAsia="黑体"/>
          <w:color w:val="000000"/>
          <w:sz w:val="72"/>
          <w:szCs w:val="72"/>
        </w:rPr>
      </w:pPr>
    </w:p>
    <w:p>
      <w:pPr>
        <w:widowControl/>
        <w:jc w:val="center"/>
        <w:rPr>
          <w:color w:val="000000"/>
          <w:sz w:val="72"/>
          <w:szCs w:val="72"/>
        </w:rPr>
      </w:pPr>
      <w:r>
        <w:rPr>
          <w:rFonts w:hint="eastAsia" w:ascii="黑体" w:eastAsia="黑体"/>
          <w:color w:val="000000"/>
          <w:sz w:val="72"/>
          <w:szCs w:val="72"/>
        </w:rPr>
        <w:t>第一部分  部门概况</w:t>
      </w:r>
    </w:p>
    <w:p/>
    <w:p/>
    <w:p/>
    <w:p/>
    <w:p/>
    <w:p/>
    <w:p/>
    <w:p/>
    <w:p/>
    <w:p/>
    <w:p/>
    <w:p>
      <w:pPr>
        <w:pStyle w:val="2"/>
        <w:spacing w:before="0" w:after="0" w:line="240" w:lineRule="auto"/>
        <w:ind w:firstLine="800" w:firstLineChars="25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和省、市、区相关重大政策措施贯彻落实情况进行跟踪审计。对审计、专项审计调查和核查社会审计机构相关审计报告的结果承担责任，并负有督促被审计单位整改的责任。</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二）贯彻执行审计法律、法规和方针、政策，制定审计规范性文件并监督执行；制定并组织实施全区审计工作发展规划和专业领域审计工作规划；制定并组织实施全区年度审计计划；上报、调整年度审计项目计划；对直接审计、调查和核查的事项依法进行审计评价，作出审计决定或提出审计建议。</w:t>
      </w:r>
    </w:p>
    <w:p>
      <w:pPr>
        <w:snapToGrid w:val="0"/>
        <w:spacing w:line="30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三）向中共廊坊市广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pPr>
        <w:pStyle w:val="21"/>
        <w:widowControl/>
        <w:snapToGrid w:val="0"/>
        <w:spacing w:line="300" w:lineRule="auto"/>
        <w:jc w:val="both"/>
        <w:rPr>
          <w:rFonts w:ascii="仿宋_GB2312" w:eastAsia="仿宋_GB2312" w:cs="仿宋_GB2312"/>
          <w:sz w:val="32"/>
          <w:szCs w:val="32"/>
        </w:rPr>
      </w:pPr>
      <w:r>
        <w:rPr>
          <w:rFonts w:hint="eastAsia" w:ascii="仿宋_GB2312" w:eastAsia="仿宋_GB2312" w:cs="仿宋_GB2312"/>
          <w:sz w:val="32"/>
          <w:szCs w:val="32"/>
        </w:rPr>
        <w:t xml:space="preserve">    （四）直接审计下列事项，出具审计报告，在法定职权范围内作出审计决定，包括国家和省、市、区有关重大政策措施贯彻落实情况；区本级预算执行、决算草案和其他财政收支，区直各部门（含所属单位）预算执行情况、决算和其他财政收支，乡级政府及街道办事处预算执行情况、决算和其他财政收支，区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w:t>
      </w:r>
    </w:p>
    <w:p>
      <w:pPr>
        <w:snapToGrid w:val="0"/>
        <w:spacing w:line="30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（五）按规定对区管党政主要领导干部及其他单位主要负责人实施经济责任审计和自然资源资产离任审计。</w:t>
      </w:r>
    </w:p>
    <w:p>
      <w:pPr>
        <w:snapToGrid w:val="0"/>
        <w:spacing w:line="30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（六）组织实施对财经法律法规、规章、政策和宏观调控措施执行情况、财政预算管理及国有资产管理使用等与财政收支有关的特定事项进行专项审计调查。</w:t>
      </w:r>
    </w:p>
    <w:p>
      <w:pPr>
        <w:snapToGrid w:val="0"/>
        <w:spacing w:line="30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（七）依法检查审计决定执行情况，督促整改审计查出的问题，依法办理被审计单位对审计决定提请行政复议、行政诉讼或区政府裁决中的有关事项，协助配合有关部门查处相关重大案件。</w:t>
      </w:r>
    </w:p>
    <w:p>
      <w:pPr>
        <w:snapToGrid w:val="0"/>
        <w:spacing w:line="30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（八）指导和监督内部审计工作，核查社会审计机构对依法属于审计监督对象的单位出具的相关审计报告。</w:t>
      </w:r>
    </w:p>
    <w:p>
      <w:pPr>
        <w:snapToGrid w:val="0"/>
        <w:spacing w:line="30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（九）组织开展审计领域的交流与合作，指导和推广信息技术在审计领域的应用。</w:t>
      </w:r>
    </w:p>
    <w:p>
      <w:pPr>
        <w:ind w:firstLine="609"/>
      </w:pPr>
      <w:r>
        <w:rPr>
          <w:rFonts w:hint="eastAsia" w:ascii="仿宋_GB2312" w:eastAsia="仿宋_GB2312" w:cs="仿宋_GB2312"/>
          <w:sz w:val="32"/>
          <w:szCs w:val="32"/>
        </w:rPr>
        <w:t>（十）完成区委、区政府和市审计局交办的其他任务。</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w:t>
      </w:r>
      <w:r>
        <w:rPr>
          <w:rFonts w:ascii="仿宋_GB2312" w:eastAsia="仿宋_GB2312" w:cs="ArialUnicodeMS"/>
          <w:kern w:val="0"/>
          <w:sz w:val="32"/>
          <w:szCs w:val="32"/>
        </w:rPr>
        <w:t>1</w:t>
      </w:r>
      <w:r>
        <w:rPr>
          <w:rFonts w:hint="eastAsia" w:ascii="仿宋_GB2312" w:eastAsia="仿宋_GB2312" w:cs="ArialUnicodeMS"/>
          <w:kern w:val="0"/>
          <w:sz w:val="32"/>
          <w:szCs w:val="32"/>
        </w:rPr>
        <w:t>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after="0" w:line="560" w:lineRule="exact"/>
              <w:rPr>
                <w:rFonts w:ascii="仿宋_GB2312" w:eastAsia="仿宋_GB2312" w:cs="ArialUnicodeMS"/>
                <w:kern w:val="0"/>
                <w:sz w:val="28"/>
                <w:szCs w:val="28"/>
              </w:rPr>
            </w:pPr>
            <w:r>
              <w:rPr>
                <w:rFonts w:ascii="仿宋_GB2312" w:eastAsia="仿宋_GB2312" w:cs="ArialUnicodeMS"/>
                <w:kern w:val="0"/>
                <w:sz w:val="28"/>
                <w:szCs w:val="28"/>
              </w:rPr>
              <w:t>廊坊市广阳区审计局</w:t>
            </w:r>
          </w:p>
        </w:tc>
        <w:tc>
          <w:tcPr>
            <w:tcW w:w="244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行政单位</w:t>
            </w:r>
          </w:p>
        </w:tc>
        <w:tc>
          <w:tcPr>
            <w:tcW w:w="266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w:t>
      </w:r>
      <w:r>
        <w:rPr>
          <w:rFonts w:ascii="仿宋_GB2312" w:eastAsia="仿宋_GB2312" w:cs="DengXian-Regular"/>
          <w:sz w:val="32"/>
          <w:szCs w:val="32"/>
        </w:rPr>
        <w:t>464.15</w:t>
      </w:r>
      <w:r>
        <w:rPr>
          <w:rFonts w:hint="eastAsia" w:ascii="仿宋_GB2312" w:eastAsia="仿宋_GB2312" w:cs="DengXian-Regular"/>
          <w:sz w:val="32"/>
          <w:szCs w:val="32"/>
        </w:rPr>
        <w:t>万元。与2017年度决算相比，收支各增加</w:t>
      </w:r>
      <w:r>
        <w:rPr>
          <w:rFonts w:ascii="仿宋_GB2312" w:eastAsia="仿宋_GB2312" w:cs="DengXian-Regular"/>
          <w:sz w:val="32"/>
          <w:szCs w:val="32"/>
        </w:rPr>
        <w:t>154.69</w:t>
      </w:r>
      <w:r>
        <w:rPr>
          <w:rFonts w:hint="eastAsia" w:ascii="仿宋_GB2312" w:eastAsia="仿宋_GB2312" w:cs="DengXian-Regular"/>
          <w:sz w:val="32"/>
          <w:szCs w:val="32"/>
        </w:rPr>
        <w:t>万元，增长</w:t>
      </w:r>
      <w:r>
        <w:rPr>
          <w:rFonts w:ascii="仿宋_GB2312" w:eastAsia="仿宋_GB2312" w:cs="DengXian-Regular"/>
          <w:sz w:val="32"/>
          <w:szCs w:val="32"/>
        </w:rPr>
        <w:t>50.0</w:t>
      </w:r>
      <w:r>
        <w:rPr>
          <w:rFonts w:hint="eastAsia" w:ascii="仿宋_GB2312" w:eastAsia="仿宋_GB2312" w:cs="DengXian-Regular"/>
          <w:sz w:val="32"/>
          <w:szCs w:val="32"/>
        </w:rPr>
        <w:t>%，主要原因是</w:t>
      </w:r>
      <w:r>
        <w:rPr>
          <w:rFonts w:ascii="仿宋_GB2312" w:eastAsia="仿宋_GB2312" w:cs="DengXian-Regular"/>
          <w:sz w:val="32"/>
          <w:szCs w:val="32"/>
        </w:rPr>
        <w:t>工资调整、新增办公场所物业管理费、</w:t>
      </w:r>
      <w:r>
        <w:rPr>
          <w:rFonts w:ascii="仿宋_GB2312" w:eastAsia="仿宋_GB2312" w:cs="宋体"/>
          <w:color w:val="000000"/>
          <w:kern w:val="0"/>
          <w:sz w:val="32"/>
          <w:szCs w:val="32"/>
        </w:rPr>
        <w:t>新建投资审计平台费用支出</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pPr>
      <w:r>
        <w:rPr>
          <w:rFonts w:hint="eastAsia" w:ascii="仿宋_GB2312" w:eastAsia="仿宋_GB2312" w:cs="DengXian-Regular"/>
          <w:sz w:val="32"/>
          <w:szCs w:val="32"/>
        </w:rPr>
        <w:t>本部门2018年度本年收入合计</w:t>
      </w:r>
      <w:r>
        <w:rPr>
          <w:rFonts w:ascii="仿宋_GB2312" w:eastAsia="仿宋_GB2312" w:cs="DengXian-Regular"/>
          <w:sz w:val="32"/>
          <w:szCs w:val="32"/>
        </w:rPr>
        <w:t>464.15</w:t>
      </w:r>
      <w:r>
        <w:rPr>
          <w:rFonts w:hint="eastAsia" w:ascii="仿宋_GB2312" w:eastAsia="仿宋_GB2312" w:cs="DengXian-Regular"/>
          <w:sz w:val="32"/>
          <w:szCs w:val="32"/>
        </w:rPr>
        <w:t>万元，其中：财政拨款收入</w:t>
      </w:r>
      <w:r>
        <w:rPr>
          <w:rFonts w:ascii="仿宋_GB2312" w:eastAsia="仿宋_GB2312" w:cs="DengXian-Regular"/>
          <w:sz w:val="32"/>
          <w:szCs w:val="32"/>
        </w:rPr>
        <w:t>419.46</w:t>
      </w:r>
      <w:r>
        <w:rPr>
          <w:rFonts w:hint="eastAsia" w:ascii="仿宋_GB2312" w:eastAsia="仿宋_GB2312" w:cs="DengXian-Regular"/>
          <w:sz w:val="32"/>
          <w:szCs w:val="32"/>
        </w:rPr>
        <w:t>万元，占</w:t>
      </w:r>
      <w:r>
        <w:rPr>
          <w:rFonts w:ascii="仿宋_GB2312" w:eastAsia="仿宋_GB2312" w:cs="DengXian-Regular"/>
          <w:sz w:val="32"/>
          <w:szCs w:val="32"/>
        </w:rPr>
        <w:t>90.4</w:t>
      </w:r>
      <w:r>
        <w:rPr>
          <w:rFonts w:hint="eastAsia" w:ascii="仿宋_GB2312" w:eastAsia="仿宋_GB2312" w:cs="DengXian-Regular"/>
          <w:sz w:val="32"/>
          <w:szCs w:val="32"/>
        </w:rPr>
        <w:t>%；其他收入</w:t>
      </w:r>
      <w:r>
        <w:rPr>
          <w:rFonts w:ascii="仿宋_GB2312" w:eastAsia="仿宋_GB2312" w:cs="DengXian-Regular"/>
          <w:sz w:val="32"/>
          <w:szCs w:val="32"/>
        </w:rPr>
        <w:t>44.69</w:t>
      </w:r>
      <w:r>
        <w:rPr>
          <w:rFonts w:hint="eastAsia" w:ascii="仿宋_GB2312" w:eastAsia="仿宋_GB2312" w:cs="DengXian-Regular"/>
          <w:sz w:val="32"/>
          <w:szCs w:val="32"/>
        </w:rPr>
        <w:t>万元，占</w:t>
      </w:r>
      <w:r>
        <w:rPr>
          <w:rFonts w:ascii="仿宋_GB2312" w:eastAsia="仿宋_GB2312" w:cs="DengXian-Regular"/>
          <w:sz w:val="32"/>
          <w:szCs w:val="32"/>
        </w:rPr>
        <w:t>9.6</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ascii="仿宋_GB2312" w:eastAsia="仿宋_GB2312" w:cs="DengXian-Regular"/>
          <w:sz w:val="32"/>
          <w:szCs w:val="32"/>
        </w:rPr>
        <w:t>464.15</w:t>
      </w:r>
      <w:r>
        <w:rPr>
          <w:rFonts w:hint="eastAsia" w:ascii="仿宋_GB2312" w:eastAsia="仿宋_GB2312" w:cs="DengXian-Regular"/>
          <w:sz w:val="32"/>
          <w:szCs w:val="32"/>
        </w:rPr>
        <w:t>万元，其中：基本支出</w:t>
      </w:r>
      <w:r>
        <w:rPr>
          <w:rFonts w:ascii="仿宋_GB2312" w:eastAsia="仿宋_GB2312" w:cs="DengXian-Regular"/>
          <w:sz w:val="32"/>
          <w:szCs w:val="32"/>
        </w:rPr>
        <w:t>454.15</w:t>
      </w:r>
      <w:r>
        <w:rPr>
          <w:rFonts w:hint="eastAsia" w:ascii="仿宋_GB2312" w:eastAsia="仿宋_GB2312" w:cs="DengXian-Regular"/>
          <w:sz w:val="32"/>
          <w:szCs w:val="32"/>
        </w:rPr>
        <w:t>万元，占</w:t>
      </w:r>
      <w:r>
        <w:rPr>
          <w:rFonts w:ascii="仿宋_GB2312" w:eastAsia="仿宋_GB2312" w:cs="DengXian-Regular"/>
          <w:sz w:val="32"/>
          <w:szCs w:val="32"/>
        </w:rPr>
        <w:t>97.8</w:t>
      </w:r>
      <w:r>
        <w:rPr>
          <w:rFonts w:hint="eastAsia" w:ascii="仿宋_GB2312" w:eastAsia="仿宋_GB2312" w:cs="DengXian-Regular"/>
          <w:sz w:val="32"/>
          <w:szCs w:val="32"/>
        </w:rPr>
        <w:t>%；项目支出</w:t>
      </w:r>
      <w:r>
        <w:rPr>
          <w:rFonts w:ascii="仿宋_GB2312" w:eastAsia="仿宋_GB2312" w:cs="DengXian-Regular"/>
          <w:sz w:val="32"/>
          <w:szCs w:val="32"/>
        </w:rPr>
        <w:t>10</w:t>
      </w:r>
      <w:r>
        <w:rPr>
          <w:rFonts w:hint="eastAsia" w:ascii="仿宋_GB2312" w:eastAsia="仿宋_GB2312" w:cs="DengXian-Regular"/>
          <w:sz w:val="32"/>
          <w:szCs w:val="32"/>
        </w:rPr>
        <w:t>万元，占</w:t>
      </w:r>
      <w:r>
        <w:rPr>
          <w:rFonts w:ascii="仿宋_GB2312" w:eastAsia="仿宋_GB2312" w:cs="DengXian-Regular"/>
          <w:sz w:val="32"/>
          <w:szCs w:val="32"/>
        </w:rPr>
        <w:t>2.2</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w:t>
      </w:r>
      <w:r>
        <w:rPr>
          <w:rFonts w:ascii="仿宋_GB2312" w:eastAsia="仿宋_GB2312" w:cs="DengXian-Regular"/>
          <w:sz w:val="32"/>
          <w:szCs w:val="32"/>
        </w:rPr>
        <w:t>419.46</w:t>
      </w:r>
      <w:r>
        <w:rPr>
          <w:rFonts w:hint="eastAsia" w:ascii="仿宋_GB2312" w:eastAsia="仿宋_GB2312" w:cs="DengXian-Regular"/>
          <w:sz w:val="32"/>
          <w:szCs w:val="32"/>
        </w:rPr>
        <w:t>万元,比2017年度增加</w:t>
      </w:r>
      <w:r>
        <w:rPr>
          <w:rFonts w:ascii="仿宋_GB2312" w:eastAsia="仿宋_GB2312" w:cs="DengXian-Regular"/>
          <w:sz w:val="32"/>
          <w:szCs w:val="32"/>
        </w:rPr>
        <w:t>124.63</w:t>
      </w:r>
      <w:r>
        <w:rPr>
          <w:rFonts w:hint="eastAsia" w:ascii="仿宋_GB2312" w:eastAsia="仿宋_GB2312" w:cs="DengXian-Regular"/>
          <w:sz w:val="32"/>
          <w:szCs w:val="32"/>
        </w:rPr>
        <w:t>万元，增长</w:t>
      </w:r>
      <w:r>
        <w:rPr>
          <w:rFonts w:ascii="仿宋_GB2312" w:eastAsia="仿宋_GB2312" w:cs="DengXian-Regular"/>
          <w:sz w:val="32"/>
          <w:szCs w:val="32"/>
        </w:rPr>
        <w:t>42.3</w:t>
      </w:r>
      <w:r>
        <w:rPr>
          <w:rFonts w:hint="eastAsia" w:ascii="仿宋_GB2312" w:eastAsia="仿宋_GB2312" w:cs="DengXian-Regular"/>
          <w:sz w:val="32"/>
          <w:szCs w:val="32"/>
        </w:rPr>
        <w:t>%，主要原因是</w:t>
      </w:r>
      <w:r>
        <w:rPr>
          <w:rFonts w:ascii="仿宋_GB2312" w:eastAsia="仿宋_GB2312" w:cs="DengXian-Regular"/>
          <w:sz w:val="32"/>
          <w:szCs w:val="32"/>
        </w:rPr>
        <w:t>工资调整、新增办公场所物业管理费、</w:t>
      </w:r>
      <w:r>
        <w:rPr>
          <w:rFonts w:ascii="仿宋_GB2312" w:eastAsia="仿宋_GB2312" w:cs="宋体"/>
          <w:color w:val="000000"/>
          <w:kern w:val="0"/>
          <w:sz w:val="32"/>
          <w:szCs w:val="32"/>
        </w:rPr>
        <w:t>新建投资审计平台费用支出</w:t>
      </w:r>
      <w:r>
        <w:rPr>
          <w:rFonts w:hint="eastAsia" w:ascii="仿宋_GB2312" w:eastAsia="仿宋_GB2312" w:cs="DengXian-Regular"/>
          <w:sz w:val="32"/>
          <w:szCs w:val="32"/>
        </w:rPr>
        <w:t>；本年支出</w:t>
      </w:r>
      <w:r>
        <w:rPr>
          <w:rFonts w:ascii="仿宋_GB2312" w:eastAsia="仿宋_GB2312" w:cs="DengXian-Regular"/>
          <w:sz w:val="32"/>
          <w:szCs w:val="32"/>
        </w:rPr>
        <w:t>419.46</w:t>
      </w:r>
      <w:r>
        <w:rPr>
          <w:rFonts w:hint="eastAsia" w:ascii="仿宋_GB2312" w:eastAsia="仿宋_GB2312" w:cs="DengXian-Regular"/>
          <w:sz w:val="32"/>
          <w:szCs w:val="32"/>
        </w:rPr>
        <w:t>万元，增加</w:t>
      </w:r>
      <w:r>
        <w:rPr>
          <w:rFonts w:ascii="仿宋_GB2312" w:eastAsia="仿宋_GB2312" w:cs="DengXian-Regular"/>
          <w:sz w:val="32"/>
          <w:szCs w:val="32"/>
        </w:rPr>
        <w:t>124.63</w:t>
      </w:r>
      <w:r>
        <w:rPr>
          <w:rFonts w:hint="eastAsia" w:ascii="仿宋_GB2312" w:eastAsia="仿宋_GB2312" w:cs="DengXian-Regular"/>
          <w:sz w:val="32"/>
          <w:szCs w:val="32"/>
        </w:rPr>
        <w:t>万元，增长</w:t>
      </w:r>
      <w:r>
        <w:rPr>
          <w:rFonts w:ascii="仿宋_GB2312" w:eastAsia="仿宋_GB2312" w:cs="DengXian-Regular"/>
          <w:sz w:val="32"/>
          <w:szCs w:val="32"/>
        </w:rPr>
        <w:t>42.3</w:t>
      </w:r>
      <w:r>
        <w:rPr>
          <w:rFonts w:hint="eastAsia" w:ascii="仿宋_GB2312" w:eastAsia="仿宋_GB2312" w:cs="DengXian-Regular"/>
          <w:sz w:val="32"/>
          <w:szCs w:val="32"/>
        </w:rPr>
        <w:t>%，主要原因是</w:t>
      </w:r>
      <w:r>
        <w:rPr>
          <w:rFonts w:ascii="仿宋_GB2312" w:eastAsia="仿宋_GB2312" w:cs="DengXian-Regular"/>
          <w:sz w:val="32"/>
          <w:szCs w:val="32"/>
        </w:rPr>
        <w:t>工资调整、新增办公场所物业管理费、</w:t>
      </w:r>
      <w:r>
        <w:rPr>
          <w:rFonts w:ascii="仿宋_GB2312" w:eastAsia="仿宋_GB2312" w:cs="宋体"/>
          <w:color w:val="000000"/>
          <w:kern w:val="0"/>
          <w:sz w:val="32"/>
          <w:szCs w:val="32"/>
        </w:rPr>
        <w:t>新建投资审计平台费用支出</w:t>
      </w:r>
      <w:r>
        <w:rPr>
          <w:rFonts w:hint="eastAsia" w:ascii="仿宋_GB2312" w:eastAsia="仿宋_GB2312" w:cs="DengXian-Regular"/>
          <w:sz w:val="32"/>
          <w:szCs w:val="32"/>
        </w:rPr>
        <w:t>。</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w:t>
      </w:r>
      <w:r>
        <w:rPr>
          <w:rFonts w:ascii="仿宋_GB2312" w:eastAsia="仿宋_GB2312" w:cs="DengXian-Regular"/>
          <w:sz w:val="32"/>
          <w:szCs w:val="32"/>
        </w:rPr>
        <w:t>419.46</w:t>
      </w:r>
      <w:r>
        <w:rPr>
          <w:rFonts w:hint="eastAsia" w:ascii="仿宋_GB2312" w:eastAsia="仿宋_GB2312" w:cs="DengXian-Regular"/>
          <w:sz w:val="32"/>
          <w:szCs w:val="32"/>
        </w:rPr>
        <w:t>万元，完成年初预算的</w:t>
      </w:r>
      <w:r>
        <w:rPr>
          <w:rFonts w:ascii="仿宋_GB2312" w:eastAsia="仿宋_GB2312" w:cs="DengXian-Regular"/>
          <w:sz w:val="32"/>
          <w:szCs w:val="32"/>
        </w:rPr>
        <w:t>122.9</w:t>
      </w:r>
      <w:r>
        <w:rPr>
          <w:rFonts w:hint="eastAsia" w:ascii="仿宋_GB2312" w:eastAsia="仿宋_GB2312" w:cs="DengXian-Regular"/>
          <w:sz w:val="32"/>
          <w:szCs w:val="32"/>
        </w:rPr>
        <w:t>%,比年初预算增加</w:t>
      </w:r>
      <w:r>
        <w:rPr>
          <w:rFonts w:ascii="仿宋_GB2312" w:eastAsia="仿宋_GB2312" w:cs="DengXian-Regular"/>
          <w:sz w:val="32"/>
          <w:szCs w:val="32"/>
        </w:rPr>
        <w:t>78.04</w:t>
      </w:r>
      <w:r>
        <w:rPr>
          <w:rFonts w:hint="eastAsia" w:ascii="仿宋_GB2312" w:eastAsia="仿宋_GB2312" w:cs="DengXian-Regular"/>
          <w:sz w:val="32"/>
          <w:szCs w:val="32"/>
        </w:rPr>
        <w:t>万元，决算数大于预算数，主要原因是</w:t>
      </w:r>
      <w:r>
        <w:rPr>
          <w:rFonts w:ascii="仿宋_GB2312" w:eastAsia="仿宋_GB2312" w:cs="DengXian-Regular"/>
          <w:sz w:val="32"/>
          <w:szCs w:val="32"/>
        </w:rPr>
        <w:t>工资调整、新增办公场所物业管理费、</w:t>
      </w:r>
      <w:r>
        <w:rPr>
          <w:rFonts w:ascii="仿宋_GB2312" w:eastAsia="仿宋_GB2312" w:cs="宋体"/>
          <w:color w:val="000000"/>
          <w:kern w:val="0"/>
          <w:sz w:val="32"/>
          <w:szCs w:val="32"/>
        </w:rPr>
        <w:t>新建投资审计平台费用支出</w:t>
      </w:r>
      <w:r>
        <w:rPr>
          <w:rFonts w:hint="eastAsia" w:ascii="仿宋_GB2312" w:eastAsia="仿宋_GB2312" w:cs="DengXian-Regular"/>
          <w:sz w:val="32"/>
          <w:szCs w:val="32"/>
        </w:rPr>
        <w:t>；本年支出</w:t>
      </w:r>
      <w:r>
        <w:rPr>
          <w:rFonts w:ascii="仿宋_GB2312" w:eastAsia="仿宋_GB2312" w:cs="DengXian-Regular"/>
          <w:sz w:val="32"/>
          <w:szCs w:val="32"/>
        </w:rPr>
        <w:t>419.46</w:t>
      </w:r>
      <w:r>
        <w:rPr>
          <w:rFonts w:hint="eastAsia" w:ascii="仿宋_GB2312" w:eastAsia="仿宋_GB2312" w:cs="DengXian-Regular"/>
          <w:sz w:val="32"/>
          <w:szCs w:val="32"/>
        </w:rPr>
        <w:t>万元，完成年初预算的</w:t>
      </w:r>
      <w:r>
        <w:rPr>
          <w:rFonts w:ascii="仿宋_GB2312" w:eastAsia="仿宋_GB2312" w:cs="DengXian-Regular"/>
          <w:sz w:val="32"/>
          <w:szCs w:val="32"/>
        </w:rPr>
        <w:t>122.9</w:t>
      </w:r>
      <w:r>
        <w:rPr>
          <w:rFonts w:hint="eastAsia" w:ascii="仿宋_GB2312" w:eastAsia="仿宋_GB2312" w:cs="DengXian-Regular"/>
          <w:sz w:val="32"/>
          <w:szCs w:val="32"/>
        </w:rPr>
        <w:t>%,比年初预算增加</w:t>
      </w:r>
      <w:r>
        <w:rPr>
          <w:rFonts w:ascii="仿宋_GB2312" w:eastAsia="仿宋_GB2312" w:cs="DengXian-Regular"/>
          <w:sz w:val="32"/>
          <w:szCs w:val="32"/>
        </w:rPr>
        <w:t>78.04</w:t>
      </w:r>
      <w:r>
        <w:rPr>
          <w:rFonts w:hint="eastAsia" w:ascii="仿宋_GB2312" w:eastAsia="仿宋_GB2312" w:cs="DengXian-Regular"/>
          <w:sz w:val="32"/>
          <w:szCs w:val="32"/>
        </w:rPr>
        <w:t>万元，决算数大于预算数，主要原因是</w:t>
      </w:r>
      <w:r>
        <w:rPr>
          <w:rFonts w:ascii="仿宋_GB2312" w:eastAsia="仿宋_GB2312" w:cs="DengXian-Regular"/>
          <w:sz w:val="32"/>
          <w:szCs w:val="32"/>
        </w:rPr>
        <w:t>工资调整、新增办公场所物业管理费、</w:t>
      </w:r>
      <w:r>
        <w:rPr>
          <w:rFonts w:ascii="仿宋_GB2312" w:eastAsia="仿宋_GB2312" w:cs="宋体"/>
          <w:color w:val="000000"/>
          <w:kern w:val="0"/>
          <w:sz w:val="32"/>
          <w:szCs w:val="32"/>
        </w:rPr>
        <w:t>新建投资审计平台费用支出</w:t>
      </w:r>
      <w:r>
        <w:rPr>
          <w:rFonts w:hint="eastAsia" w:ascii="仿宋_GB2312" w:eastAsia="仿宋_GB2312" w:cs="DengXian-Regular"/>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w:t>
      </w:r>
      <w:r>
        <w:rPr>
          <w:rFonts w:ascii="仿宋_GB2312" w:eastAsia="仿宋_GB2312" w:cs="DengXian-Regular"/>
          <w:sz w:val="32"/>
          <w:szCs w:val="32"/>
        </w:rPr>
        <w:t>419.46</w:t>
      </w:r>
      <w:r>
        <w:rPr>
          <w:rFonts w:hint="eastAsia" w:ascii="仿宋_GB2312" w:eastAsia="仿宋_GB2312" w:cs="DengXian-Regular"/>
          <w:sz w:val="32"/>
          <w:szCs w:val="32"/>
        </w:rPr>
        <w:t>万元，主要用于以下方面</w:t>
      </w:r>
      <w:r>
        <w:rPr>
          <w:rFonts w:ascii="仿宋_GB2312" w:eastAsia="仿宋_GB2312" w:cs="DengXian-Regular"/>
          <w:sz w:val="32"/>
          <w:szCs w:val="32"/>
        </w:rPr>
        <w:t>：</w:t>
      </w:r>
      <w:r>
        <w:rPr>
          <w:rFonts w:hint="eastAsia" w:ascii="仿宋_GB2312" w:eastAsia="仿宋_GB2312" w:cs="DengXian-Regular"/>
          <w:sz w:val="32"/>
          <w:szCs w:val="32"/>
        </w:rPr>
        <w:t>一般公共服务（类）支出</w:t>
      </w:r>
      <w:r>
        <w:rPr>
          <w:rFonts w:ascii="仿宋_GB2312" w:eastAsia="仿宋_GB2312" w:cs="DengXian-Regular"/>
          <w:sz w:val="32"/>
          <w:szCs w:val="32"/>
        </w:rPr>
        <w:t>328.29</w:t>
      </w:r>
      <w:r>
        <w:rPr>
          <w:rFonts w:hint="eastAsia" w:ascii="仿宋_GB2312" w:eastAsia="仿宋_GB2312" w:cs="DengXian-Regular"/>
          <w:sz w:val="32"/>
          <w:szCs w:val="32"/>
        </w:rPr>
        <w:t>万元，占</w:t>
      </w:r>
      <w:r>
        <w:rPr>
          <w:rFonts w:ascii="仿宋_GB2312" w:eastAsia="仿宋_GB2312" w:cs="DengXian-Regular"/>
          <w:sz w:val="32"/>
          <w:szCs w:val="32"/>
        </w:rPr>
        <w:t>78.3</w:t>
      </w:r>
      <w:r>
        <w:rPr>
          <w:rFonts w:hint="eastAsia" w:ascii="仿宋_GB2312" w:eastAsia="仿宋_GB2312" w:cs="DengXian-Regular"/>
          <w:sz w:val="32"/>
          <w:szCs w:val="32"/>
        </w:rPr>
        <w:t>%；社会保障和就业（类）支出</w:t>
      </w:r>
      <w:r>
        <w:rPr>
          <w:rFonts w:ascii="仿宋_GB2312" w:eastAsia="仿宋_GB2312" w:cs="DengXian-Regular"/>
          <w:sz w:val="32"/>
          <w:szCs w:val="32"/>
        </w:rPr>
        <w:t>63.91</w:t>
      </w:r>
      <w:r>
        <w:rPr>
          <w:rFonts w:hint="eastAsia" w:ascii="仿宋_GB2312" w:eastAsia="仿宋_GB2312" w:cs="DengXian-Regular"/>
          <w:sz w:val="32"/>
          <w:szCs w:val="32"/>
        </w:rPr>
        <w:t>万元，占</w:t>
      </w:r>
      <w:r>
        <w:rPr>
          <w:rFonts w:ascii="仿宋_GB2312" w:eastAsia="仿宋_GB2312" w:cs="DengXian-Regular"/>
          <w:sz w:val="32"/>
          <w:szCs w:val="32"/>
        </w:rPr>
        <w:t>15.2</w:t>
      </w:r>
      <w:r>
        <w:rPr>
          <w:rFonts w:hint="eastAsia" w:ascii="仿宋_GB2312" w:eastAsia="仿宋_GB2312" w:cs="DengXian-Regular"/>
          <w:sz w:val="32"/>
          <w:szCs w:val="32"/>
        </w:rPr>
        <w:t>%；</w:t>
      </w:r>
      <w:r>
        <w:rPr>
          <w:rFonts w:ascii="仿宋_GB2312" w:eastAsia="仿宋_GB2312" w:cs="DengXian-Regular"/>
          <w:sz w:val="32"/>
          <w:szCs w:val="32"/>
        </w:rPr>
        <w:t>医疗卫生与计划生育（类）支出10.26万元，占2.</w:t>
      </w:r>
      <w:r>
        <w:rPr>
          <w:rFonts w:hint="eastAsia" w:ascii="仿宋_GB2312" w:eastAsia="仿宋_GB2312" w:cs="DengXian-Regular"/>
          <w:sz w:val="32"/>
          <w:szCs w:val="32"/>
        </w:rPr>
        <w:t>5%</w:t>
      </w:r>
      <w:r>
        <w:rPr>
          <w:rFonts w:ascii="仿宋_GB2312" w:eastAsia="仿宋_GB2312" w:cs="DengXian-Regular"/>
          <w:sz w:val="32"/>
          <w:szCs w:val="32"/>
        </w:rPr>
        <w:t>；</w:t>
      </w:r>
      <w:r>
        <w:rPr>
          <w:rFonts w:hint="eastAsia" w:ascii="仿宋_GB2312" w:eastAsia="仿宋_GB2312" w:cs="DengXian-Regular"/>
          <w:sz w:val="32"/>
          <w:szCs w:val="32"/>
        </w:rPr>
        <w:t>住房保障（类）支出</w:t>
      </w:r>
      <w:r>
        <w:rPr>
          <w:rFonts w:ascii="仿宋_GB2312" w:eastAsia="仿宋_GB2312" w:cs="DengXian-Regular"/>
          <w:sz w:val="32"/>
          <w:szCs w:val="32"/>
        </w:rPr>
        <w:t>17</w:t>
      </w:r>
      <w:r>
        <w:rPr>
          <w:rFonts w:hint="eastAsia" w:ascii="仿宋_GB2312" w:eastAsia="仿宋_GB2312" w:cs="DengXian-Regular"/>
          <w:sz w:val="32"/>
          <w:szCs w:val="32"/>
        </w:rPr>
        <w:t>万元，占</w:t>
      </w:r>
      <w:r>
        <w:rPr>
          <w:rFonts w:ascii="仿宋_GB2312" w:eastAsia="仿宋_GB2312" w:cs="DengXian-Regular"/>
          <w:sz w:val="32"/>
          <w:szCs w:val="32"/>
        </w:rPr>
        <w:t>4.0</w:t>
      </w:r>
      <w:r>
        <w:rPr>
          <w:rFonts w:hint="eastAsia" w:ascii="仿宋_GB2312" w:eastAsia="仿宋_GB2312" w:cs="DengXian-Regular"/>
          <w:sz w:val="32"/>
          <w:szCs w:val="32"/>
        </w:rPr>
        <w:t>%。</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ascii="仿宋_GB2312" w:eastAsia="仿宋_GB2312" w:cs="DengXian-Regular"/>
          <w:sz w:val="32"/>
          <w:szCs w:val="32"/>
        </w:rPr>
        <w:t>409.46</w:t>
      </w:r>
      <w:r>
        <w:rPr>
          <w:rFonts w:hint="eastAsia" w:ascii="仿宋_GB2312" w:eastAsia="仿宋_GB2312" w:cs="DengXian-Regular"/>
          <w:sz w:val="32"/>
          <w:szCs w:val="32"/>
        </w:rPr>
        <w:t xml:space="preserve">万元，其中：人员经费 </w:t>
      </w:r>
      <w:r>
        <w:rPr>
          <w:rFonts w:ascii="仿宋_GB2312" w:eastAsia="仿宋_GB2312" w:cs="DengXian-Regular"/>
          <w:sz w:val="32"/>
          <w:szCs w:val="32"/>
        </w:rPr>
        <w:t>372.4</w:t>
      </w:r>
      <w:r>
        <w:rPr>
          <w:rFonts w:hint="eastAsia" w:ascii="仿宋_GB2312" w:eastAsia="仿宋_GB2312" w:cs="DengXian-Regular"/>
          <w:sz w:val="32"/>
          <w:szCs w:val="32"/>
        </w:rPr>
        <w:t>万元，主要包括基本工资、津贴补贴、奖金、机关事业单位基本养老保险缴费、职业年金缴费、住房公积金、其他社会保障缴费、其他工资福利支出、退休费等；公用经费</w:t>
      </w:r>
      <w:r>
        <w:rPr>
          <w:rFonts w:ascii="仿宋_GB2312" w:eastAsia="仿宋_GB2312" w:cs="DengXian-Regular"/>
          <w:sz w:val="32"/>
          <w:szCs w:val="32"/>
        </w:rPr>
        <w:t>37.06</w:t>
      </w:r>
      <w:r>
        <w:rPr>
          <w:rFonts w:hint="eastAsia" w:ascii="仿宋_GB2312" w:eastAsia="仿宋_GB2312" w:cs="DengXian-Regular"/>
          <w:sz w:val="32"/>
          <w:szCs w:val="32"/>
        </w:rPr>
        <w:t>万元，主要包括办公费、邮电费、物业管理费、差旅费、培训费、工会经费、公务用车运行维护费、其他商品和服务支出、办公设备购置等。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年度一般公共预算财政拨款“三公”经费支出共计0.69万元，</w:t>
      </w:r>
      <w:r>
        <w:rPr>
          <w:rFonts w:hint="eastAsia" w:eastAsia="仿宋_GB2312"/>
          <w:sz w:val="32"/>
          <w:szCs w:val="32"/>
        </w:rPr>
        <w:t>比</w:t>
      </w:r>
      <w:r>
        <w:rPr>
          <w:rFonts w:eastAsia="仿宋_GB2312"/>
          <w:sz w:val="32"/>
          <w:szCs w:val="32"/>
        </w:rPr>
        <w:t>年初预算减少1.61万元，降低70.0%，主要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我单位认真落实中央</w:t>
      </w:r>
      <w:bookmarkStart w:id="0" w:name="_GoBack"/>
      <w:bookmarkEnd w:id="0"/>
      <w:r>
        <w:rPr>
          <w:rFonts w:hint="eastAsia" w:eastAsia="仿宋_GB2312"/>
          <w:color w:val="000000"/>
          <w:kern w:val="0"/>
          <w:sz w:val="32"/>
          <w:szCs w:val="32"/>
        </w:rPr>
        <w:t>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年度决算增加0.39万元，增长130.0%，主要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管理制度不断完善，</w:t>
      </w:r>
      <w:r>
        <w:rPr>
          <w:rFonts w:eastAsia="仿宋_GB2312"/>
          <w:color w:val="000000"/>
          <w:kern w:val="0"/>
          <w:sz w:val="32"/>
          <w:szCs w:val="32"/>
        </w:rPr>
        <w:t>严格控制“</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w:t>
      </w:r>
      <w:r>
        <w:rPr>
          <w:rFonts w:eastAsia="仿宋_GB2312"/>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（二）公务用车购置及运行维护费支出0.69万元。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减少1.61万元</w:t>
      </w:r>
      <w:r>
        <w:rPr>
          <w:rFonts w:hint="eastAsia" w:ascii="仿宋_GB2312" w:eastAsia="仿宋_GB2312" w:cs="DengXian-Regular"/>
          <w:sz w:val="32"/>
          <w:szCs w:val="32"/>
        </w:rPr>
        <w:t>，</w:t>
      </w:r>
      <w:r>
        <w:rPr>
          <w:rFonts w:eastAsia="仿宋_GB2312"/>
          <w:sz w:val="32"/>
          <w:szCs w:val="32"/>
        </w:rPr>
        <w:t>降低70%</w:t>
      </w:r>
      <w:r>
        <w:rPr>
          <w:rFonts w:hint="eastAsia" w:ascii="仿宋_GB2312" w:eastAsia="仿宋_GB2312" w:cs="DengXian-Regular"/>
          <w:sz w:val="32"/>
          <w:szCs w:val="32"/>
        </w:rPr>
        <w:t>,主要原因是</w:t>
      </w:r>
      <w:r>
        <w:rPr>
          <w:rFonts w:hint="eastAsia" w:eastAsia="仿宋_GB2312"/>
          <w:color w:val="000000"/>
          <w:kern w:val="0"/>
          <w:sz w:val="32"/>
          <w:szCs w:val="32"/>
        </w:rPr>
        <w:t>我单位认真落实中央八项规定精神和厉行节约要求，管理制度不断完善，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年度决算增加0.39万元，增长130%，主要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管理制度不断完善，</w:t>
      </w:r>
      <w:r>
        <w:rPr>
          <w:rFonts w:eastAsia="仿宋_GB2312"/>
          <w:color w:val="000000"/>
          <w:kern w:val="0"/>
          <w:sz w:val="32"/>
          <w:szCs w:val="32"/>
        </w:rPr>
        <w:t>严格控制“</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w:t>
      </w:r>
      <w:r>
        <w:rPr>
          <w:rFonts w:eastAsia="仿宋_GB2312"/>
          <w:sz w:val="32"/>
          <w:szCs w:val="32"/>
        </w:rPr>
        <w:t>。</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公务用车运行维护费支出0.69万元。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年末单位公务用车保有量1辆。公车运行维护费支出</w:t>
      </w:r>
      <w:r>
        <w:rPr>
          <w:rFonts w:hint="eastAsia" w:eastAsia="仿宋_GB2312"/>
          <w:sz w:val="32"/>
          <w:szCs w:val="32"/>
        </w:rPr>
        <w:t>比</w:t>
      </w:r>
      <w:r>
        <w:rPr>
          <w:rFonts w:eastAsia="仿宋_GB2312"/>
          <w:sz w:val="32"/>
          <w:szCs w:val="32"/>
        </w:rPr>
        <w:t>年初预算减少1.61万元，降低70</w:t>
      </w:r>
      <w:r>
        <w:rPr>
          <w:rFonts w:hint="eastAsia" w:eastAsia="仿宋_GB2312"/>
          <w:sz w:val="32"/>
          <w:szCs w:val="32"/>
        </w:rPr>
        <w:t>.0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我单位认真落实中央八项规定精神和厉行节约要求，管理制度不断完善，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年度决算增加0.39万元，增长130%，主要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color w:val="000000"/>
          <w:kern w:val="0"/>
          <w:sz w:val="32"/>
          <w:szCs w:val="32"/>
        </w:rPr>
        <w:t>管理制度不断完善，</w:t>
      </w:r>
      <w:r>
        <w:rPr>
          <w:rFonts w:eastAsia="仿宋_GB2312"/>
          <w:color w:val="000000"/>
          <w:kern w:val="0"/>
          <w:sz w:val="32"/>
          <w:szCs w:val="32"/>
        </w:rPr>
        <w:t>严格控制“</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r>
        <w:rPr>
          <w:rFonts w:ascii="仿宋_GB2312" w:eastAsia="仿宋_GB2312" w:cs="DengXian-Regular"/>
          <w:sz w:val="32"/>
          <w:szCs w:val="32"/>
        </w:rPr>
        <w:t>根据绩效预算管理改革要求，本部门认真开展了预算绩效管理改革开展情况自查，对部门全面规范绩效预算编制、严格预算执行管理、推进绩效评价工作、推进预决算信息公开等方面进行了自评，考核结果为优秀。</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r>
        <w:rPr>
          <w:rFonts w:ascii="仿宋_GB2312" w:eastAsia="仿宋_GB2312" w:cs="DengXian-Regular"/>
          <w:sz w:val="32"/>
          <w:szCs w:val="32"/>
        </w:rPr>
        <w:t>根据预算绩效管理要求，本部门组织对2018 年度专项项目预算支出开展绩效自评。从评价情况看，项目评价结果为优秀。</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w:t>
      </w:r>
      <w:r>
        <w:rPr>
          <w:rFonts w:ascii="仿宋_GB2312" w:eastAsia="仿宋_GB2312" w:cs="DengXian-Regular"/>
          <w:sz w:val="32"/>
          <w:szCs w:val="32"/>
        </w:rPr>
        <w:t>。本单位无重点支出项目。</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shd w:val="solid" w:color="FFFF00" w:fill="FFFFFF"/>
        </w:rPr>
      </w:pPr>
      <w:r>
        <w:rPr>
          <w:rFonts w:hint="eastAsia" w:ascii="仿宋_GB2312" w:eastAsia="仿宋_GB2312" w:cs="DengXian-Regular"/>
          <w:sz w:val="32"/>
          <w:szCs w:val="32"/>
        </w:rPr>
        <w:t>本部门2018年度机关运行经费支出</w:t>
      </w:r>
      <w:r>
        <w:rPr>
          <w:rFonts w:ascii="仿宋_GB2312" w:eastAsia="仿宋_GB2312" w:cs="DengXian-Regular"/>
          <w:sz w:val="32"/>
          <w:szCs w:val="32"/>
        </w:rPr>
        <w:t>37.06</w:t>
      </w:r>
      <w:r>
        <w:rPr>
          <w:rFonts w:hint="eastAsia" w:ascii="仿宋_GB2312" w:eastAsia="仿宋_GB2312" w:cs="DengXian-Regular"/>
          <w:sz w:val="32"/>
          <w:szCs w:val="32"/>
        </w:rPr>
        <w:t>万元，比年初预算数增加</w:t>
      </w:r>
      <w:r>
        <w:rPr>
          <w:rFonts w:ascii="仿宋_GB2312" w:eastAsia="仿宋_GB2312" w:cs="DengXian-Regular"/>
          <w:sz w:val="32"/>
          <w:szCs w:val="32"/>
        </w:rPr>
        <w:t>9.71</w:t>
      </w:r>
      <w:r>
        <w:rPr>
          <w:rFonts w:hint="eastAsia" w:ascii="仿宋_GB2312" w:eastAsia="仿宋_GB2312" w:cs="DengXian-Regular"/>
          <w:sz w:val="32"/>
          <w:szCs w:val="32"/>
        </w:rPr>
        <w:t>万元，增长</w:t>
      </w:r>
      <w:r>
        <w:rPr>
          <w:rFonts w:eastAsia="仿宋_GB2312"/>
          <w:sz w:val="32"/>
          <w:szCs w:val="32"/>
        </w:rPr>
        <w:t>35.5%</w:t>
      </w:r>
      <w:r>
        <w:rPr>
          <w:rFonts w:hint="eastAsia" w:ascii="仿宋_GB2312" w:eastAsia="仿宋_GB2312" w:cs="DengXian-Regular"/>
          <w:sz w:val="32"/>
          <w:szCs w:val="32"/>
        </w:rPr>
        <w:t>。主要原因是</w:t>
      </w:r>
      <w:r>
        <w:rPr>
          <w:rFonts w:ascii="仿宋_GB2312" w:eastAsia="仿宋_GB2312" w:cs="DengXian-Regular"/>
          <w:sz w:val="32"/>
          <w:szCs w:val="32"/>
        </w:rPr>
        <w:t>新增办公场所物业管理费、</w:t>
      </w:r>
      <w:r>
        <w:rPr>
          <w:rFonts w:ascii="仿宋_GB2312" w:eastAsia="仿宋_GB2312" w:cs="宋体"/>
          <w:color w:val="000000"/>
          <w:kern w:val="0"/>
          <w:sz w:val="32"/>
          <w:szCs w:val="32"/>
        </w:rPr>
        <w:t>新建投资审计平台费用支出</w:t>
      </w:r>
      <w:r>
        <w:rPr>
          <w:rFonts w:hint="eastAsia" w:ascii="仿宋_GB2312" w:eastAsia="仿宋_GB2312" w:cs="DengXian-Regular"/>
          <w:sz w:val="32"/>
          <w:szCs w:val="32"/>
        </w:rPr>
        <w:t>。</w:t>
      </w:r>
      <w:r>
        <w:rPr>
          <w:rFonts w:eastAsia="仿宋_GB2312"/>
          <w:sz w:val="32"/>
          <w:szCs w:val="32"/>
        </w:rPr>
        <w:t>较201</w:t>
      </w:r>
      <w:r>
        <w:rPr>
          <w:rFonts w:hint="eastAsia" w:eastAsia="仿宋_GB2312"/>
          <w:sz w:val="32"/>
          <w:szCs w:val="32"/>
        </w:rPr>
        <w:t>7</w:t>
      </w:r>
      <w:r>
        <w:rPr>
          <w:rFonts w:eastAsia="仿宋_GB2312"/>
          <w:sz w:val="32"/>
          <w:szCs w:val="32"/>
        </w:rPr>
        <w:t>年度决算增加29.23万元，增长373.3%，主要</w:t>
      </w:r>
      <w:r>
        <w:rPr>
          <w:rFonts w:hint="eastAsia" w:ascii="仿宋_GB2312" w:eastAsia="仿宋_GB2312" w:cs="DengXian-Regular"/>
          <w:sz w:val="32"/>
          <w:szCs w:val="32"/>
        </w:rPr>
        <w:t>原因</w:t>
      </w:r>
      <w:r>
        <w:rPr>
          <w:rFonts w:eastAsia="仿宋_GB2312"/>
          <w:sz w:val="32"/>
          <w:szCs w:val="32"/>
        </w:rPr>
        <w:t>是</w:t>
      </w:r>
      <w:r>
        <w:rPr>
          <w:rFonts w:ascii="仿宋_GB2312" w:eastAsia="仿宋_GB2312" w:cs="DengXian-Regular"/>
          <w:sz w:val="32"/>
          <w:szCs w:val="32"/>
        </w:rPr>
        <w:t>新增办公场所物业管理费、</w:t>
      </w:r>
      <w:r>
        <w:rPr>
          <w:rFonts w:ascii="仿宋_GB2312" w:eastAsia="仿宋_GB2312" w:cs="宋体"/>
          <w:color w:val="000000"/>
          <w:kern w:val="0"/>
          <w:sz w:val="32"/>
          <w:szCs w:val="32"/>
        </w:rPr>
        <w:t>新建投资审计平台费用支出</w:t>
      </w:r>
      <w:r>
        <w:rPr>
          <w:rFonts w:eastAsia="仿宋_GB2312"/>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w:t>
      </w:r>
      <w:r>
        <w:rPr>
          <w:rFonts w:ascii="仿宋_GB2312" w:eastAsia="仿宋_GB2312" w:cs="DengXian-Regular"/>
          <w:sz w:val="32"/>
          <w:szCs w:val="32"/>
        </w:rPr>
        <w:t>未发生</w:t>
      </w:r>
      <w:r>
        <w:rPr>
          <w:rFonts w:hint="eastAsia" w:ascii="仿宋_GB2312" w:eastAsia="仿宋_GB2312" w:cs="DengXian-Regular"/>
          <w:sz w:val="32"/>
          <w:szCs w:val="32"/>
        </w:rPr>
        <w:t>政府采购</w:t>
      </w:r>
      <w:r>
        <w:rPr>
          <w:rFonts w:ascii="仿宋_GB2312" w:eastAsia="仿宋_GB2312" w:cs="DengXian-Regular"/>
          <w:sz w:val="32"/>
          <w:szCs w:val="32"/>
        </w:rPr>
        <w:t>费用</w:t>
      </w:r>
      <w:r>
        <w:rPr>
          <w:rFonts w:hint="eastAsia" w:ascii="仿宋_GB2312" w:eastAsia="仿宋_GB2312" w:cs="DengXian-Regular"/>
          <w:sz w:val="32"/>
          <w:szCs w:val="32"/>
        </w:rPr>
        <w:t>支出</w:t>
      </w:r>
      <w:r>
        <w:rPr>
          <w:rFonts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ascii="仿宋_GB2312" w:eastAsia="仿宋_GB2312" w:cs="DengXian-Regular"/>
          <w:sz w:val="32"/>
          <w:szCs w:val="32"/>
        </w:rPr>
        <w:t>1</w:t>
      </w:r>
      <w:r>
        <w:rPr>
          <w:rFonts w:hint="eastAsia" w:ascii="仿宋_GB2312" w:eastAsia="仿宋_GB2312" w:cs="DengXian-Regular"/>
          <w:sz w:val="32"/>
          <w:szCs w:val="32"/>
        </w:rPr>
        <w:t>辆，比上年增加</w:t>
      </w:r>
      <w:r>
        <w:rPr>
          <w:rFonts w:ascii="仿宋_GB2312" w:eastAsia="仿宋_GB2312" w:cs="DengXian-Regular"/>
          <w:sz w:val="32"/>
          <w:szCs w:val="32"/>
        </w:rPr>
        <w:t>0辆，</w:t>
      </w:r>
      <w:r>
        <w:rPr>
          <w:rFonts w:hint="eastAsia" w:ascii="仿宋_GB2312" w:eastAsia="仿宋_GB2312" w:cs="DengXian-Regular"/>
          <w:sz w:val="32"/>
          <w:szCs w:val="32"/>
        </w:rPr>
        <w:t>主要原因是</w:t>
      </w:r>
      <w:r>
        <w:rPr>
          <w:rFonts w:ascii="仿宋_GB2312" w:eastAsia="仿宋_GB2312" w:cs="DengXian-Regular"/>
          <w:sz w:val="32"/>
          <w:szCs w:val="32"/>
        </w:rPr>
        <w:t>公车改革</w:t>
      </w:r>
      <w:r>
        <w:rPr>
          <w:rFonts w:hint="eastAsia" w:ascii="仿宋_GB2312" w:eastAsia="仿宋_GB2312" w:cs="DengXian-Regular"/>
          <w:sz w:val="32"/>
          <w:szCs w:val="32"/>
        </w:rPr>
        <w:t>。其中，副部（省）级及以上领导用车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1</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0</w:t>
      </w:r>
      <w:r>
        <w:rPr>
          <w:rFonts w:hint="eastAsia" w:ascii="仿宋_GB2312" w:eastAsia="仿宋_GB2312" w:cs="DengXian-Regular"/>
          <w:sz w:val="32"/>
          <w:szCs w:val="32"/>
        </w:rPr>
        <w:t>辆，特种专业技术用车</w:t>
      </w:r>
      <w:r>
        <w:rPr>
          <w:rFonts w:ascii="仿宋_GB2312" w:eastAsia="仿宋_GB2312" w:cs="DengXian-Regular"/>
          <w:sz w:val="32"/>
          <w:szCs w:val="32"/>
        </w:rPr>
        <w:t>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台（套），比上年增加</w:t>
      </w:r>
      <w:r>
        <w:rPr>
          <w:rFonts w:ascii="仿宋_GB2312" w:eastAsia="仿宋_GB2312" w:cs="DengXian-Regular"/>
          <w:sz w:val="32"/>
          <w:szCs w:val="32"/>
        </w:rPr>
        <w:t>0</w:t>
      </w:r>
      <w:r>
        <w:rPr>
          <w:rFonts w:hint="eastAsia" w:ascii="仿宋_GB2312" w:eastAsia="仿宋_GB2312" w:cs="DengXian-Regular"/>
          <w:sz w:val="32"/>
          <w:szCs w:val="32"/>
        </w:rPr>
        <w:t>套，单位价值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万元以上专用设备台（套）比上年增加</w:t>
      </w:r>
      <w:r>
        <w:rPr>
          <w:rFonts w:ascii="仿宋_GB2312" w:eastAsia="仿宋_GB2312" w:cs="DengXian-Regular"/>
          <w:sz w:val="32"/>
          <w:szCs w:val="32"/>
        </w:rPr>
        <w:t>0</w:t>
      </w:r>
      <w:r>
        <w:rPr>
          <w:rFonts w:hint="eastAsia" w:ascii="仿宋_GB2312" w:eastAsia="仿宋_GB2312" w:cs="DengXian-Regular"/>
          <w:sz w:val="32"/>
          <w:szCs w:val="32"/>
        </w:rPr>
        <w:t>套。</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ascii="仿宋_GB2312" w:eastAsia="仿宋_GB2312" w:cs="DengXian-Regular"/>
          <w:sz w:val="32"/>
          <w:szCs w:val="32"/>
        </w:rPr>
        <w:t>政府性基金预算、国有资本经营预算、政府采购</w:t>
      </w:r>
      <w:r>
        <w:rPr>
          <w:rFonts w:hint="eastAsia" w:ascii="仿宋_GB2312" w:eastAsia="仿宋_GB2312" w:cs="DengXian-Regular"/>
          <w:sz w:val="32"/>
          <w:szCs w:val="32"/>
        </w:rPr>
        <w:t>无收支及结转结余情况，故</w:t>
      </w:r>
      <w:r>
        <w:rPr>
          <w:rFonts w:eastAsia="仿宋_GB2312"/>
          <w:sz w:val="32"/>
          <w:szCs w:val="32"/>
        </w:rPr>
        <w:t>政府性基金预算财政拨款收入支出决算表、国有资本经营预算</w:t>
      </w:r>
      <w:r>
        <w:rPr>
          <w:rFonts w:hint="eastAsia" w:eastAsia="仿宋_GB2312"/>
          <w:sz w:val="32"/>
          <w:szCs w:val="32"/>
        </w:rPr>
        <w:t>财政拨款</w:t>
      </w:r>
      <w:r>
        <w:rPr>
          <w:rFonts w:eastAsia="仿宋_GB2312"/>
          <w:sz w:val="32"/>
          <w:szCs w:val="32"/>
        </w:rPr>
        <w:t>支出决算表、政府采购情况表</w:t>
      </w:r>
      <w:r>
        <w:rPr>
          <w:rFonts w:hint="eastAsia" w:ascii="仿宋_GB2312" w:eastAsia="仿宋_GB2312" w:cs="DengXian-Regular"/>
          <w:sz w:val="32"/>
          <w:szCs w:val="32"/>
        </w:rPr>
        <w:t>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7" w:h="16840"/>
          <w:pgMar w:top="2098" w:right="1474" w:bottom="1871"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2"/>
  </w:compat>
  <w:docVars>
    <w:docVar w:name="commondata" w:val="eyJoZGlkIjoiM2I1NzdlZjVkMzhkN2M2NjI3YzkwZjgxYTYwNzY3NWYifQ=="/>
  </w:docVars>
  <w:rsids>
    <w:rsidRoot w:val="00334728"/>
    <w:rsid w:val="00026C04"/>
    <w:rsid w:val="00050244"/>
    <w:rsid w:val="0018757A"/>
    <w:rsid w:val="00334728"/>
    <w:rsid w:val="0055332C"/>
    <w:rsid w:val="006718BA"/>
    <w:rsid w:val="00753A58"/>
    <w:rsid w:val="007A5370"/>
    <w:rsid w:val="00800CDC"/>
    <w:rsid w:val="008D6B74"/>
    <w:rsid w:val="00932CF5"/>
    <w:rsid w:val="00AA09D7"/>
    <w:rsid w:val="00C61D8E"/>
    <w:rsid w:val="00DC575B"/>
    <w:rsid w:val="00EC6C52"/>
    <w:rsid w:val="00EF18BF"/>
    <w:rsid w:val="51CB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Calibri" w:hAnsi="Calibri" w:cs="Arial"/>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paragraph" w:styleId="5">
    <w:name w:val="heading 4"/>
    <w:basedOn w:val="1"/>
    <w:next w:val="1"/>
    <w:uiPriority w:val="0"/>
    <w:pPr>
      <w:keepNext/>
      <w:keepLines/>
      <w:spacing w:before="280" w:after="290" w:line="377" w:lineRule="auto"/>
      <w:outlineLvl w:val="3"/>
    </w:pPr>
    <w:rPr>
      <w:rFonts w:ascii="Calibri" w:hAnsi="Calibri" w:cs="Arial"/>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0">
    <w:name w:val="Subtitle"/>
    <w:basedOn w:val="1"/>
    <w:next w:val="1"/>
    <w:uiPriority w:val="0"/>
    <w:pPr>
      <w:widowControl/>
      <w:spacing w:after="200" w:line="276" w:lineRule="auto"/>
      <w:jc w:val="left"/>
    </w:pPr>
    <w:rPr>
      <w:rFonts w:ascii="Calibri" w:hAnsi="Calibri" w:cs="Arial"/>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cs="Arial"/>
      <w:color w:val="3A2C24"/>
      <w:spacing w:val="5"/>
      <w:kern w:val="28"/>
      <w:sz w:val="52"/>
      <w:szCs w:val="52"/>
    </w:rPr>
  </w:style>
  <w:style w:type="paragraph" w:customStyle="1" w:styleId="14">
    <w:name w:val="无间隔1"/>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uiPriority w:val="0"/>
    <w:rPr>
      <w:rFonts w:ascii="Cambria" w:hAnsi="Cambria" w:eastAsia="黑体" w:cs="Times New Roman"/>
      <w:szCs w:val="22"/>
      <w:lang w:eastAsia="zh-CN"/>
    </w:rPr>
  </w:style>
  <w:style w:type="character" w:customStyle="1" w:styleId="18">
    <w:name w:val="Style4"/>
    <w:basedOn w:val="13"/>
    <w:uiPriority w:val="0"/>
    <w:rPr>
      <w:rFonts w:ascii="Cambria" w:hAnsi="Cambria" w:eastAsia="黑体" w:cs="Times New Roman"/>
      <w:szCs w:val="22"/>
      <w:lang w:eastAsia="zh-CN"/>
    </w:rPr>
  </w:style>
  <w:style w:type="character" w:customStyle="1" w:styleId="19">
    <w:name w:val="Style5"/>
    <w:basedOn w:val="13"/>
    <w:uiPriority w:val="0"/>
    <w:rPr>
      <w:rFonts w:ascii="Cambria" w:hAnsi="Cambria" w:eastAsia="黑体" w:cs="Times New Roman"/>
      <w:sz w:val="22"/>
      <w:szCs w:val="22"/>
      <w:lang w:eastAsia="zh-CN"/>
    </w:rPr>
  </w:style>
  <w:style w:type="paragraph" w:customStyle="1" w:styleId="20">
    <w:name w:val="列出段落1"/>
    <w:basedOn w:val="1"/>
    <w:uiPriority w:val="0"/>
    <w:pPr>
      <w:ind w:firstLine="200" w:firstLineChars="200"/>
    </w:pPr>
  </w:style>
  <w:style w:type="paragraph" w:customStyle="1" w:styleId="21">
    <w:name w:val="普通(网站)1"/>
    <w:next w:val="8"/>
    <w:uiPriority w:val="0"/>
    <w:pPr>
      <w:widowControl w:val="0"/>
    </w:pPr>
    <w:rPr>
      <w:rFonts w:ascii="Calibri" w:hAnsi="Calibri" w:eastAsia="宋体" w:cs="黑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4890</Words>
  <Characters>5217</Characters>
  <Lines>38</Lines>
  <Paragraphs>10</Paragraphs>
  <TotalTime>578</TotalTime>
  <ScaleCrop>false</ScaleCrop>
  <LinksUpToDate>false</LinksUpToDate>
  <CharactersWithSpaces>5234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刘润龙</cp:lastModifiedBy>
  <cp:lastPrinted>2019-10-31T02:23:00Z</cp:lastPrinted>
  <dcterms:modified xsi:type="dcterms:W3CDTF">2024-05-21T08:56:27Z</dcterms:modified>
  <dc:subject>石家庄市xxx部门</dc:subject>
  <dc:title>2017年度部门决算</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AABE1D0D14C14F4C964E02B7B8BAEEA0_12</vt:lpwstr>
  </property>
</Properties>
</file>