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color w:val="000000"/>
          <w:sz w:val="96"/>
          <w:szCs w:val="96"/>
        </w:rPr>
      </w:pPr>
      <w:r>
        <w:rPr>
          <w:sz w:val="84"/>
          <w:szCs w:val="84"/>
        </w:rPr>
        <w:t>2018</w:t>
      </w:r>
      <w:r>
        <w:rPr>
          <w:rFonts w:hint="eastAsia"/>
          <w:sz w:val="84"/>
          <w:szCs w:val="84"/>
        </w:rPr>
        <w:t>年度部门决算公</w:t>
      </w:r>
    </w:p>
    <w:p>
      <w:pPr>
        <w:widowControl/>
        <w:jc w:val="center"/>
        <w:rPr>
          <w:rFonts w:ascii="黑体" w:eastAsia="黑体"/>
          <w:color w:val="002060"/>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jc w:val="center"/>
      </w:pPr>
      <w:r>
        <w:rPr>
          <w:rFonts w:hint="eastAsia"/>
          <w:b/>
          <w:sz w:val="44"/>
          <w:szCs w:val="44"/>
        </w:rPr>
        <w:t>廊坊市广阳区商务局</w:t>
      </w:r>
    </w:p>
    <w:p/>
    <w:p/>
    <w:p/>
    <w:p/>
    <w:p/>
    <w:p>
      <w:pPr>
        <w:widowControl/>
        <w:jc w:val="center"/>
        <w:rPr>
          <w:color w:val="000000"/>
          <w:sz w:val="72"/>
          <w:szCs w:val="72"/>
        </w:rPr>
      </w:pPr>
      <w:r>
        <w:rPr>
          <w:rFonts w:hint="eastAsia" w:ascii="黑体" w:eastAsia="黑体"/>
          <w:color w:val="000000"/>
          <w:sz w:val="72"/>
          <w:szCs w:val="72"/>
        </w:rPr>
        <w:t>第一部分</w:t>
      </w:r>
      <w:r>
        <w:rPr>
          <w:rFonts w:ascii="黑体" w:eastAsia="黑体"/>
          <w:color w:val="000000"/>
          <w:sz w:val="72"/>
          <w:szCs w:val="72"/>
        </w:rPr>
        <w:t xml:space="preserve">  </w:t>
      </w:r>
      <w:r>
        <w:rPr>
          <w:rFonts w:hint="eastAsia" w:ascii="黑体" w:eastAsia="黑体"/>
          <w:color w:val="000000"/>
          <w:sz w:val="72"/>
          <w:szCs w:val="72"/>
        </w:rPr>
        <w:t>部门概况</w:t>
      </w:r>
    </w:p>
    <w:p/>
    <w:p/>
    <w:p/>
    <w:p/>
    <w:p/>
    <w:p/>
    <w:p/>
    <w:p/>
    <w:p/>
    <w:p/>
    <w:p/>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640" w:firstLineChars="200"/>
        <w:rPr>
          <w:rFonts w:ascii="仿宋_GB2312" w:eastAsia="仿宋_GB2312"/>
          <w:color w:val="FF0000"/>
          <w:sz w:val="32"/>
          <w:szCs w:val="32"/>
        </w:rPr>
      </w:pPr>
      <w:r>
        <w:rPr>
          <w:rFonts w:hint="eastAsia" w:ascii="楷体_GB2312" w:eastAsia="楷体_GB2312"/>
          <w:sz w:val="32"/>
          <w:szCs w:val="32"/>
        </w:rPr>
        <w:t>主管全区国内外贸易和国际合作、整顿和规范市场经济秩序的政府工作部门。负责搞好市场运行监测，整顿和规范流通秩序，深化流通体制改革。承担组织实施重要农产品进出口计划、内贸管理、对外经济协调和组织实话重要工业品、原材料进出口计划的职能，承担对外开放、招商引资，对外经济技术合作的职能。</w:t>
      </w:r>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二、机构设置</w:t>
      </w:r>
    </w:p>
    <w:p>
      <w:pPr>
        <w:spacing w:after="0" w:line="56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w:t>
      </w:r>
      <w:r>
        <w:rPr>
          <w:rFonts w:ascii="仿宋_GB2312" w:eastAsia="仿宋_GB2312" w:cs="ArialUnicodeMS"/>
          <w:kern w:val="0"/>
          <w:sz w:val="32"/>
          <w:szCs w:val="32"/>
        </w:rPr>
        <w:t xml:space="preserve">2018 </w:t>
      </w:r>
      <w:r>
        <w:rPr>
          <w:rFonts w:hint="eastAsia" w:ascii="仿宋_GB2312" w:eastAsia="仿宋_GB2312" w:cs="ArialUnicodeMS"/>
          <w:kern w:val="0"/>
          <w:sz w:val="32"/>
          <w:szCs w:val="32"/>
        </w:rPr>
        <w:t>年度本部门决算汇编范围的独立核算单位（以下简称“单位”）共</w:t>
      </w:r>
      <w:r>
        <w:rPr>
          <w:rFonts w:ascii="仿宋_GB2312" w:eastAsia="仿宋_GB2312" w:cs="ArialUnicodeMS"/>
          <w:kern w:val="0"/>
          <w:sz w:val="32"/>
          <w:szCs w:val="32"/>
        </w:rPr>
        <w:t>1</w:t>
      </w:r>
      <w:r>
        <w:rPr>
          <w:rFonts w:hint="eastAsia" w:ascii="仿宋_GB2312" w:eastAsia="仿宋_GB2312" w:cs="ArialUnicodeMS"/>
          <w:kern w:val="0"/>
          <w:sz w:val="32"/>
          <w:szCs w:val="32"/>
        </w:rPr>
        <w:t>个，具体情况如下：</w:t>
      </w:r>
    </w:p>
    <w:tbl>
      <w:tblPr>
        <w:tblStyle w:val="14"/>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801"/>
        <w:gridCol w:w="2410"/>
        <w:gridCol w:w="2384"/>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tcBorders>
              <w:top w:val="single" w:color="auto" w:sz="4" w:space="0"/>
            </w:tcBorders>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801" w:type="dxa"/>
            <w:tcBorders>
              <w:top w:val="single" w:color="auto" w:sz="4" w:space="0"/>
            </w:tcBorders>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10" w:type="dxa"/>
            <w:tcBorders>
              <w:top w:val="single" w:color="auto" w:sz="4" w:space="0"/>
            </w:tcBorders>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384" w:type="dxa"/>
            <w:tcBorders>
              <w:top w:val="single" w:color="auto" w:sz="4" w:space="0"/>
            </w:tcBorders>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Borders>
              <w:bottom w:val="single" w:color="auto" w:sz="4" w:space="0"/>
            </w:tcBorders>
          </w:tcPr>
          <w:p>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1</w:t>
            </w:r>
          </w:p>
        </w:tc>
        <w:tc>
          <w:tcPr>
            <w:tcW w:w="3801" w:type="dxa"/>
            <w:tcBorders>
              <w:bottom w:val="single" w:color="auto" w:sz="4" w:space="0"/>
            </w:tcBorders>
          </w:tcPr>
          <w:p>
            <w:pPr>
              <w:spacing w:after="0" w:line="560" w:lineRule="exact"/>
              <w:rPr>
                <w:rFonts w:ascii="仿宋_GB2312" w:eastAsia="仿宋_GB2312" w:cs="ArialUnicodeMS"/>
                <w:kern w:val="0"/>
                <w:sz w:val="28"/>
                <w:szCs w:val="28"/>
              </w:rPr>
            </w:pPr>
            <w:r>
              <w:rPr>
                <w:rFonts w:hint="eastAsia" w:ascii="仿宋_GB2312" w:eastAsia="仿宋_GB2312" w:cs="ArialUnicodeMS"/>
                <w:kern w:val="0"/>
                <w:sz w:val="28"/>
                <w:szCs w:val="28"/>
              </w:rPr>
              <w:t>廊坊市广阳区</w:t>
            </w:r>
            <w:bookmarkStart w:id="0" w:name="_GoBack"/>
            <w:r>
              <w:rPr>
                <w:rFonts w:hint="eastAsia" w:ascii="仿宋_GB2312" w:eastAsia="仿宋_GB2312" w:cs="ArialUnicodeMS"/>
                <w:kern w:val="0"/>
                <w:sz w:val="28"/>
                <w:szCs w:val="28"/>
              </w:rPr>
              <w:t>商务局</w:t>
            </w:r>
            <w:bookmarkEnd w:id="0"/>
            <w:r>
              <w:rPr>
                <w:rFonts w:ascii="仿宋_GB2312" w:eastAsia="仿宋_GB2312" w:cs="ArialUnicodeMS"/>
                <w:kern w:val="0"/>
                <w:sz w:val="28"/>
                <w:szCs w:val="28"/>
              </w:rPr>
              <w:t>(</w:t>
            </w:r>
            <w:r>
              <w:rPr>
                <w:rFonts w:hint="eastAsia" w:ascii="仿宋_GB2312" w:eastAsia="仿宋_GB2312" w:cs="ArialUnicodeMS"/>
                <w:kern w:val="0"/>
                <w:sz w:val="28"/>
                <w:szCs w:val="28"/>
              </w:rPr>
              <w:t>本级</w:t>
            </w:r>
            <w:r>
              <w:rPr>
                <w:rFonts w:ascii="仿宋_GB2312" w:eastAsia="仿宋_GB2312" w:cs="ArialUnicodeMS"/>
                <w:kern w:val="0"/>
                <w:sz w:val="28"/>
                <w:szCs w:val="28"/>
              </w:rPr>
              <w:t>)</w:t>
            </w:r>
          </w:p>
        </w:tc>
        <w:tc>
          <w:tcPr>
            <w:tcW w:w="2410" w:type="dxa"/>
            <w:tcBorders>
              <w:bottom w:val="single" w:color="auto" w:sz="4" w:space="0"/>
            </w:tcBorders>
          </w:tcPr>
          <w:p>
            <w:pPr>
              <w:spacing w:after="0" w:line="560" w:lineRule="exact"/>
              <w:jc w:val="center"/>
              <w:rPr>
                <w:rFonts w:ascii="仿宋_GB2312" w:eastAsia="仿宋_GB2312" w:cs="ArialUnicodeMS"/>
                <w:kern w:val="0"/>
                <w:sz w:val="28"/>
                <w:szCs w:val="28"/>
              </w:rPr>
            </w:pPr>
            <w:r>
              <w:rPr>
                <w:rFonts w:hint="eastAsia" w:ascii="仿宋_GB2312" w:eastAsia="仿宋_GB2312"/>
                <w:sz w:val="32"/>
                <w:szCs w:val="32"/>
              </w:rPr>
              <w:t>行政单位</w:t>
            </w:r>
          </w:p>
        </w:tc>
        <w:tc>
          <w:tcPr>
            <w:tcW w:w="2384" w:type="dxa"/>
            <w:tcBorders>
              <w:bottom w:val="single" w:color="auto" w:sz="4" w:space="0"/>
            </w:tcBorders>
          </w:tcPr>
          <w:p>
            <w:pPr>
              <w:spacing w:after="0" w:line="560" w:lineRule="exact"/>
              <w:jc w:val="center"/>
              <w:rPr>
                <w:rFonts w:ascii="仿宋_GB2312" w:eastAsia="仿宋_GB2312" w:cs="ArialUnicodeMS"/>
                <w:kern w:val="0"/>
                <w:sz w:val="28"/>
                <w:szCs w:val="28"/>
              </w:rPr>
            </w:pPr>
            <w:r>
              <w:rPr>
                <w:rFonts w:hint="eastAsia" w:ascii="仿宋_GB2312" w:eastAsia="仿宋_GB2312"/>
                <w:sz w:val="32"/>
                <w:szCs w:val="32"/>
              </w:rPr>
              <w:t>财政拨款</w:t>
            </w:r>
          </w:p>
        </w:tc>
      </w:tr>
    </w:tbl>
    <w:p>
      <w:pPr>
        <w:widowControl/>
        <w:spacing w:line="560" w:lineRule="exact"/>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r>
        <w:rPr>
          <w:rFonts w:hint="eastAsia" w:ascii="黑体" w:eastAsia="黑体"/>
          <w:color w:val="000000"/>
          <w:sz w:val="72"/>
          <w:szCs w:val="96"/>
        </w:rPr>
        <w:t>第二部分</w:t>
      </w:r>
    </w:p>
    <w:p>
      <w:pPr>
        <w:widowControl/>
        <w:spacing w:line="1200" w:lineRule="exact"/>
        <w:jc w:val="center"/>
        <w:rPr>
          <w:color w:val="000000"/>
          <w:sz w:val="72"/>
          <w:szCs w:val="96"/>
        </w:rPr>
      </w:pPr>
      <w:r>
        <w:rPr>
          <w:rFonts w:ascii="黑体" w:eastAsia="黑体"/>
          <w:color w:val="000000"/>
          <w:sz w:val="72"/>
          <w:szCs w:val="96"/>
        </w:rPr>
        <w:t>2018</w:t>
      </w:r>
      <w:r>
        <w:rPr>
          <w:rFonts w:hint="eastAsia" w:ascii="黑体" w:eastAsia="黑体"/>
          <w:color w:val="000000"/>
          <w:sz w:val="72"/>
          <w:szCs w:val="96"/>
        </w:rPr>
        <w:t>年度部门决算报表</w:t>
      </w: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80" w:lineRule="exact"/>
        <w:ind w:firstLine="640" w:firstLineChars="200"/>
        <w:rPr>
          <w:rFonts w:eastAsia="仿宋_GB2312"/>
          <w:sz w:val="20"/>
          <w:szCs w:val="32"/>
        </w:rPr>
      </w:pPr>
      <w:r>
        <w:rPr>
          <w:rFonts w:hint="eastAsia" w:eastAsia="黑体"/>
          <w:sz w:val="32"/>
          <w:szCs w:val="32"/>
        </w:rPr>
        <w:t>第二部分</w:t>
      </w:r>
      <w:r>
        <w:rPr>
          <w:rFonts w:eastAsia="黑体"/>
          <w:sz w:val="32"/>
          <w:szCs w:val="32"/>
        </w:rPr>
        <w:t xml:space="preserve">   2018</w:t>
      </w:r>
      <w:r>
        <w:rPr>
          <w:rFonts w:hint="eastAsia" w:eastAsia="黑体"/>
          <w:sz w:val="32"/>
          <w:szCs w:val="32"/>
        </w:rPr>
        <w:t>年度部门决算报表</w:t>
      </w:r>
    </w:p>
    <w:p>
      <w:pPr>
        <w:widowControl/>
        <w:spacing w:line="580" w:lineRule="exact"/>
        <w:ind w:left="640" w:firstLine="640" w:firstLineChars="200"/>
        <w:rPr>
          <w:rFonts w:eastAsia="仿宋_GB2312"/>
          <w:sz w:val="32"/>
          <w:szCs w:val="32"/>
        </w:rPr>
      </w:pPr>
      <w:r>
        <w:rPr>
          <w:rFonts w:hint="eastAsia"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hint="eastAsia" w:eastAsia="仿宋_GB2312"/>
          <w:sz w:val="32"/>
          <w:szCs w:val="32"/>
        </w:rPr>
        <w:t>二、收入决算表</w:t>
      </w:r>
    </w:p>
    <w:p>
      <w:pPr>
        <w:widowControl/>
        <w:spacing w:line="580" w:lineRule="exact"/>
        <w:ind w:left="640" w:firstLine="640" w:firstLineChars="200"/>
        <w:rPr>
          <w:rFonts w:eastAsia="仿宋_GB2312"/>
          <w:sz w:val="32"/>
          <w:szCs w:val="32"/>
        </w:rPr>
      </w:pPr>
      <w:r>
        <w:rPr>
          <w:rFonts w:hint="eastAsia" w:eastAsia="仿宋_GB2312"/>
          <w:sz w:val="32"/>
          <w:szCs w:val="32"/>
        </w:rPr>
        <w:t>三、支出决算表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七、一般公共预算财政拨款</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九、国有资本经营预算财政拨款支出决算表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十、政府采购情况表</w:t>
      </w:r>
    </w:p>
    <w:p>
      <w:pPr>
        <w:rPr>
          <w:rFonts w:ascii="宋体" w:cs="ArialUnicodeMS"/>
          <w:color w:val="000000"/>
          <w:kern w:val="0"/>
        </w:rPr>
      </w:pPr>
    </w:p>
    <w:p>
      <w:pPr>
        <w:tabs>
          <w:tab w:val="left" w:pos="1086"/>
        </w:tabs>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r>
        <w:tab/>
      </w: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72"/>
          <w:szCs w:val="72"/>
        </w:rPr>
      </w:pPr>
      <w:r>
        <w:rPr>
          <w:rFonts w:hint="eastAsia" w:ascii="黑体" w:eastAsia="黑体"/>
          <w:color w:val="000000"/>
          <w:sz w:val="72"/>
          <w:szCs w:val="72"/>
        </w:rPr>
        <w:t>第三部分</w:t>
      </w:r>
    </w:p>
    <w:p>
      <w:pPr>
        <w:widowControl/>
        <w:spacing w:line="1200" w:lineRule="exact"/>
        <w:jc w:val="center"/>
        <w:rPr>
          <w:color w:val="000000"/>
          <w:sz w:val="72"/>
          <w:szCs w:val="72"/>
        </w:rPr>
      </w:pPr>
      <w:r>
        <w:rPr>
          <w:rFonts w:hint="eastAsia" w:ascii="黑体" w:eastAsia="黑体"/>
          <w:color w:val="000000"/>
          <w:sz w:val="72"/>
          <w:szCs w:val="72"/>
        </w:rPr>
        <w:t>部门决算情况说明</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b w:val="0"/>
          <w:bCs w:val="0"/>
          <w:kern w:val="0"/>
        </w:rPr>
        <w:t>支出</w:t>
      </w:r>
      <w:r>
        <w:rPr>
          <w:rFonts w:hint="eastAsia" w:ascii="黑体" w:eastAsia="黑体"/>
          <w:b w:val="0"/>
          <w:bCs w:val="0"/>
        </w:rPr>
        <w:t>决算总体情况说明</w:t>
      </w:r>
    </w:p>
    <w:p>
      <w:pPr>
        <w:widowControl/>
        <w:spacing w:line="580" w:lineRule="exact"/>
        <w:ind w:firstLine="640" w:firstLineChars="200"/>
        <w:rPr>
          <w:rFonts w:eastAsia="仿宋_GB2312"/>
          <w:color w:val="000000"/>
          <w:kern w:val="0"/>
          <w:sz w:val="32"/>
          <w:szCs w:val="32"/>
        </w:rPr>
      </w:pPr>
      <w:r>
        <w:rPr>
          <w:rFonts w:hint="eastAsia" w:eastAsia="仿宋_GB2312"/>
          <w:color w:val="000000"/>
          <w:kern w:val="0"/>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年度收支总计（含结转和结余）</w:t>
      </w:r>
      <w:r>
        <w:rPr>
          <w:rFonts w:eastAsia="仿宋_GB2312"/>
          <w:color w:val="000000"/>
          <w:kern w:val="0"/>
          <w:sz w:val="32"/>
          <w:szCs w:val="32"/>
        </w:rPr>
        <w:t>1586.15</w:t>
      </w:r>
      <w:r>
        <w:rPr>
          <w:rFonts w:hint="eastAsia" w:eastAsia="仿宋_GB2312"/>
          <w:color w:val="000000"/>
          <w:kern w:val="0"/>
          <w:sz w:val="32"/>
          <w:szCs w:val="32"/>
        </w:rPr>
        <w:t>元，与</w:t>
      </w:r>
      <w:r>
        <w:rPr>
          <w:rFonts w:eastAsia="仿宋_GB2312"/>
          <w:color w:val="000000"/>
          <w:kern w:val="0"/>
          <w:sz w:val="32"/>
          <w:szCs w:val="32"/>
        </w:rPr>
        <w:t>2017</w:t>
      </w:r>
      <w:r>
        <w:rPr>
          <w:rFonts w:hint="eastAsia" w:eastAsia="仿宋_GB2312"/>
          <w:color w:val="000000"/>
          <w:kern w:val="0"/>
          <w:sz w:val="32"/>
          <w:szCs w:val="32"/>
        </w:rPr>
        <w:t>年相比，决算收支总计分别增加</w:t>
      </w:r>
      <w:r>
        <w:rPr>
          <w:rFonts w:eastAsia="仿宋_GB2312"/>
          <w:color w:val="000000"/>
          <w:kern w:val="0"/>
          <w:sz w:val="32"/>
          <w:szCs w:val="32"/>
        </w:rPr>
        <w:t>680.57</w:t>
      </w:r>
      <w:r>
        <w:rPr>
          <w:rFonts w:hint="eastAsia" w:eastAsia="仿宋_GB2312"/>
          <w:color w:val="000000"/>
          <w:kern w:val="0"/>
          <w:sz w:val="32"/>
          <w:szCs w:val="32"/>
        </w:rPr>
        <w:t>万元，增长了</w:t>
      </w:r>
      <w:r>
        <w:rPr>
          <w:rFonts w:eastAsia="仿宋_GB2312"/>
          <w:color w:val="000000"/>
          <w:kern w:val="0"/>
          <w:sz w:val="32"/>
          <w:szCs w:val="32"/>
        </w:rPr>
        <w:t>75.4%</w:t>
      </w:r>
      <w:r>
        <w:rPr>
          <w:rFonts w:hint="eastAsia" w:eastAsia="仿宋_GB2312"/>
          <w:color w:val="000000"/>
          <w:kern w:val="0"/>
          <w:sz w:val="32"/>
          <w:szCs w:val="32"/>
        </w:rPr>
        <w:t>，主要原因是较上年增长了工资及福利待遇水平。</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widowControl/>
        <w:spacing w:line="580" w:lineRule="exact"/>
        <w:ind w:firstLine="640" w:firstLineChars="200"/>
        <w:rPr>
          <w:rFonts w:eastAsia="仿宋_GB2312"/>
          <w:color w:val="000000"/>
          <w:kern w:val="0"/>
          <w:sz w:val="32"/>
          <w:szCs w:val="32"/>
        </w:rPr>
      </w:pPr>
      <w:r>
        <w:rPr>
          <w:rFonts w:hint="eastAsia" w:eastAsia="仿宋_GB2312"/>
          <w:color w:val="000000"/>
          <w:kern w:val="0"/>
          <w:sz w:val="32"/>
          <w:szCs w:val="32"/>
        </w:rPr>
        <w:t>本年收入合计</w:t>
      </w:r>
      <w:r>
        <w:rPr>
          <w:rFonts w:eastAsia="仿宋_GB2312"/>
          <w:color w:val="000000"/>
          <w:kern w:val="0"/>
          <w:sz w:val="32"/>
          <w:szCs w:val="32"/>
        </w:rPr>
        <w:t>1583.82</w:t>
      </w:r>
      <w:r>
        <w:rPr>
          <w:rFonts w:hint="eastAsia" w:eastAsia="仿宋_GB2312"/>
          <w:color w:val="000000"/>
          <w:kern w:val="0"/>
          <w:sz w:val="32"/>
          <w:szCs w:val="32"/>
        </w:rPr>
        <w:t>万元，其中：财政拨款收入</w:t>
      </w:r>
      <w:r>
        <w:rPr>
          <w:rFonts w:eastAsia="仿宋_GB2312"/>
          <w:color w:val="000000"/>
          <w:kern w:val="0"/>
          <w:sz w:val="32"/>
          <w:szCs w:val="32"/>
        </w:rPr>
        <w:t>1583.82</w:t>
      </w:r>
      <w:r>
        <w:rPr>
          <w:rFonts w:hint="eastAsia" w:eastAsia="仿宋_GB2312"/>
          <w:color w:val="000000"/>
          <w:kern w:val="0"/>
          <w:sz w:val="32"/>
          <w:szCs w:val="32"/>
        </w:rPr>
        <w:t>万元，占</w:t>
      </w:r>
      <w:r>
        <w:rPr>
          <w:rFonts w:eastAsia="仿宋_GB2312"/>
          <w:color w:val="000000"/>
          <w:kern w:val="0"/>
          <w:sz w:val="32"/>
          <w:szCs w:val="32"/>
        </w:rPr>
        <w:t>100%</w:t>
      </w:r>
      <w:r>
        <w:rPr>
          <w:rFonts w:hint="eastAsia" w:eastAsia="仿宋_GB2312"/>
          <w:color w:val="000000"/>
          <w:kern w:val="0"/>
          <w:sz w:val="32"/>
          <w:szCs w:val="32"/>
        </w:rPr>
        <w:t>；无事业收入和其他收入。</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widowControl/>
        <w:spacing w:line="580" w:lineRule="exact"/>
        <w:ind w:firstLine="640" w:firstLineChars="200"/>
        <w:rPr>
          <w:rFonts w:eastAsia="仿宋_GB2312"/>
          <w:color w:val="000000"/>
          <w:kern w:val="0"/>
          <w:sz w:val="32"/>
          <w:szCs w:val="32"/>
        </w:rPr>
      </w:pPr>
      <w:r>
        <w:rPr>
          <w:rFonts w:hint="eastAsia" w:eastAsia="仿宋_GB2312"/>
          <w:color w:val="000000"/>
          <w:kern w:val="0"/>
          <w:sz w:val="32"/>
          <w:szCs w:val="32"/>
        </w:rPr>
        <w:t>本年支出合计</w:t>
      </w:r>
      <w:r>
        <w:rPr>
          <w:rFonts w:eastAsia="仿宋_GB2312"/>
          <w:color w:val="000000"/>
          <w:kern w:val="0"/>
          <w:sz w:val="32"/>
          <w:szCs w:val="32"/>
        </w:rPr>
        <w:t>1586.15</w:t>
      </w:r>
      <w:r>
        <w:rPr>
          <w:rFonts w:hint="eastAsia" w:eastAsia="仿宋_GB2312"/>
          <w:color w:val="000000"/>
          <w:kern w:val="0"/>
          <w:sz w:val="32"/>
          <w:szCs w:val="32"/>
        </w:rPr>
        <w:t>万元，其中：基本支出</w:t>
      </w:r>
      <w:r>
        <w:rPr>
          <w:rFonts w:eastAsia="仿宋_GB2312"/>
          <w:color w:val="000000"/>
          <w:kern w:val="0"/>
          <w:sz w:val="32"/>
          <w:szCs w:val="32"/>
        </w:rPr>
        <w:t>1586.15</w:t>
      </w:r>
      <w:r>
        <w:rPr>
          <w:rFonts w:hint="eastAsia" w:eastAsia="仿宋_GB2312"/>
          <w:color w:val="000000"/>
          <w:kern w:val="0"/>
          <w:sz w:val="32"/>
          <w:szCs w:val="32"/>
        </w:rPr>
        <w:t>万元，占</w:t>
      </w:r>
      <w:r>
        <w:rPr>
          <w:rFonts w:eastAsia="仿宋_GB2312"/>
          <w:color w:val="000000"/>
          <w:kern w:val="0"/>
          <w:sz w:val="32"/>
          <w:szCs w:val="32"/>
        </w:rPr>
        <w:t>100%</w:t>
      </w:r>
      <w:r>
        <w:rPr>
          <w:rFonts w:hint="eastAsia" w:eastAsia="仿宋_GB2312"/>
          <w:color w:val="000000"/>
          <w:kern w:val="0"/>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w:t>
      </w:r>
      <w:r>
        <w:rPr>
          <w:rFonts w:ascii="楷体_GB2312" w:eastAsia="楷体_GB2312" w:cs="DengXian-Bold"/>
          <w:b/>
          <w:bCs/>
          <w:sz w:val="32"/>
          <w:szCs w:val="32"/>
        </w:rPr>
        <w:t xml:space="preserve">2017 </w:t>
      </w:r>
      <w:r>
        <w:rPr>
          <w:rFonts w:hint="eastAsia" w:ascii="楷体_GB2312" w:eastAsia="楷体_GB2312" w:cs="DengXian-Bold"/>
          <w:b/>
          <w:bCs/>
          <w:sz w:val="32"/>
          <w:szCs w:val="32"/>
        </w:rPr>
        <w:t>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年度形成的财政拨款收支均为一般公共预算财政拨款，其中一般公共预算财政拨款本年收入</w:t>
      </w:r>
      <w:r>
        <w:rPr>
          <w:rFonts w:ascii="仿宋_GB2312" w:eastAsia="仿宋_GB2312" w:cs="DengXian-Regular"/>
          <w:sz w:val="32"/>
          <w:szCs w:val="32"/>
        </w:rPr>
        <w:t>1583.82</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比</w:t>
      </w:r>
      <w:r>
        <w:rPr>
          <w:rFonts w:ascii="仿宋_GB2312" w:eastAsia="仿宋_GB2312" w:cs="DengXian-Regular"/>
          <w:sz w:val="32"/>
          <w:szCs w:val="32"/>
        </w:rPr>
        <w:t>2017</w:t>
      </w:r>
      <w:r>
        <w:rPr>
          <w:rFonts w:hint="eastAsia" w:ascii="仿宋_GB2312" w:eastAsia="仿宋_GB2312" w:cs="DengXian-Regular"/>
          <w:sz w:val="32"/>
          <w:szCs w:val="32"/>
        </w:rPr>
        <w:t>年度增加</w:t>
      </w:r>
      <w:r>
        <w:rPr>
          <w:rFonts w:ascii="仿宋_GB2312" w:eastAsia="仿宋_GB2312" w:cs="DengXian-Regular"/>
          <w:sz w:val="32"/>
          <w:szCs w:val="32"/>
        </w:rPr>
        <w:t>680.57</w:t>
      </w:r>
      <w:r>
        <w:rPr>
          <w:rFonts w:hint="eastAsia" w:ascii="仿宋_GB2312" w:eastAsia="仿宋_GB2312" w:cs="DengXian-Regular"/>
          <w:sz w:val="32"/>
          <w:szCs w:val="32"/>
        </w:rPr>
        <w:t>万元，增长</w:t>
      </w:r>
      <w:r>
        <w:rPr>
          <w:rFonts w:ascii="仿宋_GB2312" w:eastAsia="仿宋_GB2312" w:cs="DengXian-Regular"/>
          <w:sz w:val="32"/>
          <w:szCs w:val="32"/>
        </w:rPr>
        <w:t>75.4%</w:t>
      </w:r>
      <w:r>
        <w:rPr>
          <w:rFonts w:hint="eastAsia" w:ascii="仿宋_GB2312" w:eastAsia="仿宋_GB2312" w:cs="DengXian-Regular"/>
          <w:sz w:val="32"/>
          <w:szCs w:val="32"/>
        </w:rPr>
        <w:t>，主要原因是是人员工资及福利待遇的增加；本年支出</w:t>
      </w:r>
      <w:r>
        <w:rPr>
          <w:rFonts w:ascii="仿宋_GB2312" w:eastAsia="仿宋_GB2312" w:cs="DengXian-Regular"/>
          <w:sz w:val="32"/>
          <w:szCs w:val="32"/>
        </w:rPr>
        <w:t>1586.62</w:t>
      </w:r>
      <w:r>
        <w:rPr>
          <w:rFonts w:hint="eastAsia" w:ascii="仿宋_GB2312" w:eastAsia="仿宋_GB2312" w:cs="DengXian-Regular"/>
          <w:sz w:val="32"/>
          <w:szCs w:val="32"/>
        </w:rPr>
        <w:t>万元，增加</w:t>
      </w:r>
      <w:r>
        <w:rPr>
          <w:rFonts w:ascii="仿宋_GB2312" w:eastAsia="仿宋_GB2312" w:cs="DengXian-Regular"/>
          <w:sz w:val="32"/>
          <w:szCs w:val="32"/>
        </w:rPr>
        <w:t>629.98</w:t>
      </w:r>
      <w:r>
        <w:rPr>
          <w:rFonts w:hint="eastAsia" w:ascii="仿宋_GB2312" w:eastAsia="仿宋_GB2312" w:cs="DengXian-Regular"/>
          <w:sz w:val="32"/>
          <w:szCs w:val="32"/>
        </w:rPr>
        <w:t>万元，增长</w:t>
      </w:r>
      <w:r>
        <w:rPr>
          <w:rFonts w:eastAsia="仿宋_GB2312"/>
          <w:color w:val="000000"/>
          <w:kern w:val="0"/>
          <w:sz w:val="32"/>
          <w:szCs w:val="32"/>
        </w:rPr>
        <w:t>65.9</w:t>
      </w:r>
      <w:r>
        <w:rPr>
          <w:rFonts w:ascii="仿宋_GB2312" w:eastAsia="仿宋_GB2312" w:cs="DengXian-Regular"/>
          <w:sz w:val="32"/>
          <w:szCs w:val="32"/>
        </w:rPr>
        <w:t>%</w:t>
      </w:r>
      <w:r>
        <w:rPr>
          <w:rFonts w:hint="eastAsia" w:ascii="仿宋_GB2312" w:eastAsia="仿宋_GB2312" w:cs="DengXian-Regular"/>
          <w:sz w:val="32"/>
          <w:szCs w:val="32"/>
        </w:rPr>
        <w:t>，主要原因是人员工资及福利待遇的增加。</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年度一般公共预算财政拨款收入</w:t>
      </w:r>
      <w:r>
        <w:rPr>
          <w:rFonts w:ascii="仿宋_GB2312" w:eastAsia="仿宋_GB2312" w:cs="DengXian-Regular"/>
          <w:sz w:val="32"/>
          <w:szCs w:val="32"/>
        </w:rPr>
        <w:t>1583.82</w:t>
      </w:r>
      <w:r>
        <w:rPr>
          <w:rFonts w:hint="eastAsia" w:ascii="仿宋_GB2312" w:eastAsia="仿宋_GB2312" w:cs="DengXian-Regular"/>
          <w:sz w:val="32"/>
          <w:szCs w:val="32"/>
        </w:rPr>
        <w:t>万元，完成年初预算的</w:t>
      </w:r>
      <w:r>
        <w:rPr>
          <w:rFonts w:ascii="仿宋_GB2312" w:eastAsia="仿宋_GB2312" w:cs="DengXian-Regular"/>
          <w:sz w:val="32"/>
          <w:szCs w:val="32"/>
        </w:rPr>
        <w:t>168.7%,</w:t>
      </w:r>
      <w:r>
        <w:rPr>
          <w:rFonts w:hint="eastAsia" w:ascii="仿宋_GB2312" w:eastAsia="仿宋_GB2312" w:cs="DengXian-Regular"/>
          <w:sz w:val="32"/>
          <w:szCs w:val="32"/>
        </w:rPr>
        <w:t>比年初预算增加</w:t>
      </w:r>
      <w:r>
        <w:rPr>
          <w:rFonts w:ascii="仿宋_GB2312" w:eastAsia="仿宋_GB2312" w:cs="DengXian-Regular"/>
          <w:sz w:val="32"/>
          <w:szCs w:val="32"/>
        </w:rPr>
        <w:t>599.89</w:t>
      </w:r>
      <w:r>
        <w:rPr>
          <w:rFonts w:hint="eastAsia" w:ascii="仿宋_GB2312" w:eastAsia="仿宋_GB2312" w:cs="DengXian-Regular"/>
          <w:sz w:val="32"/>
          <w:szCs w:val="32"/>
        </w:rPr>
        <w:t>万元，决算数大于预算数，主要原因是人员工资及福利待遇的增加；本年支出</w:t>
      </w:r>
      <w:r>
        <w:rPr>
          <w:rFonts w:ascii="仿宋_GB2312" w:eastAsia="仿宋_GB2312" w:cs="DengXian-Regular"/>
          <w:sz w:val="32"/>
          <w:szCs w:val="32"/>
        </w:rPr>
        <w:t>1586.82</w:t>
      </w:r>
      <w:r>
        <w:rPr>
          <w:rFonts w:hint="eastAsia" w:ascii="仿宋_GB2312" w:eastAsia="仿宋_GB2312" w:cs="DengXian-Regular"/>
          <w:sz w:val="32"/>
          <w:szCs w:val="32"/>
        </w:rPr>
        <w:t>万元，完成年初预算的</w:t>
      </w:r>
      <w:r>
        <w:rPr>
          <w:rFonts w:ascii="仿宋_GB2312" w:eastAsia="仿宋_GB2312" w:cs="DengXian-Regular"/>
          <w:sz w:val="32"/>
          <w:szCs w:val="32"/>
        </w:rPr>
        <w:t>169.0%,</w:t>
      </w:r>
      <w:r>
        <w:rPr>
          <w:rFonts w:hint="eastAsia" w:ascii="仿宋_GB2312" w:eastAsia="仿宋_GB2312" w:cs="DengXian-Regular"/>
          <w:sz w:val="32"/>
          <w:szCs w:val="32"/>
        </w:rPr>
        <w:t>比年初预算增加</w:t>
      </w:r>
      <w:r>
        <w:rPr>
          <w:rFonts w:ascii="仿宋_GB2312" w:eastAsia="仿宋_GB2312" w:cs="DengXian-Regular"/>
          <w:sz w:val="32"/>
          <w:szCs w:val="32"/>
        </w:rPr>
        <w:t>647.89</w:t>
      </w:r>
      <w:r>
        <w:rPr>
          <w:rFonts w:hint="eastAsia" w:ascii="仿宋_GB2312" w:eastAsia="仿宋_GB2312" w:cs="DengXian-Regular"/>
          <w:sz w:val="32"/>
          <w:szCs w:val="32"/>
        </w:rPr>
        <w:t>万元，决算数大于预算数，主要原因是人员工资及福利待遇的增加。</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 xml:space="preserve">2018 </w:t>
      </w:r>
      <w:r>
        <w:rPr>
          <w:rFonts w:hint="eastAsia" w:ascii="仿宋_GB2312" w:eastAsia="仿宋_GB2312" w:cs="DengXian-Regular"/>
          <w:sz w:val="32"/>
          <w:szCs w:val="32"/>
        </w:rPr>
        <w:t>年度财政拨款支出</w:t>
      </w:r>
      <w:r>
        <w:rPr>
          <w:rFonts w:ascii="仿宋_GB2312" w:eastAsia="仿宋_GB2312" w:cs="DengXian-Regular"/>
          <w:sz w:val="32"/>
          <w:szCs w:val="32"/>
        </w:rPr>
        <w:t>1586.15</w:t>
      </w:r>
      <w:r>
        <w:rPr>
          <w:rFonts w:hint="eastAsia" w:ascii="仿宋_GB2312" w:eastAsia="仿宋_GB2312" w:cs="DengXian-Regular"/>
          <w:sz w:val="32"/>
          <w:szCs w:val="32"/>
        </w:rPr>
        <w:t>万元，主要用于以下方面：一般公共服务（类）支出</w:t>
      </w:r>
      <w:r>
        <w:rPr>
          <w:rFonts w:ascii="仿宋_GB2312" w:eastAsia="仿宋_GB2312" w:cs="DengXian-Regular"/>
          <w:sz w:val="32"/>
          <w:szCs w:val="32"/>
        </w:rPr>
        <w:t>2.62</w:t>
      </w:r>
      <w:r>
        <w:rPr>
          <w:rFonts w:hint="eastAsia" w:ascii="仿宋_GB2312" w:eastAsia="仿宋_GB2312" w:cs="DengXian-Regular"/>
          <w:sz w:val="32"/>
          <w:szCs w:val="32"/>
        </w:rPr>
        <w:t>万元，占</w:t>
      </w:r>
      <w:r>
        <w:rPr>
          <w:rFonts w:ascii="仿宋_GB2312" w:eastAsia="仿宋_GB2312" w:cs="DengXian-Regular"/>
          <w:sz w:val="32"/>
          <w:szCs w:val="32"/>
        </w:rPr>
        <w:t>0.2%</w:t>
      </w:r>
      <w:r>
        <w:rPr>
          <w:rFonts w:hint="eastAsia" w:ascii="仿宋_GB2312" w:eastAsia="仿宋_GB2312" w:cs="DengXian-Regular"/>
          <w:sz w:val="32"/>
          <w:szCs w:val="32"/>
        </w:rPr>
        <w:t>；社会保障和就业（类）支出</w:t>
      </w:r>
      <w:r>
        <w:rPr>
          <w:rFonts w:ascii="仿宋_GB2312" w:eastAsia="仿宋_GB2312" w:cs="DengXian-Regular"/>
          <w:sz w:val="32"/>
          <w:szCs w:val="32"/>
        </w:rPr>
        <w:t>278.78</w:t>
      </w:r>
      <w:r>
        <w:rPr>
          <w:rFonts w:hint="eastAsia" w:ascii="仿宋_GB2312" w:eastAsia="仿宋_GB2312" w:cs="DengXian-Regular"/>
          <w:sz w:val="32"/>
          <w:szCs w:val="32"/>
        </w:rPr>
        <w:t>万元，占</w:t>
      </w:r>
      <w:r>
        <w:rPr>
          <w:rFonts w:ascii="仿宋_GB2312" w:eastAsia="仿宋_GB2312" w:cs="DengXian-Regular"/>
          <w:sz w:val="32"/>
          <w:szCs w:val="32"/>
        </w:rPr>
        <w:t>17.6%</w:t>
      </w:r>
      <w:r>
        <w:rPr>
          <w:rFonts w:hint="eastAsia" w:ascii="仿宋_GB2312" w:eastAsia="仿宋_GB2312" w:cs="DengXian-Regular"/>
          <w:sz w:val="32"/>
          <w:szCs w:val="32"/>
        </w:rPr>
        <w:t>；</w:t>
      </w:r>
      <w:r>
        <w:rPr>
          <w:rFonts w:hint="eastAsia" w:eastAsia="仿宋_GB2312"/>
          <w:color w:val="000000"/>
          <w:kern w:val="0"/>
          <w:sz w:val="32"/>
          <w:szCs w:val="32"/>
        </w:rPr>
        <w:t>医疗卫生与计划生育（类）支出</w:t>
      </w:r>
      <w:r>
        <w:rPr>
          <w:rFonts w:eastAsia="仿宋_GB2312"/>
          <w:color w:val="000000"/>
          <w:kern w:val="0"/>
          <w:sz w:val="32"/>
          <w:szCs w:val="32"/>
        </w:rPr>
        <w:t>13</w:t>
      </w:r>
      <w:r>
        <w:rPr>
          <w:rFonts w:hint="eastAsia" w:eastAsia="仿宋_GB2312"/>
          <w:color w:val="000000"/>
          <w:kern w:val="0"/>
          <w:sz w:val="32"/>
          <w:szCs w:val="32"/>
        </w:rPr>
        <w:t>万元，</w:t>
      </w:r>
      <w:r>
        <w:rPr>
          <w:rFonts w:hint="eastAsia" w:ascii="仿宋_GB2312" w:eastAsia="仿宋_GB2312" w:cs="DengXian-Regular"/>
          <w:sz w:val="32"/>
          <w:szCs w:val="32"/>
        </w:rPr>
        <w:t>占</w:t>
      </w:r>
      <w:r>
        <w:rPr>
          <w:rFonts w:ascii="仿宋_GB2312" w:eastAsia="仿宋_GB2312" w:cs="DengXian-Regular"/>
          <w:sz w:val="32"/>
          <w:szCs w:val="32"/>
        </w:rPr>
        <w:t>0.8%</w:t>
      </w:r>
      <w:r>
        <w:rPr>
          <w:rFonts w:hint="eastAsia" w:ascii="仿宋_GB2312" w:eastAsia="仿宋_GB2312" w:cs="DengXian-Regular"/>
          <w:sz w:val="32"/>
          <w:szCs w:val="32"/>
        </w:rPr>
        <w:t>；住房保障（类）支出</w:t>
      </w:r>
      <w:r>
        <w:rPr>
          <w:rFonts w:ascii="仿宋_GB2312" w:eastAsia="仿宋_GB2312" w:cs="DengXian-Regular"/>
          <w:sz w:val="32"/>
          <w:szCs w:val="32"/>
        </w:rPr>
        <w:t>21.09</w:t>
      </w:r>
      <w:r>
        <w:rPr>
          <w:rFonts w:hint="eastAsia" w:ascii="仿宋_GB2312" w:eastAsia="仿宋_GB2312" w:cs="DengXian-Regular"/>
          <w:sz w:val="32"/>
          <w:szCs w:val="32"/>
        </w:rPr>
        <w:t>万元，占</w:t>
      </w:r>
      <w:r>
        <w:rPr>
          <w:rFonts w:ascii="仿宋_GB2312" w:eastAsia="仿宋_GB2312" w:cs="DengXian-Regular"/>
          <w:sz w:val="32"/>
          <w:szCs w:val="32"/>
        </w:rPr>
        <w:t>1.3%;</w:t>
      </w:r>
      <w:r>
        <w:rPr>
          <w:rFonts w:hint="eastAsia" w:ascii="仿宋_GB2312" w:eastAsia="仿宋_GB2312" w:cs="DengXian-Regular"/>
          <w:sz w:val="32"/>
          <w:szCs w:val="32"/>
        </w:rPr>
        <w:t>商业服务业</w:t>
      </w:r>
      <w:r>
        <w:rPr>
          <w:rFonts w:ascii="仿宋_GB2312" w:eastAsia="仿宋_GB2312" w:cs="DengXian-Regular"/>
          <w:sz w:val="32"/>
          <w:szCs w:val="32"/>
        </w:rPr>
        <w:t>1270.66</w:t>
      </w:r>
      <w:r>
        <w:rPr>
          <w:rFonts w:hint="eastAsia" w:ascii="仿宋_GB2312" w:eastAsia="仿宋_GB2312" w:cs="DengXian-Regular"/>
          <w:sz w:val="32"/>
          <w:szCs w:val="32"/>
        </w:rPr>
        <w:t>万元，占</w:t>
      </w:r>
      <w:r>
        <w:rPr>
          <w:rFonts w:ascii="仿宋_GB2312" w:eastAsia="仿宋_GB2312" w:cs="DengXian-Regular"/>
          <w:sz w:val="32"/>
          <w:szCs w:val="32"/>
        </w:rPr>
        <w:t>80.1%</w:t>
      </w:r>
      <w:r>
        <w:rPr>
          <w:rFonts w:hint="eastAsia" w:ascii="仿宋_GB2312" w:eastAsia="仿宋_GB2312" w:cs="DengXian-Regular"/>
          <w:sz w:val="32"/>
          <w:szCs w:val="32"/>
        </w:rPr>
        <w:t>。</w:t>
      </w:r>
    </w:p>
    <w:p>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 xml:space="preserve">2018 </w:t>
      </w:r>
      <w:r>
        <w:rPr>
          <w:rFonts w:hint="eastAsia" w:ascii="仿宋_GB2312" w:eastAsia="仿宋_GB2312" w:cs="DengXian-Regular"/>
          <w:sz w:val="32"/>
          <w:szCs w:val="32"/>
        </w:rPr>
        <w:t>年度一般公共预算财政拨款基本支出</w:t>
      </w:r>
      <w:r>
        <w:rPr>
          <w:rFonts w:ascii="仿宋_GB2312" w:eastAsia="仿宋_GB2312" w:cs="DengXian-Regular"/>
          <w:sz w:val="32"/>
          <w:szCs w:val="32"/>
        </w:rPr>
        <w:t>1586.15</w:t>
      </w:r>
      <w:r>
        <w:rPr>
          <w:rFonts w:hint="eastAsia" w:ascii="仿宋_GB2312" w:eastAsia="仿宋_GB2312" w:cs="DengXian-Regular"/>
          <w:sz w:val="32"/>
          <w:szCs w:val="32"/>
        </w:rPr>
        <w:t>万元，其中：人员经费</w:t>
      </w:r>
      <w:r>
        <w:rPr>
          <w:rFonts w:ascii="仿宋_GB2312" w:eastAsia="仿宋_GB2312" w:cs="DengXian-Regular"/>
          <w:sz w:val="32"/>
          <w:szCs w:val="32"/>
        </w:rPr>
        <w:t>1424.26</w:t>
      </w:r>
      <w:r>
        <w:rPr>
          <w:rFonts w:hint="eastAsia" w:ascii="仿宋_GB2312"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ascii="仿宋_GB2312" w:eastAsia="仿宋_GB2312" w:cs="DengXian-Regular"/>
          <w:sz w:val="32"/>
          <w:szCs w:val="32"/>
        </w:rPr>
        <w:t>19.73</w:t>
      </w:r>
      <w:r>
        <w:rPr>
          <w:rFonts w:hint="eastAsia" w:ascii="仿宋_GB2312" w:eastAsia="仿宋_GB2312" w:cs="DengXian-Regular"/>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w:t>
      </w:r>
      <w:r>
        <w:rPr>
          <w:rFonts w:ascii="黑体" w:eastAsia="黑体"/>
          <w:b w:val="0"/>
          <w:bCs w:val="0"/>
        </w:rPr>
        <w:t xml:space="preserve"> </w:t>
      </w:r>
      <w:r>
        <w:rPr>
          <w:rFonts w:hint="eastAsia" w:ascii="黑体" w:eastAsia="黑体"/>
          <w:b w:val="0"/>
          <w:bCs w:val="0"/>
        </w:rPr>
        <w:t>经费支出决算情况说明</w:t>
      </w:r>
    </w:p>
    <w:p>
      <w:pPr>
        <w:adjustRightInd w:val="0"/>
        <w:snapToGrid w:val="0"/>
        <w:spacing w:line="584" w:lineRule="exact"/>
        <w:ind w:firstLine="640" w:firstLineChars="200"/>
        <w:rPr>
          <w:rFonts w:eastAsia="仿宋_GB2312"/>
          <w:sz w:val="32"/>
          <w:szCs w:val="32"/>
          <w:highlight w:val="yellow"/>
        </w:rPr>
      </w:pPr>
      <w:r>
        <w:rPr>
          <w:rFonts w:hint="eastAsia" w:eastAsia="仿宋_GB2312"/>
          <w:sz w:val="32"/>
          <w:szCs w:val="32"/>
        </w:rPr>
        <w:t>本部门</w:t>
      </w:r>
      <w:r>
        <w:rPr>
          <w:rFonts w:eastAsia="仿宋_GB2312"/>
          <w:sz w:val="32"/>
          <w:szCs w:val="32"/>
        </w:rPr>
        <w:t>2018</w:t>
      </w:r>
      <w:r>
        <w:rPr>
          <w:rFonts w:hint="eastAsia" w:eastAsia="仿宋_GB2312"/>
          <w:sz w:val="32"/>
          <w:szCs w:val="32"/>
        </w:rPr>
        <w:t>年度一般公共预算财政拨款</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经费支出共计</w:t>
      </w:r>
      <w:r>
        <w:rPr>
          <w:rFonts w:eastAsia="仿宋_GB2312"/>
          <w:sz w:val="32"/>
          <w:szCs w:val="32"/>
        </w:rPr>
        <w:t>1.72</w:t>
      </w:r>
      <w:r>
        <w:rPr>
          <w:rFonts w:hint="eastAsia" w:eastAsia="仿宋_GB2312"/>
          <w:sz w:val="32"/>
          <w:szCs w:val="32"/>
        </w:rPr>
        <w:t>万元，比年初预算减少</w:t>
      </w:r>
      <w:r>
        <w:rPr>
          <w:rFonts w:eastAsia="仿宋_GB2312"/>
          <w:sz w:val="32"/>
          <w:szCs w:val="32"/>
        </w:rPr>
        <w:t>1.03</w:t>
      </w:r>
      <w:r>
        <w:rPr>
          <w:rFonts w:hint="eastAsia" w:eastAsia="仿宋_GB2312"/>
          <w:sz w:val="32"/>
          <w:szCs w:val="32"/>
        </w:rPr>
        <w:t>万元，降低</w:t>
      </w:r>
      <w:r>
        <w:rPr>
          <w:rFonts w:eastAsia="仿宋_GB2312"/>
          <w:sz w:val="32"/>
          <w:szCs w:val="32"/>
        </w:rPr>
        <w:t>37.5%</w:t>
      </w:r>
      <w:r>
        <w:rPr>
          <w:rFonts w:hint="eastAsia" w:eastAsia="仿宋_GB2312"/>
          <w:sz w:val="32"/>
          <w:szCs w:val="32"/>
        </w:rPr>
        <w:t>，主要</w:t>
      </w:r>
      <w:r>
        <w:rPr>
          <w:rFonts w:hint="eastAsia" w:ascii="仿宋_GB2312" w:eastAsia="仿宋_GB2312" w:cs="DengXian-Regular"/>
          <w:sz w:val="32"/>
          <w:szCs w:val="32"/>
        </w:rPr>
        <w:t>原因</w:t>
      </w:r>
      <w:r>
        <w:rPr>
          <w:rFonts w:hint="eastAsia" w:eastAsia="仿宋_GB2312"/>
          <w:sz w:val="32"/>
          <w:szCs w:val="32"/>
        </w:rPr>
        <w:t>是</w:t>
      </w:r>
      <w:r>
        <w:rPr>
          <w:rFonts w:hint="eastAsia" w:eastAsia="仿宋_GB2312"/>
          <w:color w:val="000000"/>
          <w:kern w:val="0"/>
          <w:sz w:val="32"/>
          <w:szCs w:val="32"/>
        </w:rPr>
        <w:t>节省各项开支，尤其是严格控制</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经费的支出</w:t>
      </w:r>
      <w:r>
        <w:rPr>
          <w:rFonts w:hint="eastAsia" w:eastAsia="仿宋_GB2312"/>
          <w:sz w:val="32"/>
          <w:szCs w:val="32"/>
        </w:rPr>
        <w:t>。比</w:t>
      </w:r>
      <w:r>
        <w:rPr>
          <w:rFonts w:eastAsia="仿宋_GB2312"/>
          <w:sz w:val="32"/>
          <w:szCs w:val="32"/>
        </w:rPr>
        <w:t>2017</w:t>
      </w:r>
      <w:r>
        <w:rPr>
          <w:rFonts w:hint="eastAsia" w:eastAsia="仿宋_GB2312"/>
          <w:sz w:val="32"/>
          <w:szCs w:val="32"/>
        </w:rPr>
        <w:t>年度决算减少</w:t>
      </w:r>
      <w:r>
        <w:rPr>
          <w:rFonts w:eastAsia="仿宋_GB2312"/>
          <w:sz w:val="32"/>
          <w:szCs w:val="32"/>
        </w:rPr>
        <w:t>1.33</w:t>
      </w:r>
      <w:r>
        <w:rPr>
          <w:rFonts w:hint="eastAsia" w:eastAsia="仿宋_GB2312"/>
          <w:sz w:val="32"/>
          <w:szCs w:val="32"/>
        </w:rPr>
        <w:t>万元，降低</w:t>
      </w:r>
      <w:r>
        <w:rPr>
          <w:rFonts w:eastAsia="仿宋_GB2312"/>
          <w:sz w:val="32"/>
          <w:szCs w:val="32"/>
        </w:rPr>
        <w:t>43.6%</w:t>
      </w:r>
      <w:r>
        <w:rPr>
          <w:rFonts w:hint="eastAsia" w:eastAsia="仿宋_GB2312"/>
          <w:sz w:val="32"/>
          <w:szCs w:val="32"/>
        </w:rPr>
        <w:t>，主要</w:t>
      </w:r>
      <w:r>
        <w:rPr>
          <w:rFonts w:hint="eastAsia" w:ascii="仿宋_GB2312" w:eastAsia="仿宋_GB2312" w:cs="DengXian-Regular"/>
          <w:sz w:val="32"/>
          <w:szCs w:val="32"/>
        </w:rPr>
        <w:t>原因</w:t>
      </w:r>
      <w:r>
        <w:rPr>
          <w:rFonts w:hint="eastAsia" w:eastAsia="仿宋_GB2312"/>
          <w:sz w:val="32"/>
          <w:szCs w:val="32"/>
        </w:rPr>
        <w:t>是加强公车管理，严控公车使用频率，严控公车费用支出；严控招待人数和标准。具体情况如下：</w:t>
      </w:r>
    </w:p>
    <w:p>
      <w:pPr>
        <w:adjustRightInd w:val="0"/>
        <w:snapToGrid w:val="0"/>
        <w:spacing w:line="584" w:lineRule="exact"/>
        <w:ind w:firstLine="643" w:firstLineChars="200"/>
        <w:rPr>
          <w:rFonts w:eastAsia="仿宋_GB2312"/>
          <w:sz w:val="32"/>
          <w:szCs w:val="32"/>
          <w:highlight w:val="yellow"/>
        </w:rPr>
      </w:pPr>
      <w:r>
        <w:rPr>
          <w:rFonts w:hint="eastAsia" w:eastAsia="楷体_GB2312"/>
          <w:b/>
          <w:bCs/>
          <w:sz w:val="32"/>
          <w:szCs w:val="32"/>
        </w:rPr>
        <w:t>（一）因公出国（境）费支出</w:t>
      </w:r>
      <w:r>
        <w:rPr>
          <w:rFonts w:eastAsia="楷体_GB2312"/>
          <w:b/>
          <w:bCs/>
          <w:sz w:val="32"/>
          <w:szCs w:val="32"/>
        </w:rPr>
        <w:t>0</w:t>
      </w:r>
      <w:r>
        <w:rPr>
          <w:rFonts w:hint="eastAsia" w:eastAsia="楷体_GB2312"/>
          <w:b/>
          <w:bCs/>
          <w:sz w:val="32"/>
          <w:szCs w:val="32"/>
        </w:rPr>
        <w:t>元。</w:t>
      </w:r>
      <w:r>
        <w:rPr>
          <w:rFonts w:eastAsia="仿宋_GB2312"/>
          <w:sz w:val="32"/>
          <w:szCs w:val="32"/>
        </w:rPr>
        <w:t>本部门201</w:t>
      </w:r>
      <w:r>
        <w:rPr>
          <w:rFonts w:hint="eastAsia" w:eastAsia="仿宋_GB2312"/>
          <w:sz w:val="32"/>
          <w:szCs w:val="32"/>
        </w:rPr>
        <w:t>8</w:t>
      </w:r>
      <w:r>
        <w:rPr>
          <w:rFonts w:eastAsia="仿宋_GB2312"/>
          <w:sz w:val="32"/>
          <w:szCs w:val="32"/>
        </w:rPr>
        <w:t>年度</w:t>
      </w:r>
      <w:r>
        <w:rPr>
          <w:rFonts w:hint="eastAsia" w:ascii="仿宋_GB2312" w:eastAsia="仿宋_GB2312" w:cs="DengXian-Regular"/>
          <w:sz w:val="32"/>
          <w:szCs w:val="32"/>
        </w:rPr>
        <w:t>因公出国（境）团组0个、共0人/参加其他单位组织的因公出国（境）团组0个、共0人/无本单位组织的出国（境）团组。</w:t>
      </w:r>
      <w:r>
        <w:rPr>
          <w:rFonts w:eastAsia="仿宋_GB2312"/>
          <w:sz w:val="32"/>
          <w:szCs w:val="32"/>
        </w:rPr>
        <w:t>因公出国（境）费支出</w:t>
      </w:r>
      <w:r>
        <w:rPr>
          <w:rFonts w:hint="eastAsia" w:eastAsia="仿宋_GB2312"/>
          <w:color w:val="000000"/>
          <w:sz w:val="32"/>
          <w:szCs w:val="32"/>
        </w:rPr>
        <w:t>较年初预算无增减变化</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w:t>
      </w:r>
      <w:r>
        <w:rPr>
          <w:rFonts w:hint="eastAsia" w:eastAsia="仿宋_GB2312"/>
          <w:sz w:val="32"/>
          <w:szCs w:val="32"/>
        </w:rPr>
        <w:t>无增减变化</w:t>
      </w:r>
      <w:r>
        <w:rPr>
          <w:rFonts w:eastAsia="仿宋_GB2312"/>
          <w:sz w:val="32"/>
          <w:szCs w:val="32"/>
        </w:rPr>
        <w:t>。</w:t>
      </w:r>
    </w:p>
    <w:p>
      <w:pPr>
        <w:adjustRightInd w:val="0"/>
        <w:snapToGrid w:val="0"/>
        <w:spacing w:line="584" w:lineRule="exact"/>
        <w:ind w:firstLine="643" w:firstLineChars="200"/>
        <w:rPr>
          <w:rFonts w:eastAsia="仿宋_GB2312"/>
          <w:b/>
          <w:bCs/>
          <w:sz w:val="32"/>
          <w:szCs w:val="32"/>
        </w:rPr>
      </w:pPr>
      <w:r>
        <w:rPr>
          <w:rFonts w:hint="eastAsia" w:eastAsia="楷体_GB2312"/>
          <w:b/>
          <w:bCs/>
          <w:sz w:val="32"/>
          <w:szCs w:val="32"/>
        </w:rPr>
        <w:t>（二）公务用车购置及运行维护费支出</w:t>
      </w:r>
      <w:r>
        <w:rPr>
          <w:rFonts w:eastAsia="楷体_GB2312"/>
          <w:b/>
          <w:bCs/>
          <w:sz w:val="32"/>
          <w:szCs w:val="32"/>
        </w:rPr>
        <w:t>1.27</w:t>
      </w:r>
      <w:r>
        <w:rPr>
          <w:rFonts w:hint="eastAsia" w:eastAsia="楷体_GB2312"/>
          <w:b/>
          <w:bCs/>
          <w:sz w:val="32"/>
          <w:szCs w:val="32"/>
        </w:rPr>
        <w:t>万元。</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年度公务用车购置及运行维护费比年初预算</w:t>
      </w:r>
      <w:r>
        <w:rPr>
          <w:rFonts w:hint="eastAsia" w:eastAsia="仿宋_GB2312"/>
          <w:sz w:val="32"/>
          <w:szCs w:val="32"/>
        </w:rPr>
        <w:t>减少</w:t>
      </w:r>
      <w:r>
        <w:rPr>
          <w:rFonts w:eastAsia="仿宋_GB2312"/>
          <w:sz w:val="32"/>
          <w:szCs w:val="32"/>
        </w:rPr>
        <w:t>1.03</w:t>
      </w:r>
      <w:r>
        <w:rPr>
          <w:rFonts w:hint="eastAsia" w:eastAsia="仿宋_GB2312"/>
          <w:sz w:val="32"/>
          <w:szCs w:val="32"/>
        </w:rPr>
        <w:t>万元</w:t>
      </w:r>
      <w:r>
        <w:rPr>
          <w:rFonts w:hint="eastAsia" w:ascii="仿宋_GB2312" w:eastAsia="仿宋_GB2312" w:cs="DengXian-Regular"/>
          <w:sz w:val="32"/>
          <w:szCs w:val="32"/>
        </w:rPr>
        <w:t>，</w:t>
      </w:r>
      <w:r>
        <w:rPr>
          <w:rFonts w:hint="eastAsia" w:eastAsia="仿宋_GB2312"/>
          <w:sz w:val="32"/>
          <w:szCs w:val="32"/>
        </w:rPr>
        <w:t>降低</w:t>
      </w:r>
      <w:r>
        <w:rPr>
          <w:rFonts w:eastAsia="仿宋_GB2312"/>
          <w:sz w:val="32"/>
          <w:szCs w:val="32"/>
        </w:rPr>
        <w:t>44.8%</w:t>
      </w:r>
      <w:r>
        <w:rPr>
          <w:rFonts w:ascii="仿宋_GB2312" w:eastAsia="仿宋_GB2312" w:cs="DengXian-Regular"/>
          <w:sz w:val="32"/>
          <w:szCs w:val="32"/>
        </w:rPr>
        <w:t>,</w:t>
      </w:r>
      <w:r>
        <w:rPr>
          <w:rFonts w:hint="eastAsia" w:ascii="仿宋_GB2312" w:eastAsia="仿宋_GB2312" w:cs="DengXian-Regular"/>
          <w:sz w:val="32"/>
          <w:szCs w:val="32"/>
        </w:rPr>
        <w:t>主要原因是严格公车管理，节约各项开支；</w:t>
      </w:r>
      <w:r>
        <w:rPr>
          <w:rFonts w:hint="eastAsia" w:eastAsia="仿宋_GB2312"/>
          <w:sz w:val="32"/>
          <w:szCs w:val="32"/>
        </w:rPr>
        <w:t>比</w:t>
      </w:r>
      <w:r>
        <w:rPr>
          <w:rFonts w:eastAsia="仿宋_GB2312"/>
          <w:sz w:val="32"/>
          <w:szCs w:val="32"/>
        </w:rPr>
        <w:t>2017</w:t>
      </w:r>
      <w:r>
        <w:rPr>
          <w:rFonts w:hint="eastAsia" w:eastAsia="仿宋_GB2312"/>
          <w:sz w:val="32"/>
          <w:szCs w:val="32"/>
        </w:rPr>
        <w:t>年度决算增加</w:t>
      </w:r>
      <w:r>
        <w:rPr>
          <w:rFonts w:eastAsia="仿宋_GB2312"/>
          <w:sz w:val="32"/>
          <w:szCs w:val="32"/>
        </w:rPr>
        <w:t>0.3</w:t>
      </w:r>
      <w:r>
        <w:rPr>
          <w:rFonts w:hint="eastAsia" w:eastAsia="仿宋_GB2312"/>
          <w:sz w:val="32"/>
          <w:szCs w:val="32"/>
        </w:rPr>
        <w:t>万元，增长</w:t>
      </w:r>
      <w:r>
        <w:rPr>
          <w:rFonts w:eastAsia="仿宋_GB2312"/>
          <w:sz w:val="32"/>
          <w:szCs w:val="32"/>
        </w:rPr>
        <w:t>30.9%</w:t>
      </w:r>
      <w:r>
        <w:rPr>
          <w:rFonts w:hint="eastAsia" w:eastAsia="仿宋_GB2312"/>
          <w:sz w:val="32"/>
          <w:szCs w:val="32"/>
        </w:rPr>
        <w:t>，主要</w:t>
      </w:r>
      <w:r>
        <w:rPr>
          <w:rFonts w:hint="eastAsia" w:ascii="仿宋_GB2312" w:eastAsia="仿宋_GB2312" w:cs="DengXian-Regular"/>
          <w:sz w:val="32"/>
          <w:szCs w:val="32"/>
        </w:rPr>
        <w:t>原因</w:t>
      </w:r>
      <w:r>
        <w:rPr>
          <w:rFonts w:hint="eastAsia" w:eastAsia="仿宋_GB2312"/>
          <w:sz w:val="32"/>
          <w:szCs w:val="32"/>
        </w:rPr>
        <w:t>是</w:t>
      </w:r>
      <w:r>
        <w:rPr>
          <w:rFonts w:eastAsia="仿宋_GB2312"/>
          <w:sz w:val="32"/>
          <w:szCs w:val="32"/>
        </w:rPr>
        <w:t>5.18</w:t>
      </w:r>
      <w:r>
        <w:rPr>
          <w:rFonts w:hint="eastAsia" w:eastAsia="仿宋_GB2312"/>
          <w:sz w:val="32"/>
          <w:szCs w:val="32"/>
        </w:rPr>
        <w:t>期间用车接待客商多支出</w:t>
      </w:r>
      <w:r>
        <w:rPr>
          <w:rFonts w:eastAsia="仿宋_GB2312"/>
          <w:sz w:val="32"/>
          <w:szCs w:val="32"/>
        </w:rPr>
        <w:t>0.36</w:t>
      </w:r>
      <w:r>
        <w:rPr>
          <w:rFonts w:hint="eastAsia" w:eastAsia="仿宋_GB2312"/>
          <w:sz w:val="32"/>
          <w:szCs w:val="32"/>
        </w:rPr>
        <w:t>万元。</w:t>
      </w:r>
    </w:p>
    <w:p>
      <w:pPr>
        <w:adjustRightInd w:val="0"/>
        <w:snapToGrid w:val="0"/>
        <w:spacing w:line="584" w:lineRule="exact"/>
        <w:ind w:firstLine="643" w:firstLineChars="200"/>
        <w:rPr>
          <w:rFonts w:eastAsia="仿宋_GB2312"/>
          <w:color w:val="000000"/>
          <w:sz w:val="32"/>
          <w:szCs w:val="32"/>
        </w:rPr>
      </w:pPr>
      <w:r>
        <w:rPr>
          <w:rFonts w:hint="eastAsia" w:eastAsia="仿宋_GB2312"/>
          <w:b/>
          <w:sz w:val="32"/>
          <w:szCs w:val="32"/>
        </w:rPr>
        <w:t>公务用车购置费支出</w:t>
      </w:r>
      <w:r>
        <w:rPr>
          <w:rFonts w:eastAsia="仿宋_GB2312"/>
          <w:b/>
          <w:sz w:val="32"/>
          <w:szCs w:val="32"/>
        </w:rPr>
        <w:t>0</w:t>
      </w:r>
      <w:r>
        <w:rPr>
          <w:rFonts w:hint="eastAsia" w:eastAsia="仿宋_GB2312"/>
          <w:b/>
          <w:sz w:val="32"/>
          <w:szCs w:val="32"/>
        </w:rPr>
        <w:t>万元。</w:t>
      </w:r>
      <w:r>
        <w:rPr>
          <w:rFonts w:hint="eastAsia" w:eastAsia="楷体_GB2312"/>
          <w:bCs/>
          <w:sz w:val="32"/>
          <w:szCs w:val="32"/>
        </w:rPr>
        <w:t>本部门</w:t>
      </w:r>
      <w:r>
        <w:rPr>
          <w:rFonts w:eastAsia="楷体_GB2312"/>
          <w:bCs/>
          <w:sz w:val="32"/>
          <w:szCs w:val="32"/>
        </w:rPr>
        <w:t>2018</w:t>
      </w:r>
      <w:r>
        <w:rPr>
          <w:rFonts w:hint="eastAsia" w:eastAsia="楷体_GB2312"/>
          <w:bCs/>
          <w:sz w:val="32"/>
          <w:szCs w:val="32"/>
        </w:rPr>
        <w:t>年未</w:t>
      </w:r>
      <w:r>
        <w:rPr>
          <w:rFonts w:hint="eastAsia" w:eastAsia="仿宋_GB2312"/>
          <w:color w:val="000000"/>
          <w:sz w:val="32"/>
          <w:szCs w:val="32"/>
        </w:rPr>
        <w:t>发生</w:t>
      </w:r>
      <w:r>
        <w:rPr>
          <w:rFonts w:eastAsia="仿宋_GB2312"/>
          <w:color w:val="000000"/>
          <w:sz w:val="32"/>
          <w:szCs w:val="32"/>
        </w:rPr>
        <w:t>“</w:t>
      </w:r>
      <w:r>
        <w:rPr>
          <w:rFonts w:hint="eastAsia" w:eastAsia="仿宋_GB2312"/>
          <w:sz w:val="32"/>
          <w:szCs w:val="32"/>
        </w:rPr>
        <w:t>公务用车购置费</w:t>
      </w:r>
      <w:r>
        <w:rPr>
          <w:rFonts w:eastAsia="仿宋_GB2312"/>
          <w:color w:val="000000"/>
          <w:sz w:val="32"/>
          <w:szCs w:val="32"/>
        </w:rPr>
        <w:t>”</w:t>
      </w:r>
      <w:r>
        <w:rPr>
          <w:rFonts w:hint="eastAsia" w:eastAsia="仿宋_GB2312"/>
          <w:color w:val="000000"/>
          <w:sz w:val="32"/>
          <w:szCs w:val="32"/>
        </w:rPr>
        <w:t>经费支出、较年初预算无增减变化、较</w:t>
      </w:r>
      <w:r>
        <w:rPr>
          <w:rFonts w:eastAsia="仿宋_GB2312"/>
          <w:color w:val="000000"/>
          <w:sz w:val="32"/>
          <w:szCs w:val="32"/>
        </w:rPr>
        <w:t>2017</w:t>
      </w:r>
      <w:r>
        <w:rPr>
          <w:rFonts w:hint="eastAsia" w:eastAsia="仿宋_GB2312"/>
          <w:color w:val="000000"/>
          <w:sz w:val="32"/>
          <w:szCs w:val="32"/>
        </w:rPr>
        <w:t>年度决算无增减变化。</w:t>
      </w:r>
    </w:p>
    <w:p>
      <w:pPr>
        <w:adjustRightInd w:val="0"/>
        <w:snapToGrid w:val="0"/>
        <w:spacing w:line="584" w:lineRule="exact"/>
        <w:ind w:firstLine="643" w:firstLineChars="200"/>
        <w:rPr>
          <w:rFonts w:eastAsia="仿宋_GB2312"/>
          <w:sz w:val="32"/>
          <w:szCs w:val="32"/>
          <w:highlight w:val="yellow"/>
        </w:rPr>
      </w:pPr>
      <w:r>
        <w:rPr>
          <w:rFonts w:hint="eastAsia" w:eastAsia="仿宋_GB2312"/>
          <w:b/>
          <w:sz w:val="32"/>
          <w:szCs w:val="32"/>
        </w:rPr>
        <w:t>公务用车运行维护费支出</w:t>
      </w:r>
      <w:r>
        <w:rPr>
          <w:rFonts w:eastAsia="仿宋_GB2312"/>
          <w:b/>
          <w:sz w:val="32"/>
          <w:szCs w:val="32"/>
        </w:rPr>
        <w:t>1.27</w:t>
      </w:r>
      <w:r>
        <w:rPr>
          <w:rFonts w:hint="eastAsia" w:eastAsia="仿宋_GB2312"/>
          <w:b/>
          <w:sz w:val="32"/>
          <w:szCs w:val="32"/>
        </w:rPr>
        <w:t>万元。</w:t>
      </w:r>
      <w:r>
        <w:rPr>
          <w:rFonts w:hint="eastAsia" w:eastAsia="仿宋_GB2312"/>
          <w:sz w:val="32"/>
          <w:szCs w:val="32"/>
        </w:rPr>
        <w:t>本部门</w:t>
      </w:r>
      <w:r>
        <w:rPr>
          <w:rFonts w:eastAsia="仿宋_GB2312"/>
          <w:sz w:val="32"/>
          <w:szCs w:val="32"/>
        </w:rPr>
        <w:t>2018</w:t>
      </w:r>
      <w:r>
        <w:rPr>
          <w:rFonts w:hint="eastAsia" w:eastAsia="仿宋_GB2312"/>
          <w:sz w:val="32"/>
          <w:szCs w:val="32"/>
        </w:rPr>
        <w:t>年末单位公务用车保有量</w:t>
      </w:r>
      <w:r>
        <w:rPr>
          <w:rFonts w:eastAsia="仿宋_GB2312"/>
          <w:sz w:val="32"/>
          <w:szCs w:val="32"/>
        </w:rPr>
        <w:t>1</w:t>
      </w:r>
      <w:r>
        <w:rPr>
          <w:rFonts w:hint="eastAsia" w:eastAsia="仿宋_GB2312"/>
          <w:sz w:val="32"/>
          <w:szCs w:val="32"/>
        </w:rPr>
        <w:t>辆。公车运行维护费支出比年初预算减少</w:t>
      </w:r>
      <w:r>
        <w:rPr>
          <w:rFonts w:eastAsia="仿宋_GB2312"/>
          <w:sz w:val="32"/>
          <w:szCs w:val="32"/>
        </w:rPr>
        <w:t>1.03</w:t>
      </w:r>
      <w:r>
        <w:rPr>
          <w:rFonts w:hint="eastAsia" w:eastAsia="仿宋_GB2312"/>
          <w:sz w:val="32"/>
          <w:szCs w:val="32"/>
        </w:rPr>
        <w:t>万元，降低</w:t>
      </w:r>
      <w:r>
        <w:rPr>
          <w:rFonts w:eastAsia="仿宋_GB2312"/>
          <w:sz w:val="32"/>
          <w:szCs w:val="32"/>
        </w:rPr>
        <w:t>44.8%</w:t>
      </w:r>
      <w:r>
        <w:rPr>
          <w:rFonts w:hint="eastAsia" w:eastAsia="仿宋_GB2312"/>
          <w:sz w:val="32"/>
          <w:szCs w:val="32"/>
        </w:rPr>
        <w:t>，主要</w:t>
      </w:r>
      <w:r>
        <w:rPr>
          <w:rFonts w:hint="eastAsia" w:ascii="仿宋_GB2312" w:eastAsia="仿宋_GB2312" w:cs="DengXian-Regular"/>
          <w:sz w:val="32"/>
          <w:szCs w:val="32"/>
        </w:rPr>
        <w:t>原因</w:t>
      </w:r>
      <w:r>
        <w:rPr>
          <w:rFonts w:hint="eastAsia" w:eastAsia="仿宋_GB2312"/>
          <w:sz w:val="32"/>
          <w:szCs w:val="32"/>
        </w:rPr>
        <w:t>是</w:t>
      </w:r>
      <w:r>
        <w:rPr>
          <w:rFonts w:hint="eastAsia" w:ascii="仿宋_GB2312" w:eastAsia="仿宋_GB2312" w:cs="DengXian-Regular"/>
          <w:sz w:val="32"/>
          <w:szCs w:val="32"/>
        </w:rPr>
        <w:t>严格公车管理，节约各项开支</w:t>
      </w:r>
      <w:r>
        <w:rPr>
          <w:rFonts w:hint="eastAsia" w:eastAsia="仿宋_GB2312"/>
          <w:sz w:val="32"/>
          <w:szCs w:val="32"/>
        </w:rPr>
        <w:t>；比</w:t>
      </w:r>
      <w:r>
        <w:rPr>
          <w:rFonts w:eastAsia="仿宋_GB2312"/>
          <w:sz w:val="32"/>
          <w:szCs w:val="32"/>
        </w:rPr>
        <w:t>2017</w:t>
      </w:r>
      <w:r>
        <w:rPr>
          <w:rFonts w:hint="eastAsia" w:eastAsia="仿宋_GB2312"/>
          <w:sz w:val="32"/>
          <w:szCs w:val="32"/>
        </w:rPr>
        <w:t>年度决算增加</w:t>
      </w:r>
      <w:r>
        <w:rPr>
          <w:rFonts w:eastAsia="仿宋_GB2312"/>
          <w:sz w:val="32"/>
          <w:szCs w:val="32"/>
        </w:rPr>
        <w:t>0.3</w:t>
      </w:r>
      <w:r>
        <w:rPr>
          <w:rFonts w:hint="eastAsia" w:eastAsia="仿宋_GB2312"/>
          <w:sz w:val="32"/>
          <w:szCs w:val="32"/>
        </w:rPr>
        <w:t>万元，增长</w:t>
      </w:r>
      <w:r>
        <w:rPr>
          <w:rFonts w:eastAsia="仿宋_GB2312"/>
          <w:sz w:val="32"/>
          <w:szCs w:val="32"/>
        </w:rPr>
        <w:t>30.9%</w:t>
      </w:r>
      <w:r>
        <w:rPr>
          <w:rFonts w:hint="eastAsia" w:eastAsia="仿宋_GB2312"/>
          <w:sz w:val="32"/>
          <w:szCs w:val="32"/>
        </w:rPr>
        <w:t>，主要</w:t>
      </w:r>
      <w:r>
        <w:rPr>
          <w:rFonts w:hint="eastAsia" w:ascii="仿宋_GB2312" w:eastAsia="仿宋_GB2312" w:cs="DengXian-Regular"/>
          <w:sz w:val="32"/>
          <w:szCs w:val="32"/>
        </w:rPr>
        <w:t>原因</w:t>
      </w:r>
      <w:r>
        <w:rPr>
          <w:rFonts w:hint="eastAsia" w:eastAsia="仿宋_GB2312"/>
          <w:sz w:val="32"/>
          <w:szCs w:val="32"/>
        </w:rPr>
        <w:t>是“</w:t>
      </w:r>
      <w:r>
        <w:rPr>
          <w:rFonts w:eastAsia="仿宋_GB2312"/>
          <w:sz w:val="32"/>
          <w:szCs w:val="32"/>
        </w:rPr>
        <w:t>5.18</w:t>
      </w:r>
      <w:r>
        <w:rPr>
          <w:rFonts w:hint="eastAsia" w:eastAsia="仿宋_GB2312"/>
          <w:sz w:val="32"/>
          <w:szCs w:val="32"/>
        </w:rPr>
        <w:t>”经洽会期间用车接待客商多支出</w:t>
      </w:r>
      <w:r>
        <w:rPr>
          <w:rFonts w:eastAsia="仿宋_GB2312"/>
          <w:sz w:val="32"/>
          <w:szCs w:val="32"/>
        </w:rPr>
        <w:t>0.36</w:t>
      </w:r>
      <w:r>
        <w:rPr>
          <w:rFonts w:hint="eastAsia" w:eastAsia="仿宋_GB2312"/>
          <w:sz w:val="32"/>
          <w:szCs w:val="32"/>
        </w:rPr>
        <w:t>万元。</w:t>
      </w:r>
    </w:p>
    <w:p>
      <w:pPr>
        <w:adjustRightInd w:val="0"/>
        <w:snapToGrid w:val="0"/>
        <w:spacing w:line="584" w:lineRule="exact"/>
        <w:ind w:firstLine="643" w:firstLineChars="200"/>
        <w:rPr>
          <w:rFonts w:eastAsia="仿宋_GB2312"/>
          <w:sz w:val="32"/>
          <w:szCs w:val="32"/>
          <w:highlight w:val="yellow"/>
        </w:rPr>
      </w:pPr>
      <w:r>
        <w:rPr>
          <w:rFonts w:hint="eastAsia" w:eastAsia="楷体_GB2312"/>
          <w:b/>
          <w:bCs/>
          <w:sz w:val="32"/>
          <w:szCs w:val="32"/>
        </w:rPr>
        <w:t>（三）公务接待费支出</w:t>
      </w:r>
      <w:r>
        <w:rPr>
          <w:rFonts w:eastAsia="楷体_GB2312"/>
          <w:b/>
          <w:bCs/>
          <w:sz w:val="32"/>
          <w:szCs w:val="32"/>
        </w:rPr>
        <w:t>0.45</w:t>
      </w:r>
      <w:r>
        <w:rPr>
          <w:rFonts w:hint="eastAsia" w:eastAsia="楷体_GB2312"/>
          <w:b/>
          <w:bCs/>
          <w:sz w:val="32"/>
          <w:szCs w:val="32"/>
        </w:rPr>
        <w:t>万元。</w:t>
      </w:r>
      <w:r>
        <w:rPr>
          <w:rFonts w:hint="eastAsia" w:eastAsia="仿宋_GB2312"/>
          <w:sz w:val="32"/>
          <w:szCs w:val="32"/>
        </w:rPr>
        <w:t>本部门</w:t>
      </w:r>
      <w:r>
        <w:rPr>
          <w:rFonts w:eastAsia="仿宋_GB2312"/>
          <w:sz w:val="32"/>
          <w:szCs w:val="32"/>
        </w:rPr>
        <w:t>2018</w:t>
      </w:r>
      <w:r>
        <w:rPr>
          <w:rFonts w:hint="eastAsia" w:eastAsia="仿宋_GB2312"/>
          <w:sz w:val="32"/>
          <w:szCs w:val="32"/>
        </w:rPr>
        <w:t>年度公务接待共</w:t>
      </w:r>
      <w:r>
        <w:rPr>
          <w:rFonts w:eastAsia="仿宋_GB2312"/>
          <w:sz w:val="32"/>
          <w:szCs w:val="32"/>
        </w:rPr>
        <w:t>4</w:t>
      </w:r>
      <w:r>
        <w:rPr>
          <w:rFonts w:hint="eastAsia" w:eastAsia="仿宋_GB2312"/>
          <w:sz w:val="32"/>
          <w:szCs w:val="32"/>
        </w:rPr>
        <w:t>批次、</w:t>
      </w:r>
      <w:r>
        <w:rPr>
          <w:rFonts w:eastAsia="仿宋_GB2312"/>
          <w:sz w:val="32"/>
          <w:szCs w:val="32"/>
        </w:rPr>
        <w:t>50</w:t>
      </w:r>
      <w:r>
        <w:rPr>
          <w:rFonts w:hint="eastAsia" w:eastAsia="仿宋_GB2312"/>
          <w:sz w:val="32"/>
          <w:szCs w:val="32"/>
        </w:rPr>
        <w:t>人次。公务接待费支出比年初预算增加</w:t>
      </w:r>
      <w:r>
        <w:rPr>
          <w:rFonts w:eastAsia="仿宋_GB2312"/>
          <w:sz w:val="32"/>
          <w:szCs w:val="32"/>
        </w:rPr>
        <w:t>0.45</w:t>
      </w:r>
      <w:r>
        <w:rPr>
          <w:rFonts w:hint="eastAsia" w:eastAsia="仿宋_GB2312"/>
          <w:sz w:val="32"/>
          <w:szCs w:val="32"/>
        </w:rPr>
        <w:t>万元，增长</w:t>
      </w:r>
      <w:r>
        <w:rPr>
          <w:rFonts w:eastAsia="仿宋_GB2312"/>
          <w:sz w:val="32"/>
          <w:szCs w:val="32"/>
        </w:rPr>
        <w:t>100%</w:t>
      </w:r>
      <w:r>
        <w:rPr>
          <w:rFonts w:hint="eastAsia" w:eastAsia="仿宋_GB2312"/>
          <w:sz w:val="32"/>
          <w:szCs w:val="32"/>
        </w:rPr>
        <w:t>，主要</w:t>
      </w:r>
      <w:r>
        <w:rPr>
          <w:rFonts w:hint="eastAsia" w:ascii="仿宋_GB2312" w:eastAsia="仿宋_GB2312" w:cs="DengXian-Regular"/>
          <w:sz w:val="32"/>
          <w:szCs w:val="32"/>
        </w:rPr>
        <w:t>原因</w:t>
      </w:r>
      <w:r>
        <w:rPr>
          <w:rFonts w:hint="eastAsia" w:eastAsia="仿宋_GB2312"/>
          <w:sz w:val="32"/>
          <w:szCs w:val="32"/>
        </w:rPr>
        <w:t>是年初无预算；比</w:t>
      </w:r>
      <w:r>
        <w:rPr>
          <w:rFonts w:eastAsia="仿宋_GB2312"/>
          <w:sz w:val="32"/>
          <w:szCs w:val="32"/>
        </w:rPr>
        <w:t>2017</w:t>
      </w:r>
      <w:r>
        <w:rPr>
          <w:rFonts w:hint="eastAsia" w:eastAsia="仿宋_GB2312"/>
          <w:sz w:val="32"/>
          <w:szCs w:val="32"/>
        </w:rPr>
        <w:t>年度决算减少</w:t>
      </w:r>
      <w:r>
        <w:rPr>
          <w:rFonts w:eastAsia="仿宋_GB2312"/>
          <w:sz w:val="32"/>
          <w:szCs w:val="32"/>
        </w:rPr>
        <w:t>1.63</w:t>
      </w:r>
      <w:r>
        <w:rPr>
          <w:rFonts w:hint="eastAsia" w:eastAsia="仿宋_GB2312"/>
          <w:sz w:val="32"/>
          <w:szCs w:val="32"/>
        </w:rPr>
        <w:t>万元，降低</w:t>
      </w:r>
      <w:r>
        <w:rPr>
          <w:rFonts w:eastAsia="仿宋_GB2312"/>
          <w:sz w:val="32"/>
          <w:szCs w:val="32"/>
        </w:rPr>
        <w:t>78.4%</w:t>
      </w:r>
      <w:r>
        <w:rPr>
          <w:rFonts w:hint="eastAsia" w:eastAsia="仿宋_GB2312"/>
          <w:sz w:val="32"/>
          <w:szCs w:val="32"/>
        </w:rPr>
        <w:t>，主要</w:t>
      </w:r>
      <w:r>
        <w:rPr>
          <w:rFonts w:hint="eastAsia" w:ascii="仿宋_GB2312" w:eastAsia="仿宋_GB2312" w:cs="DengXian-Regular"/>
          <w:sz w:val="32"/>
          <w:szCs w:val="32"/>
        </w:rPr>
        <w:t>原因</w:t>
      </w:r>
      <w:r>
        <w:rPr>
          <w:rFonts w:hint="eastAsia" w:eastAsia="仿宋_GB2312"/>
          <w:sz w:val="32"/>
          <w:szCs w:val="32"/>
        </w:rPr>
        <w:t>是降低了接待人数。</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（一）预算绩效管理工作开展情况。</w:t>
      </w:r>
    </w:p>
    <w:p>
      <w:pPr>
        <w:ind w:firstLine="800" w:firstLineChars="250"/>
        <w:rPr>
          <w:rFonts w:ascii="仿宋_GB2312" w:eastAsia="仿宋_GB2312"/>
          <w:sz w:val="32"/>
          <w:szCs w:val="32"/>
        </w:rPr>
      </w:pPr>
      <w:r>
        <w:rPr>
          <w:rFonts w:hint="eastAsia" w:ascii="仿宋_GB2312" w:eastAsia="仿宋_GB2312"/>
          <w:sz w:val="32"/>
          <w:szCs w:val="32"/>
        </w:rPr>
        <w:t>本部门依据</w:t>
      </w:r>
      <w:r>
        <w:rPr>
          <w:rFonts w:ascii="仿宋_GB2312" w:eastAsia="仿宋_GB2312"/>
          <w:sz w:val="32"/>
          <w:szCs w:val="32"/>
        </w:rPr>
        <w:t>2018</w:t>
      </w:r>
      <w:r>
        <w:rPr>
          <w:rFonts w:hint="eastAsia" w:ascii="仿宋_GB2312" w:eastAsia="仿宋_GB2312"/>
          <w:sz w:val="32"/>
          <w:szCs w:val="32"/>
        </w:rPr>
        <w:t>年预算情况对各决算项目认真开展了绩效评价工作。依法有效地使用财政资金，提高财政资金使用效率，在完成部门职能目标中合理分配人、财、物，减少资金使用管理中的损失浪费现象，使资金达到合理、优化配给。不断强化评价结果的应用，建立预算绩效与预算安排挂钩机制，将预算项目、工作活动及综合绩效评价结果作为安排项目资金的重要依据。</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（二）项目绩效自评结果。根据预算绩效管理要求，本部门组织对</w:t>
      </w:r>
      <w:r>
        <w:rPr>
          <w:rFonts w:ascii="仿宋_GB2312" w:eastAsia="仿宋_GB2312" w:cs="DengXian-Regular"/>
          <w:sz w:val="32"/>
          <w:szCs w:val="32"/>
        </w:rPr>
        <w:t xml:space="preserve">2018 </w:t>
      </w:r>
      <w:r>
        <w:rPr>
          <w:rFonts w:hint="eastAsia" w:ascii="仿宋_GB2312" w:eastAsia="仿宋_GB2312" w:cs="DengXian-Regular"/>
          <w:sz w:val="32"/>
          <w:szCs w:val="32"/>
        </w:rPr>
        <w:t>年度专项项目预算支出开展绩效自评。从评价情况看，项目评价结果为优秀。</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（三）重点项目绩效评价结果。本单位无重点支出项目。</w:t>
      </w:r>
    </w:p>
    <w:p>
      <w:pPr>
        <w:adjustRightInd w:val="0"/>
        <w:snapToGrid w:val="0"/>
        <w:spacing w:after="0" w:line="580" w:lineRule="exact"/>
        <w:ind w:firstLine="640" w:firstLineChars="200"/>
        <w:rPr>
          <w:rFonts w:ascii="黑体" w:eastAsia="黑体"/>
          <w:b/>
          <w:bCs/>
          <w:sz w:val="32"/>
          <w:szCs w:val="32"/>
        </w:rPr>
      </w:pPr>
      <w:r>
        <w:rPr>
          <w:rFonts w:hint="eastAsia" w:ascii="黑体" w:eastAsia="黑体"/>
          <w:sz w:val="32"/>
          <w:szCs w:val="32"/>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widowControl/>
        <w:spacing w:line="580" w:lineRule="exact"/>
        <w:ind w:firstLine="640" w:firstLineChars="200"/>
        <w:rPr>
          <w:rFonts w:eastAsia="仿宋_GB2312"/>
          <w:color w:val="000000"/>
          <w:kern w:val="0"/>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年度机关运行经费支出</w:t>
      </w:r>
      <w:r>
        <w:rPr>
          <w:rFonts w:ascii="仿宋_GB2312" w:eastAsia="仿宋_GB2312" w:cs="DengXian-Regular"/>
          <w:sz w:val="32"/>
          <w:szCs w:val="32"/>
        </w:rPr>
        <w:t>19.73</w:t>
      </w:r>
      <w:r>
        <w:rPr>
          <w:rFonts w:hint="eastAsia" w:ascii="仿宋_GB2312" w:eastAsia="仿宋_GB2312" w:cs="DengXian-Regular"/>
          <w:sz w:val="32"/>
          <w:szCs w:val="32"/>
        </w:rPr>
        <w:t>万元，比年初预算数增加</w:t>
      </w:r>
      <w:r>
        <w:rPr>
          <w:rFonts w:ascii="仿宋_GB2312" w:eastAsia="仿宋_GB2312" w:cs="DengXian-Regular"/>
          <w:sz w:val="32"/>
          <w:szCs w:val="32"/>
        </w:rPr>
        <w:t>(</w:t>
      </w:r>
      <w:r>
        <w:rPr>
          <w:rFonts w:hint="eastAsia" w:ascii="仿宋_GB2312" w:eastAsia="仿宋_GB2312" w:cs="DengXian-Regular"/>
          <w:sz w:val="32"/>
          <w:szCs w:val="32"/>
        </w:rPr>
        <w:t>减少</w:t>
      </w:r>
      <w:r>
        <w:rPr>
          <w:rFonts w:ascii="仿宋_GB2312" w:eastAsia="仿宋_GB2312" w:cs="DengXian-Regular"/>
          <w:sz w:val="32"/>
          <w:szCs w:val="32"/>
        </w:rPr>
        <w:t>)</w:t>
      </w:r>
      <w:r>
        <w:rPr>
          <w:rFonts w:eastAsia="仿宋_GB2312"/>
          <w:sz w:val="32"/>
          <w:szCs w:val="32"/>
        </w:rPr>
        <w:t xml:space="preserve"> 45.1</w:t>
      </w:r>
      <w:r>
        <w:rPr>
          <w:rFonts w:hint="eastAsia" w:ascii="仿宋_GB2312" w:eastAsia="仿宋_GB2312" w:cs="DengXian-Regular"/>
          <w:sz w:val="32"/>
          <w:szCs w:val="32"/>
        </w:rPr>
        <w:t>万元，减少</w:t>
      </w:r>
      <w:r>
        <w:rPr>
          <w:rFonts w:ascii="仿宋_GB2312" w:eastAsia="仿宋_GB2312" w:cs="DengXian-Regular"/>
          <w:sz w:val="32"/>
          <w:szCs w:val="32"/>
        </w:rPr>
        <w:t>56.2</w:t>
      </w:r>
      <w:r>
        <w:rPr>
          <w:rFonts w:eastAsia="仿宋_GB2312"/>
          <w:sz w:val="32"/>
          <w:szCs w:val="32"/>
        </w:rPr>
        <w:t>%</w:t>
      </w:r>
      <w:r>
        <w:rPr>
          <w:rFonts w:hint="eastAsia" w:ascii="仿宋_GB2312" w:eastAsia="仿宋_GB2312" w:cs="DengXian-Regular"/>
          <w:sz w:val="32"/>
          <w:szCs w:val="32"/>
        </w:rPr>
        <w:t>。主要原因水电暖价格上调，导致支出增长</w:t>
      </w:r>
      <w:r>
        <w:rPr>
          <w:rFonts w:hint="eastAsia" w:eastAsia="仿宋_GB2312"/>
          <w:color w:val="000000"/>
          <w:kern w:val="0"/>
          <w:sz w:val="32"/>
          <w:szCs w:val="32"/>
        </w:rPr>
        <w:t>。</w:t>
      </w:r>
      <w:r>
        <w:rPr>
          <w:rFonts w:hint="eastAsia" w:eastAsia="仿宋_GB2312"/>
          <w:sz w:val="32"/>
          <w:szCs w:val="32"/>
        </w:rPr>
        <w:t>较</w:t>
      </w:r>
      <w:r>
        <w:rPr>
          <w:rFonts w:eastAsia="仿宋_GB2312"/>
          <w:sz w:val="32"/>
          <w:szCs w:val="32"/>
        </w:rPr>
        <w:t>2017</w:t>
      </w:r>
      <w:r>
        <w:rPr>
          <w:rFonts w:hint="eastAsia" w:eastAsia="仿宋_GB2312"/>
          <w:sz w:val="32"/>
          <w:szCs w:val="32"/>
        </w:rPr>
        <w:t>年度决算减少</w:t>
      </w:r>
      <w:r>
        <w:rPr>
          <w:rFonts w:eastAsia="仿宋_GB2312"/>
          <w:sz w:val="32"/>
          <w:szCs w:val="32"/>
        </w:rPr>
        <w:t>51.59</w:t>
      </w:r>
      <w:r>
        <w:rPr>
          <w:rFonts w:hint="eastAsia" w:eastAsia="仿宋_GB2312"/>
          <w:sz w:val="32"/>
          <w:szCs w:val="32"/>
        </w:rPr>
        <w:t>万元，降低</w:t>
      </w:r>
      <w:r>
        <w:rPr>
          <w:rFonts w:eastAsia="仿宋_GB2312"/>
          <w:sz w:val="32"/>
          <w:szCs w:val="32"/>
        </w:rPr>
        <w:t>61.8%</w:t>
      </w:r>
      <w:r>
        <w:rPr>
          <w:rFonts w:hint="eastAsia" w:eastAsia="仿宋_GB2312"/>
          <w:sz w:val="32"/>
          <w:szCs w:val="32"/>
        </w:rPr>
        <w:t>，主要</w:t>
      </w:r>
      <w:r>
        <w:rPr>
          <w:rFonts w:hint="eastAsia" w:ascii="仿宋_GB2312" w:eastAsia="仿宋_GB2312" w:cs="DengXian-Regular"/>
          <w:sz w:val="32"/>
          <w:szCs w:val="32"/>
        </w:rPr>
        <w:t>原因</w:t>
      </w:r>
      <w:r>
        <w:rPr>
          <w:rFonts w:hint="eastAsia" w:eastAsia="仿宋_GB2312"/>
          <w:sz w:val="32"/>
          <w:szCs w:val="32"/>
        </w:rPr>
        <w:t>是</w:t>
      </w:r>
      <w:r>
        <w:rPr>
          <w:rFonts w:hint="eastAsia" w:eastAsia="仿宋_GB2312"/>
          <w:color w:val="000000"/>
          <w:kern w:val="0"/>
          <w:sz w:val="32"/>
          <w:szCs w:val="32"/>
        </w:rPr>
        <w:t>我单位认真落实中央八项规定精神和厉行节约要求，管理制度不断完善，机关运行经费支出得到了有效控制</w:t>
      </w:r>
      <w:r>
        <w:rPr>
          <w:rFonts w:hint="eastAsia" w:eastAsia="仿宋_GB2312"/>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本部门2018年度政府采购支出总额0万元，从采购类型来看，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 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1辆，比上年增加0辆。其中，副部（省）级及以上领导用车0辆，主要领导干部用车0辆，机要通信用车0辆，应急保障用车1辆，执法执勤用车0辆，特种专业技术用车0辆，离退休干部用车0辆，其他用车0辆；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万元以上通用设备0台（套），比上年增加（减少）0套，单位价值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万元以上专用设备0台（套）比上年增加（减少）0套。</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pStyle w:val="4"/>
        <w:spacing w:before="0" w:after="0" w:line="580" w:lineRule="exact"/>
        <w:ind w:firstLine="640" w:firstLineChars="200"/>
        <w:rPr>
          <w:rFonts w:ascii="仿宋_GB2312" w:eastAsia="仿宋_GB2312" w:cs="DengXian-Regular"/>
          <w:b w:val="0"/>
          <w:highlight w:val="yellow"/>
        </w:rPr>
      </w:pPr>
      <w:r>
        <w:rPr>
          <w:rFonts w:ascii="仿宋_GB2312" w:eastAsia="仿宋_GB2312" w:cs="DengXian-Regular"/>
          <w:b w:val="0"/>
        </w:rPr>
        <w:t>1</w:t>
      </w:r>
      <w:r>
        <w:rPr>
          <w:rFonts w:hint="eastAsia" w:ascii="仿宋_GB2312" w:eastAsia="仿宋_GB2312" w:cs="DengXian-Regular"/>
          <w:b w:val="0"/>
        </w:rPr>
        <w:t>、本部门</w:t>
      </w:r>
      <w:r>
        <w:rPr>
          <w:rFonts w:ascii="仿宋_GB2312" w:eastAsia="仿宋_GB2312" w:cs="DengXian-Regular"/>
          <w:b w:val="0"/>
        </w:rPr>
        <w:t>2018</w:t>
      </w:r>
      <w:r>
        <w:rPr>
          <w:rFonts w:hint="eastAsia" w:ascii="仿宋_GB2312" w:eastAsia="仿宋_GB2312" w:cs="DengXian-Regular"/>
          <w:b w:val="0"/>
        </w:rPr>
        <w:t>年度</w:t>
      </w:r>
      <w:r>
        <w:rPr>
          <w:rFonts w:hint="eastAsia" w:ascii="仿宋_GB2312" w:eastAsia="仿宋_GB2312" w:cs="Arial"/>
          <w:b w:val="0"/>
          <w:color w:val="000000"/>
        </w:rPr>
        <w:t>政府性基金、</w:t>
      </w:r>
      <w:r>
        <w:rPr>
          <w:rFonts w:hint="eastAsia" w:ascii="仿宋_GB2312" w:eastAsia="仿宋_GB2312" w:cs="Arial"/>
          <w:b w:val="0"/>
          <w:color w:val="000000"/>
          <w:kern w:val="0"/>
        </w:rPr>
        <w:t>国有资本经营、政府采购</w:t>
      </w:r>
      <w:r>
        <w:rPr>
          <w:rFonts w:hint="eastAsia" w:ascii="仿宋_GB2312" w:eastAsia="仿宋_GB2312" w:cs="DengXian-Regular"/>
          <w:b w:val="0"/>
        </w:rPr>
        <w:t>无收支及结转结余情况，故《</w:t>
      </w:r>
      <w:r>
        <w:rPr>
          <w:rFonts w:hint="eastAsia" w:ascii="仿宋_GB2312" w:eastAsia="仿宋_GB2312" w:cs="Arial"/>
          <w:b w:val="0"/>
          <w:color w:val="000000"/>
        </w:rPr>
        <w:t>政府性基金预算财政拨款收入支出决算表</w:t>
      </w:r>
      <w:r>
        <w:rPr>
          <w:rFonts w:hint="eastAsia" w:ascii="仿宋_GB2312" w:eastAsia="仿宋_GB2312" w:cs="Arial"/>
          <w:b w:val="0"/>
          <w:color w:val="000000"/>
          <w:sz w:val="30"/>
          <w:szCs w:val="30"/>
        </w:rPr>
        <w:t>》、《</w:t>
      </w:r>
      <w:r>
        <w:rPr>
          <w:rFonts w:hint="eastAsia" w:ascii="仿宋_GB2312" w:eastAsia="仿宋_GB2312" w:cs="Arial"/>
          <w:b w:val="0"/>
          <w:color w:val="000000"/>
          <w:kern w:val="0"/>
        </w:rPr>
        <w:t>国有资本经营预算财政拨款支出决算表</w:t>
      </w:r>
      <w:r>
        <w:rPr>
          <w:rFonts w:hint="eastAsia" w:ascii="宋体" w:cs="Arial"/>
          <w:b w:val="0"/>
          <w:color w:val="000000"/>
          <w:kern w:val="0"/>
          <w:sz w:val="30"/>
          <w:szCs w:val="30"/>
        </w:rPr>
        <w:t>》、《</w:t>
      </w:r>
      <w:r>
        <w:rPr>
          <w:rFonts w:hint="eastAsia" w:ascii="仿宋_GB2312" w:eastAsia="仿宋_GB2312" w:cs="Arial"/>
          <w:b w:val="0"/>
          <w:color w:val="000000"/>
          <w:kern w:val="0"/>
        </w:rPr>
        <w:t>政府采购情况表</w:t>
      </w:r>
      <w:r>
        <w:rPr>
          <w:rFonts w:hint="eastAsia" w:ascii="宋体" w:cs="Arial"/>
          <w:b w:val="0"/>
          <w:color w:val="000000"/>
          <w:kern w:val="0"/>
          <w:sz w:val="30"/>
          <w:szCs w:val="30"/>
        </w:rPr>
        <w:t>》</w:t>
      </w:r>
      <w:r>
        <w:rPr>
          <w:rFonts w:hint="eastAsia" w:ascii="仿宋_GB2312" w:eastAsia="仿宋_GB2312" w:cs="DengXian-Regular"/>
          <w:b w:val="0"/>
        </w:rPr>
        <w:t>以空表列示。</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2</w:t>
      </w:r>
      <w:r>
        <w:rPr>
          <w:rFonts w:hint="eastAsia" w:ascii="仿宋_GB2312" w:eastAsia="仿宋_GB2312" w:cs="DengXian-Regular"/>
          <w:sz w:val="32"/>
          <w:szCs w:val="32"/>
        </w:rPr>
        <w:t>、由于决算公开表格中金额数值应当保留两位小数，公开数据为四舍五入计算结果，个别数据合计项与分项之和存在小数点后差额，特此说明。</w:t>
      </w:r>
    </w:p>
    <w:p>
      <w:pPr>
        <w:widowControl/>
        <w:spacing w:after="0" w:line="580" w:lineRule="exact"/>
        <w:ind w:firstLine="883" w:firstLineChars="200"/>
        <w:jc w:val="left"/>
        <w:rPr>
          <w:rFonts w:ascii="宋体" w:cs="MS-UIGothic,Bold"/>
          <w:b/>
          <w:bCs/>
          <w:kern w:val="0"/>
          <w:sz w:val="44"/>
          <w:szCs w:val="44"/>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r>
        <w:rPr>
          <w:rFonts w:hint="eastAsia" w:ascii="黑体" w:eastAsia="黑体"/>
          <w:color w:val="000000"/>
          <w:sz w:val="96"/>
          <w:szCs w:val="96"/>
        </w:rPr>
        <w:t>第四部分</w:t>
      </w:r>
    </w:p>
    <w:p>
      <w:pPr>
        <w:widowControl/>
        <w:spacing w:line="1200" w:lineRule="exact"/>
        <w:jc w:val="center"/>
        <w:rPr>
          <w:color w:val="000000"/>
          <w:sz w:val="96"/>
          <w:szCs w:val="96"/>
        </w:rPr>
      </w:pPr>
      <w:r>
        <w:rPr>
          <w:rFonts w:hint="eastAsia" w:ascii="黑体" w:eastAsia="黑体"/>
          <w:color w:val="000000"/>
          <w:sz w:val="96"/>
          <w:szCs w:val="96"/>
        </w:rPr>
        <w:t>名词解释</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（一）财政拨款收入：</w:t>
      </w:r>
      <w:r>
        <w:rPr>
          <w:rFonts w:hint="eastAsia" w:ascii="仿宋_GB2312"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（二）事业收入：</w:t>
      </w:r>
      <w:r>
        <w:rPr>
          <w:rFonts w:hint="eastAsia" w:ascii="仿宋_GB2312" w:eastAsia="仿宋_GB2312"/>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（三）其他收入：</w:t>
      </w:r>
      <w:r>
        <w:rPr>
          <w:rFonts w:hint="eastAsia" w:ascii="仿宋_GB2312" w:eastAsia="仿宋_GB2312"/>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（四）用事业基金弥补收支差额：</w:t>
      </w:r>
      <w:r>
        <w:rPr>
          <w:rFonts w:hint="eastAsia" w:ascii="仿宋_GB2312"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（五）年初结转和结余：</w:t>
      </w:r>
      <w:r>
        <w:rPr>
          <w:rFonts w:hint="eastAsia" w:ascii="仿宋_GB2312"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（六）结余分配：</w:t>
      </w:r>
      <w:r>
        <w:rPr>
          <w:rFonts w:hint="eastAsia" w:ascii="仿宋_GB2312"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（七）年末结转和结余：</w:t>
      </w:r>
      <w:r>
        <w:rPr>
          <w:rFonts w:hint="eastAsia" w:ascii="仿宋_GB2312"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（八）基本支出：</w:t>
      </w:r>
      <w:r>
        <w:rPr>
          <w:rFonts w:hint="eastAsia" w:ascii="仿宋_GB2312" w:eastAsia="仿宋_GB2312"/>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（九）项目支出：</w:t>
      </w:r>
      <w:r>
        <w:rPr>
          <w:rFonts w:hint="eastAsia" w:ascii="仿宋_GB2312" w:eastAsia="仿宋_GB2312"/>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（十）资本性支出（基本建设）：</w:t>
      </w:r>
      <w:r>
        <w:rPr>
          <w:rFonts w:hint="eastAsia" w:ascii="仿宋_GB2312" w:eastAsia="仿宋_GB2312"/>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（十一）资本性支出：</w:t>
      </w:r>
      <w:r>
        <w:rPr>
          <w:rFonts w:hint="eastAsia" w:ascii="仿宋_GB2312" w:eastAsia="仿宋_GB2312"/>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（十二）“三公”经费：</w:t>
      </w:r>
      <w:r>
        <w:rPr>
          <w:rFonts w:hint="eastAsia" w:ascii="仿宋_GB2312"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（十三）其他交通费用：</w:t>
      </w:r>
      <w:r>
        <w:rPr>
          <w:rFonts w:hint="eastAsia" w:ascii="仿宋_GB2312" w:eastAsia="仿宋_GB2312"/>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（十四）公务用车购置：</w:t>
      </w:r>
      <w:r>
        <w:rPr>
          <w:rFonts w:hint="eastAsia" w:ascii="仿宋_GB2312" w:eastAsia="仿宋_GB2312"/>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（十五）其他交通工具购置：</w:t>
      </w:r>
      <w:r>
        <w:rPr>
          <w:rFonts w:hint="eastAsia" w:ascii="仿宋_GB2312" w:eastAsia="仿宋_GB2312"/>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（十六）机关运行经费：</w:t>
      </w:r>
      <w:r>
        <w:rPr>
          <w:rFonts w:hint="eastAsia" w:ascii="仿宋_GB2312"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kern w:val="0"/>
          <w:sz w:val="32"/>
          <w:szCs w:val="32"/>
        </w:rPr>
      </w:pPr>
      <w:r>
        <w:rPr>
          <w:rFonts w:hint="eastAsia" w:ascii="仿宋_GB2312" w:eastAsia="仿宋_GB2312"/>
          <w:b/>
          <w:bCs/>
          <w:color w:val="000000"/>
          <w:kern w:val="0"/>
          <w:sz w:val="32"/>
          <w:szCs w:val="32"/>
        </w:rPr>
        <w:t>（十七）经费形式</w:t>
      </w:r>
      <w:r>
        <w:rPr>
          <w:rFonts w:ascii="仿宋_GB2312" w:eastAsia="仿宋_GB2312"/>
          <w:b/>
          <w:bCs/>
          <w:color w:val="000000"/>
          <w:kern w:val="0"/>
          <w:sz w:val="32"/>
          <w:szCs w:val="32"/>
        </w:rPr>
        <w:t>:</w:t>
      </w:r>
      <w:r>
        <w:rPr>
          <w:rFonts w:hint="eastAsia" w:ascii="仿宋_GB2312" w:eastAsia="仿宋_GB2312"/>
          <w:color w:val="000000"/>
          <w:kern w:val="0"/>
          <w:sz w:val="32"/>
          <w:szCs w:val="32"/>
        </w:rPr>
        <w:t>按照经费来源，</w:t>
      </w:r>
      <w:r>
        <w:rPr>
          <w:rFonts w:hint="eastAsia" w:ascii="仿宋_GB2312" w:eastAsia="仿宋_GB2312" w:cs="ArialUnicodeMS"/>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00000" w:csb1="00000000"/>
  </w:font>
  <w:font w:name="ArialUnicodeMS">
    <w:altName w:val="Malgun Gothic"/>
    <w:panose1 w:val="00000000000000000000"/>
    <w:charset w:val="81"/>
    <w:family w:val="auto"/>
    <w:pitch w:val="default"/>
    <w:sig w:usb0="00000000" w:usb1="00000000" w:usb2="00000010" w:usb3="00000000" w:csb0="00080001"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NotTrackMoves/>
  <w:documentProtection w:enforcement="0"/>
  <w:defaultTabStop w:val="420"/>
  <w:drawingGridHorizontalSpacing w:val="105"/>
  <w:drawingGridVerticalSpacing w:val="156"/>
  <w:displayHorizontalDrawingGridEvery w:val="0"/>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I1NzdlZjVkMzhkN2M2NjI3YzkwZjgxYTYwNzY3NWYifQ=="/>
  </w:docVars>
  <w:rsids>
    <w:rsidRoot w:val="007919FE"/>
    <w:rsid w:val="00111EEE"/>
    <w:rsid w:val="00361A2D"/>
    <w:rsid w:val="004D6B2D"/>
    <w:rsid w:val="007919FE"/>
    <w:rsid w:val="0082176C"/>
    <w:rsid w:val="00AE6173"/>
    <w:rsid w:val="00C66AFE"/>
    <w:rsid w:val="00C717FF"/>
    <w:rsid w:val="00E959CD"/>
    <w:rsid w:val="1AD61526"/>
    <w:rsid w:val="77742C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5" w:lineRule="auto"/>
      <w:outlineLvl w:val="1"/>
    </w:pPr>
    <w:rPr>
      <w:rFonts w:ascii="Calibri" w:hAnsi="Calibri" w:cs="Arial"/>
      <w:b/>
      <w:bCs/>
      <w:sz w:val="32"/>
      <w:szCs w:val="32"/>
    </w:rPr>
  </w:style>
  <w:style w:type="paragraph" w:styleId="4">
    <w:name w:val="heading 3"/>
    <w:basedOn w:val="1"/>
    <w:next w:val="1"/>
    <w:link w:val="19"/>
    <w:qFormat/>
    <w:uiPriority w:val="99"/>
    <w:pPr>
      <w:keepNext/>
      <w:keepLines/>
      <w:spacing w:before="260" w:after="260" w:line="415" w:lineRule="auto"/>
      <w:outlineLvl w:val="2"/>
    </w:pPr>
    <w:rPr>
      <w:b/>
      <w:bCs/>
      <w:sz w:val="32"/>
      <w:szCs w:val="32"/>
    </w:rPr>
  </w:style>
  <w:style w:type="paragraph" w:styleId="5">
    <w:name w:val="heading 4"/>
    <w:basedOn w:val="1"/>
    <w:next w:val="1"/>
    <w:link w:val="20"/>
    <w:qFormat/>
    <w:uiPriority w:val="99"/>
    <w:pPr>
      <w:keepNext/>
      <w:keepLines/>
      <w:spacing w:before="280" w:after="290" w:line="377" w:lineRule="auto"/>
      <w:outlineLvl w:val="3"/>
    </w:pPr>
    <w:rPr>
      <w:rFonts w:ascii="Calibri" w:hAnsi="Calibri" w:cs="Arial"/>
      <w:b/>
      <w:bCs/>
      <w:sz w:val="28"/>
      <w:szCs w:val="28"/>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4"/>
    <w:semiHidden/>
    <w:uiPriority w:val="99"/>
    <w:pPr>
      <w:jc w:val="left"/>
    </w:pPr>
  </w:style>
  <w:style w:type="paragraph" w:styleId="7">
    <w:name w:val="Date"/>
    <w:basedOn w:val="1"/>
    <w:next w:val="1"/>
    <w:link w:val="21"/>
    <w:uiPriority w:val="99"/>
    <w:pPr>
      <w:ind w:left="2500" w:leftChars="2500"/>
    </w:pPr>
  </w:style>
  <w:style w:type="paragraph" w:styleId="8">
    <w:name w:val="Balloon Text"/>
    <w:basedOn w:val="1"/>
    <w:link w:val="22"/>
    <w:uiPriority w:val="99"/>
    <w:rPr>
      <w:sz w:val="18"/>
      <w:szCs w:val="18"/>
    </w:rPr>
  </w:style>
  <w:style w:type="paragraph" w:styleId="9">
    <w:name w:val="footer"/>
    <w:basedOn w:val="1"/>
    <w:link w:val="23"/>
    <w:uiPriority w:val="99"/>
    <w:pPr>
      <w:tabs>
        <w:tab w:val="center" w:pos="4153"/>
        <w:tab w:val="right" w:pos="8306"/>
      </w:tabs>
      <w:snapToGrid w:val="0"/>
      <w:jc w:val="left"/>
    </w:pPr>
    <w:rPr>
      <w:rFonts w:ascii="Cambria" w:hAnsi="Cambria" w:eastAsia="黑体"/>
      <w:sz w:val="18"/>
      <w:szCs w:val="18"/>
    </w:rPr>
  </w:style>
  <w:style w:type="paragraph" w:styleId="10">
    <w:name w:val="header"/>
    <w:basedOn w:val="1"/>
    <w:link w:val="24"/>
    <w:uiPriority w:val="99"/>
    <w:pPr>
      <w:pBdr>
        <w:bottom w:val="single" w:color="auto" w:sz="6" w:space="1"/>
      </w:pBdr>
      <w:tabs>
        <w:tab w:val="center" w:pos="4153"/>
        <w:tab w:val="right" w:pos="8306"/>
      </w:tabs>
      <w:snapToGrid w:val="0"/>
      <w:jc w:val="center"/>
    </w:pPr>
    <w:rPr>
      <w:rFonts w:ascii="Cambria" w:hAnsi="Cambria" w:eastAsia="黑体"/>
      <w:sz w:val="18"/>
      <w:szCs w:val="18"/>
    </w:rPr>
  </w:style>
  <w:style w:type="paragraph" w:styleId="11">
    <w:name w:val="Subtitle"/>
    <w:basedOn w:val="1"/>
    <w:next w:val="1"/>
    <w:link w:val="25"/>
    <w:qFormat/>
    <w:uiPriority w:val="99"/>
    <w:pPr>
      <w:widowControl/>
      <w:spacing w:after="200" w:line="276" w:lineRule="auto"/>
      <w:jc w:val="left"/>
    </w:pPr>
    <w:rPr>
      <w:rFonts w:ascii="Calibri" w:hAnsi="Calibri" w:cs="Arial"/>
      <w:i/>
      <w:iCs/>
      <w:color w:val="F0A22E"/>
      <w:spacing w:val="15"/>
      <w:kern w:val="0"/>
      <w:sz w:val="24"/>
    </w:rPr>
  </w:style>
  <w:style w:type="paragraph" w:styleId="12">
    <w:name w:val="Title"/>
    <w:basedOn w:val="1"/>
    <w:next w:val="1"/>
    <w:link w:val="26"/>
    <w:qFormat/>
    <w:uiPriority w:val="99"/>
    <w:pPr>
      <w:widowControl/>
      <w:pBdr>
        <w:bottom w:val="single" w:color="F0A22E" w:sz="8" w:space="4"/>
      </w:pBdr>
      <w:spacing w:after="300"/>
      <w:contextualSpacing/>
      <w:jc w:val="left"/>
    </w:pPr>
    <w:rPr>
      <w:rFonts w:ascii="Calibri" w:hAnsi="Calibri" w:cs="Arial"/>
      <w:color w:val="3A2C24"/>
      <w:spacing w:val="5"/>
      <w:kern w:val="28"/>
      <w:sz w:val="52"/>
      <w:szCs w:val="52"/>
    </w:rPr>
  </w:style>
  <w:style w:type="paragraph" w:styleId="13">
    <w:name w:val="annotation subject"/>
    <w:basedOn w:val="6"/>
    <w:next w:val="6"/>
    <w:link w:val="35"/>
    <w:semiHidden/>
    <w:uiPriority w:val="99"/>
    <w:rPr>
      <w:b/>
      <w:bCs/>
    </w:rPr>
  </w:style>
  <w:style w:type="character" w:styleId="16">
    <w:name w:val="annotation reference"/>
    <w:semiHidden/>
    <w:uiPriority w:val="99"/>
    <w:rPr>
      <w:rFonts w:cs="Times New Roman"/>
      <w:sz w:val="21"/>
      <w:szCs w:val="21"/>
    </w:rPr>
  </w:style>
  <w:style w:type="character" w:customStyle="1" w:styleId="17">
    <w:name w:val="标题 1 Char"/>
    <w:link w:val="2"/>
    <w:uiPriority w:val="9"/>
    <w:rPr>
      <w:b/>
      <w:bCs/>
      <w:kern w:val="44"/>
      <w:sz w:val="44"/>
      <w:szCs w:val="44"/>
    </w:rPr>
  </w:style>
  <w:style w:type="character" w:customStyle="1" w:styleId="18">
    <w:name w:val="标题 2 Char"/>
    <w:link w:val="3"/>
    <w:semiHidden/>
    <w:uiPriority w:val="9"/>
    <w:rPr>
      <w:rFonts w:ascii="Cambria" w:hAnsi="Cambria" w:eastAsia="宋体" w:cs="Times New Roman"/>
      <w:b/>
      <w:bCs/>
      <w:sz w:val="32"/>
      <w:szCs w:val="32"/>
    </w:rPr>
  </w:style>
  <w:style w:type="character" w:customStyle="1" w:styleId="19">
    <w:name w:val="标题 3 Char"/>
    <w:link w:val="4"/>
    <w:semiHidden/>
    <w:uiPriority w:val="9"/>
    <w:rPr>
      <w:b/>
      <w:bCs/>
      <w:sz w:val="32"/>
      <w:szCs w:val="32"/>
    </w:rPr>
  </w:style>
  <w:style w:type="character" w:customStyle="1" w:styleId="20">
    <w:name w:val="标题 4 Char"/>
    <w:link w:val="5"/>
    <w:semiHidden/>
    <w:uiPriority w:val="9"/>
    <w:rPr>
      <w:rFonts w:ascii="Cambria" w:hAnsi="Cambria" w:eastAsia="宋体" w:cs="Times New Roman"/>
      <w:b/>
      <w:bCs/>
      <w:sz w:val="28"/>
      <w:szCs w:val="28"/>
    </w:rPr>
  </w:style>
  <w:style w:type="character" w:customStyle="1" w:styleId="21">
    <w:name w:val="日期 Char"/>
    <w:link w:val="7"/>
    <w:semiHidden/>
    <w:uiPriority w:val="99"/>
    <w:rPr>
      <w:szCs w:val="24"/>
    </w:rPr>
  </w:style>
  <w:style w:type="character" w:customStyle="1" w:styleId="22">
    <w:name w:val="批注框文本 Char"/>
    <w:link w:val="8"/>
    <w:semiHidden/>
    <w:uiPriority w:val="99"/>
    <w:rPr>
      <w:sz w:val="0"/>
      <w:szCs w:val="0"/>
    </w:rPr>
  </w:style>
  <w:style w:type="character" w:customStyle="1" w:styleId="23">
    <w:name w:val="页脚 Char"/>
    <w:link w:val="9"/>
    <w:semiHidden/>
    <w:uiPriority w:val="99"/>
    <w:rPr>
      <w:sz w:val="18"/>
      <w:szCs w:val="18"/>
    </w:rPr>
  </w:style>
  <w:style w:type="character" w:customStyle="1" w:styleId="24">
    <w:name w:val="页眉 Char"/>
    <w:link w:val="10"/>
    <w:semiHidden/>
    <w:uiPriority w:val="99"/>
    <w:rPr>
      <w:sz w:val="18"/>
      <w:szCs w:val="18"/>
    </w:rPr>
  </w:style>
  <w:style w:type="character" w:customStyle="1" w:styleId="25">
    <w:name w:val="副标题 Char"/>
    <w:link w:val="11"/>
    <w:uiPriority w:val="11"/>
    <w:rPr>
      <w:rFonts w:ascii="Cambria" w:hAnsi="Cambria" w:cs="Times New Roman"/>
      <w:b/>
      <w:bCs/>
      <w:kern w:val="28"/>
      <w:sz w:val="32"/>
      <w:szCs w:val="32"/>
    </w:rPr>
  </w:style>
  <w:style w:type="character" w:customStyle="1" w:styleId="26">
    <w:name w:val="标题 Char"/>
    <w:link w:val="12"/>
    <w:uiPriority w:val="10"/>
    <w:rPr>
      <w:rFonts w:ascii="Cambria" w:hAnsi="Cambria" w:cs="Times New Roman"/>
      <w:b/>
      <w:bCs/>
      <w:sz w:val="32"/>
      <w:szCs w:val="32"/>
    </w:rPr>
  </w:style>
  <w:style w:type="paragraph" w:customStyle="1" w:styleId="27">
    <w:name w:val="No Spacing1"/>
    <w:qFormat/>
    <w:uiPriority w:val="99"/>
    <w:pPr>
      <w:spacing w:after="160" w:line="480" w:lineRule="auto"/>
    </w:pPr>
    <w:rPr>
      <w:rFonts w:ascii="Cambria" w:hAnsi="Cambria" w:eastAsia="黑体" w:cs="Times New Roman"/>
      <w:sz w:val="22"/>
      <w:szCs w:val="22"/>
      <w:lang w:val="en-US" w:eastAsia="zh-CN" w:bidi="ar-SA"/>
    </w:rPr>
  </w:style>
  <w:style w:type="character" w:customStyle="1" w:styleId="28">
    <w:name w:val="Style1"/>
    <w:qFormat/>
    <w:uiPriority w:val="99"/>
    <w:rPr>
      <w:rFonts w:ascii="Cambria" w:hAnsi="Cambria" w:eastAsia="黑体" w:cs="Times New Roman"/>
      <w:sz w:val="22"/>
      <w:szCs w:val="22"/>
      <w:lang w:eastAsia="zh-CN"/>
    </w:rPr>
  </w:style>
  <w:style w:type="character" w:customStyle="1" w:styleId="29">
    <w:name w:val="Style2"/>
    <w:qFormat/>
    <w:uiPriority w:val="99"/>
    <w:rPr>
      <w:rFonts w:ascii="Cambria" w:hAnsi="Cambria" w:eastAsia="黑体" w:cs="Times New Roman"/>
      <w:sz w:val="22"/>
      <w:szCs w:val="22"/>
      <w:lang w:eastAsia="zh-CN"/>
    </w:rPr>
  </w:style>
  <w:style w:type="character" w:customStyle="1" w:styleId="30">
    <w:name w:val="Style3"/>
    <w:qFormat/>
    <w:uiPriority w:val="99"/>
    <w:rPr>
      <w:rFonts w:ascii="Cambria" w:hAnsi="Cambria" w:eastAsia="黑体" w:cs="Times New Roman"/>
      <w:sz w:val="22"/>
      <w:szCs w:val="22"/>
      <w:lang w:eastAsia="zh-CN"/>
    </w:rPr>
  </w:style>
  <w:style w:type="character" w:customStyle="1" w:styleId="31">
    <w:name w:val="Style4"/>
    <w:uiPriority w:val="99"/>
    <w:rPr>
      <w:rFonts w:ascii="Cambria" w:hAnsi="Cambria" w:eastAsia="黑体" w:cs="Times New Roman"/>
      <w:sz w:val="22"/>
      <w:szCs w:val="22"/>
      <w:lang w:eastAsia="zh-CN"/>
    </w:rPr>
  </w:style>
  <w:style w:type="character" w:customStyle="1" w:styleId="32">
    <w:name w:val="Style5"/>
    <w:uiPriority w:val="99"/>
    <w:rPr>
      <w:rFonts w:ascii="Cambria" w:hAnsi="Cambria" w:eastAsia="黑体" w:cs="Times New Roman"/>
      <w:sz w:val="22"/>
      <w:szCs w:val="22"/>
      <w:lang w:eastAsia="zh-CN"/>
    </w:rPr>
  </w:style>
  <w:style w:type="paragraph" w:customStyle="1" w:styleId="33">
    <w:name w:val="List Paragraph1"/>
    <w:basedOn w:val="1"/>
    <w:uiPriority w:val="99"/>
    <w:pPr>
      <w:ind w:firstLine="200" w:firstLineChars="200"/>
    </w:pPr>
  </w:style>
  <w:style w:type="character" w:customStyle="1" w:styleId="34">
    <w:name w:val="批注文字 Char"/>
    <w:link w:val="6"/>
    <w:semiHidden/>
    <w:uiPriority w:val="99"/>
    <w:rPr>
      <w:szCs w:val="24"/>
    </w:rPr>
  </w:style>
  <w:style w:type="character" w:customStyle="1" w:styleId="35">
    <w:name w:val="批注主题 Char"/>
    <w:link w:val="13"/>
    <w:semiHidden/>
    <w:uiPriority w:val="99"/>
    <w:rPr>
      <w:b/>
      <w:bCs/>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4143</Words>
  <Characters>4509</Characters>
  <Lines>33</Lines>
  <Paragraphs>9</Paragraphs>
  <TotalTime>752</TotalTime>
  <ScaleCrop>false</ScaleCrop>
  <LinksUpToDate>false</LinksUpToDate>
  <CharactersWithSpaces>4525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刘润龙</cp:lastModifiedBy>
  <cp:lastPrinted>2019-09-27T00:42:00Z</cp:lastPrinted>
  <dcterms:modified xsi:type="dcterms:W3CDTF">2024-05-21T08:55:08Z</dcterms:modified>
  <dc:subject>石家庄市xxx部门</dc:subject>
  <dc:title>2017年度部门决算</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F46A514228284DF79AC2B7B201FDA57C_12</vt:lpwstr>
  </property>
</Properties>
</file>