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color w:val="000000"/>
          <w:sz w:val="96"/>
          <w:szCs w:val="96"/>
        </w:rPr>
      </w:pPr>
      <w:r>
        <w:rPr>
          <w:sz w:val="84"/>
          <w:szCs w:val="84"/>
        </w:rPr>
        <w:t>201</w:t>
      </w:r>
      <w:r>
        <w:rPr>
          <w:rFonts w:hint="eastAsia"/>
          <w:sz w:val="84"/>
          <w:szCs w:val="84"/>
        </w:rPr>
        <w:t>8</w:t>
      </w:r>
      <w:r>
        <w:rPr>
          <w:sz w:val="84"/>
          <w:szCs w:val="84"/>
        </w:rPr>
        <w:t>年度部门决算公开</w:t>
      </w:r>
    </w:p>
    <w:p>
      <w:pPr>
        <w:widowControl/>
        <w:jc w:val="center"/>
        <w:rPr>
          <w:rFonts w:ascii="黑体" w:eastAsia="黑体"/>
          <w:color w:val="002060"/>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jc w:val="center"/>
        <w:rPr>
          <w:rFonts w:ascii="黑体" w:eastAsia="黑体" w:cs="黑体"/>
          <w:sz w:val="36"/>
          <w:szCs w:val="36"/>
        </w:rPr>
      </w:pPr>
      <w:r>
        <w:rPr>
          <w:rFonts w:hint="eastAsia" w:ascii="黑体" w:eastAsia="黑体" w:cs="黑体"/>
          <w:sz w:val="36"/>
          <w:szCs w:val="36"/>
        </w:rPr>
        <w:t>廊坊市广阳区委员会办公室</w:t>
      </w:r>
    </w:p>
    <w:p/>
    <w:p/>
    <w:p/>
    <w:p/>
    <w:p>
      <w:pPr>
        <w:widowControl/>
        <w:jc w:val="center"/>
        <w:rPr>
          <w:color w:val="000000"/>
          <w:sz w:val="72"/>
          <w:szCs w:val="72"/>
        </w:rPr>
      </w:pPr>
      <w:r>
        <w:rPr>
          <w:rFonts w:hint="eastAsia" w:ascii="黑体" w:eastAsia="黑体"/>
          <w:color w:val="000000"/>
          <w:sz w:val="72"/>
          <w:szCs w:val="72"/>
        </w:rPr>
        <w:t>第一部分  部门概况</w:t>
      </w:r>
    </w:p>
    <w:p/>
    <w:p/>
    <w:p/>
    <w:p/>
    <w:p/>
    <w:p/>
    <w:p/>
    <w:p/>
    <w:p/>
    <w:p/>
    <w:p>
      <w:pPr>
        <w:rPr>
          <w:rFonts w:hint="eastAsia"/>
        </w:rPr>
      </w:pPr>
    </w:p>
    <w:p/>
    <w:p/>
    <w:p>
      <w:pPr>
        <w:pStyle w:val="2"/>
        <w:spacing w:before="0" w:after="0" w:line="60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pStyle w:val="22"/>
        <w:widowControl/>
        <w:snapToGrid w:val="0"/>
        <w:spacing w:line="300" w:lineRule="auto"/>
        <w:ind w:firstLine="640" w:firstLineChars="200"/>
        <w:jc w:val="both"/>
        <w:rPr>
          <w:rFonts w:hint="eastAsia" w:ascii="仿宋_GB2312" w:eastAsia="仿宋_GB2312" w:cs="仿宋_GB2312"/>
          <w:kern w:val="2"/>
          <w:sz w:val="32"/>
          <w:szCs w:val="32"/>
        </w:rPr>
      </w:pPr>
      <w:r>
        <w:rPr>
          <w:rFonts w:hint="eastAsia" w:ascii="仿宋_GB2312" w:eastAsia="仿宋_GB2312" w:cs="仿宋_GB2312"/>
          <w:kern w:val="2"/>
          <w:sz w:val="32"/>
          <w:szCs w:val="32"/>
        </w:rPr>
        <w:t>1、承担区委、区委领导同志交办的文件、讲话等文稿的起草或修改工作；负责区委文件和区委办公室代区委行文的起草和核审工作；承担为区委制定决策和有关政策的服务工作；负责区委领导汇报材料和内外刊物属名文章的起草工作；负责内刊编辑工作。</w:t>
      </w:r>
    </w:p>
    <w:p>
      <w:pPr>
        <w:pStyle w:val="22"/>
        <w:widowControl/>
        <w:snapToGrid w:val="0"/>
        <w:spacing w:line="300" w:lineRule="auto"/>
        <w:ind w:firstLine="640" w:firstLineChars="200"/>
        <w:jc w:val="both"/>
        <w:rPr>
          <w:rFonts w:hint="eastAsia" w:ascii="仿宋_GB2312" w:eastAsia="仿宋_GB2312" w:cs="仿宋_GB2312"/>
          <w:kern w:val="2"/>
          <w:sz w:val="32"/>
          <w:szCs w:val="32"/>
        </w:rPr>
      </w:pPr>
      <w:r>
        <w:rPr>
          <w:rFonts w:hint="eastAsia" w:ascii="仿宋_GB2312" w:eastAsia="仿宋_GB2312" w:cs="仿宋_GB2312"/>
          <w:kern w:val="2"/>
          <w:sz w:val="32"/>
          <w:szCs w:val="32"/>
        </w:rPr>
        <w:t>2、围绕中央和省、市、区委总体工作部署开展综合、专题调研，收集和处理信息、反馈动态。</w:t>
      </w:r>
    </w:p>
    <w:p>
      <w:pPr>
        <w:pStyle w:val="22"/>
        <w:widowControl/>
        <w:snapToGrid w:val="0"/>
        <w:spacing w:line="300" w:lineRule="auto"/>
        <w:ind w:firstLine="640" w:firstLineChars="200"/>
        <w:jc w:val="both"/>
        <w:rPr>
          <w:rFonts w:hint="eastAsia" w:ascii="仿宋_GB2312" w:eastAsia="仿宋_GB2312" w:cs="仿宋_GB2312"/>
          <w:kern w:val="2"/>
          <w:sz w:val="32"/>
          <w:szCs w:val="32"/>
        </w:rPr>
      </w:pPr>
      <w:r>
        <w:rPr>
          <w:rFonts w:hint="eastAsia" w:ascii="仿宋_GB2312" w:eastAsia="仿宋_GB2312" w:cs="仿宋_GB2312"/>
          <w:kern w:val="2"/>
          <w:sz w:val="32"/>
          <w:szCs w:val="32"/>
        </w:rPr>
        <w:t>3、负责区委各种会议的会务工作和区委日常工作活动的组织安排。</w:t>
      </w:r>
    </w:p>
    <w:p>
      <w:pPr>
        <w:pStyle w:val="22"/>
        <w:widowControl/>
        <w:snapToGrid w:val="0"/>
        <w:spacing w:line="300" w:lineRule="auto"/>
        <w:ind w:firstLine="640" w:firstLineChars="200"/>
        <w:jc w:val="both"/>
        <w:rPr>
          <w:rFonts w:hint="eastAsia" w:ascii="仿宋_GB2312" w:eastAsia="仿宋_GB2312" w:cs="仿宋_GB2312"/>
          <w:kern w:val="2"/>
          <w:sz w:val="32"/>
          <w:szCs w:val="32"/>
        </w:rPr>
      </w:pPr>
      <w:r>
        <w:rPr>
          <w:rFonts w:hint="eastAsia" w:ascii="仿宋_GB2312" w:eastAsia="仿宋_GB2312" w:cs="仿宋_GB2312"/>
          <w:kern w:val="2"/>
          <w:sz w:val="32"/>
          <w:szCs w:val="32"/>
        </w:rPr>
        <w:t>4、负责区委、区委办公室日常文书处理、往来接待、印章管理和使用、值班安排、文书档案的立卷、资料保管查阅工作。</w:t>
      </w:r>
    </w:p>
    <w:p>
      <w:pPr>
        <w:pStyle w:val="22"/>
        <w:widowControl/>
        <w:snapToGrid w:val="0"/>
        <w:spacing w:line="300" w:lineRule="auto"/>
        <w:ind w:firstLine="640" w:firstLineChars="200"/>
        <w:jc w:val="both"/>
        <w:rPr>
          <w:rFonts w:hint="eastAsia" w:ascii="仿宋_GB2312" w:eastAsia="仿宋_GB2312" w:cs="仿宋_GB2312"/>
          <w:kern w:val="2"/>
          <w:sz w:val="32"/>
          <w:szCs w:val="32"/>
        </w:rPr>
      </w:pPr>
      <w:r>
        <w:rPr>
          <w:rFonts w:hint="eastAsia" w:ascii="仿宋_GB2312" w:eastAsia="仿宋_GB2312" w:cs="仿宋_GB2312"/>
          <w:kern w:val="2"/>
          <w:sz w:val="32"/>
          <w:szCs w:val="32"/>
        </w:rPr>
        <w:t>5、负责区委机关的卫生绿化、医疗保健、职工生活、房产、基建、维修、物资分配和机关用车的管理使用等机关事务工作。</w:t>
      </w:r>
    </w:p>
    <w:p>
      <w:pPr>
        <w:pStyle w:val="22"/>
        <w:widowControl/>
        <w:snapToGrid w:val="0"/>
        <w:spacing w:line="300" w:lineRule="auto"/>
        <w:ind w:firstLine="640" w:firstLineChars="200"/>
        <w:jc w:val="both"/>
        <w:rPr>
          <w:rFonts w:hint="eastAsia" w:ascii="仿宋_GB2312" w:eastAsia="仿宋_GB2312" w:cs="仿宋_GB2312"/>
          <w:kern w:val="2"/>
          <w:sz w:val="32"/>
          <w:szCs w:val="32"/>
        </w:rPr>
      </w:pPr>
      <w:r>
        <w:rPr>
          <w:rFonts w:hint="eastAsia" w:ascii="仿宋_GB2312" w:eastAsia="仿宋_GB2312" w:cs="仿宋_GB2312"/>
          <w:kern w:val="2"/>
          <w:sz w:val="32"/>
          <w:szCs w:val="32"/>
        </w:rPr>
        <w:t>6、负责管理区委机关的经费预算决算、经费拨款和财务审计。</w:t>
      </w:r>
    </w:p>
    <w:p>
      <w:pPr>
        <w:pStyle w:val="22"/>
        <w:widowControl/>
        <w:snapToGrid w:val="0"/>
        <w:spacing w:line="300" w:lineRule="auto"/>
        <w:ind w:firstLine="640" w:firstLineChars="200"/>
        <w:jc w:val="both"/>
        <w:rPr>
          <w:rFonts w:hint="eastAsia" w:ascii="仿宋_GB2312" w:eastAsia="仿宋_GB2312" w:cs="仿宋_GB2312"/>
          <w:kern w:val="2"/>
          <w:sz w:val="32"/>
          <w:szCs w:val="32"/>
        </w:rPr>
      </w:pPr>
      <w:r>
        <w:rPr>
          <w:rFonts w:hint="eastAsia" w:ascii="仿宋_GB2312" w:eastAsia="仿宋_GB2312" w:cs="仿宋_GB2312"/>
          <w:kern w:val="2"/>
          <w:sz w:val="32"/>
          <w:szCs w:val="32"/>
        </w:rPr>
        <w:t>7、负责本室的人事管理和党务工作；指导区委机关的党建工作；负责区委机关的精神文明建设工作。</w:t>
      </w:r>
    </w:p>
    <w:p>
      <w:pPr>
        <w:pStyle w:val="22"/>
        <w:widowControl/>
        <w:snapToGrid w:val="0"/>
        <w:spacing w:line="300" w:lineRule="auto"/>
        <w:ind w:firstLine="640" w:firstLineChars="200"/>
        <w:jc w:val="both"/>
        <w:rPr>
          <w:rFonts w:hint="eastAsia" w:ascii="仿宋_GB2312" w:eastAsia="仿宋_GB2312" w:cs="仿宋_GB2312"/>
          <w:kern w:val="2"/>
          <w:sz w:val="32"/>
          <w:szCs w:val="32"/>
        </w:rPr>
      </w:pPr>
      <w:r>
        <w:rPr>
          <w:rFonts w:hint="eastAsia" w:ascii="仿宋_GB2312" w:eastAsia="仿宋_GB2312" w:cs="仿宋_GB2312"/>
          <w:kern w:val="2"/>
          <w:sz w:val="32"/>
          <w:szCs w:val="32"/>
        </w:rPr>
        <w:t>8、负责区委机关安全保卫工作。</w:t>
      </w:r>
    </w:p>
    <w:p>
      <w:pPr>
        <w:pStyle w:val="22"/>
        <w:widowControl/>
        <w:snapToGrid w:val="0"/>
        <w:spacing w:line="300" w:lineRule="auto"/>
        <w:ind w:firstLine="640" w:firstLineChars="200"/>
        <w:jc w:val="both"/>
        <w:rPr>
          <w:rFonts w:hint="eastAsia" w:ascii="仿宋_GB2312" w:eastAsia="仿宋_GB2312" w:cs="仿宋_GB2312"/>
          <w:kern w:val="2"/>
          <w:sz w:val="32"/>
          <w:szCs w:val="32"/>
        </w:rPr>
      </w:pPr>
      <w:r>
        <w:rPr>
          <w:rFonts w:hint="eastAsia" w:ascii="仿宋_GB2312" w:eastAsia="仿宋_GB2312" w:cs="仿宋_GB2312"/>
          <w:kern w:val="2"/>
          <w:sz w:val="32"/>
          <w:szCs w:val="32"/>
        </w:rPr>
        <w:t>9、负责机关离、退休干部的管理和生活服务工作。</w:t>
      </w:r>
    </w:p>
    <w:p>
      <w:pPr>
        <w:pStyle w:val="22"/>
        <w:widowControl/>
        <w:snapToGrid w:val="0"/>
        <w:spacing w:line="300" w:lineRule="auto"/>
        <w:ind w:firstLine="640" w:firstLineChars="200"/>
        <w:jc w:val="both"/>
        <w:rPr>
          <w:rFonts w:ascii="仿宋_GB2312" w:eastAsia="仿宋_GB2312" w:cs="仿宋_GB2312"/>
          <w:kern w:val="2"/>
          <w:sz w:val="32"/>
          <w:szCs w:val="32"/>
        </w:rPr>
      </w:pPr>
      <w:r>
        <w:rPr>
          <w:rFonts w:hint="eastAsia" w:ascii="仿宋_GB2312" w:eastAsia="仿宋_GB2312" w:cs="仿宋_GB2312"/>
          <w:kern w:val="2"/>
          <w:sz w:val="32"/>
          <w:szCs w:val="32"/>
        </w:rPr>
        <w:t>10、完成领导交办的其它工作。</w:t>
      </w:r>
    </w:p>
    <w:p>
      <w:pPr>
        <w:pStyle w:val="2"/>
        <w:spacing w:before="0" w:after="0" w:line="60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二、机构设置</w:t>
      </w:r>
    </w:p>
    <w:p>
      <w:pPr>
        <w:spacing w:after="0" w:line="560" w:lineRule="exact"/>
        <w:ind w:firstLine="640" w:firstLineChars="200"/>
        <w:rPr>
          <w:rFonts w:ascii="仿宋_GB2312" w:eastAsia="仿宋_GB2312" w:cs="ArialUnicodeMS"/>
          <w:kern w:val="0"/>
          <w:sz w:val="32"/>
          <w:szCs w:val="32"/>
        </w:rPr>
      </w:pPr>
      <w:r>
        <w:rPr>
          <w:rFonts w:hint="eastAsia" w:ascii="仿宋_GB2312" w:eastAsia="仿宋_GB2312" w:cs="ArialUnicodeMS"/>
          <w:kern w:val="0"/>
          <w:sz w:val="32"/>
          <w:szCs w:val="32"/>
        </w:rPr>
        <w:t>从决算编报单位构成看，纳入2018 年度本部门决算汇编范围的独立核算单位（以下简称“单位”）共1个，具体情况如下：</w:t>
      </w:r>
    </w:p>
    <w:tbl>
      <w:tblPr>
        <w:tblStyle w:val="12"/>
        <w:tblpPr w:leftFromText="180" w:rightFromText="180" w:vertAnchor="text" w:horzAnchor="page" w:tblpXSpec="center" w:tblpY="10"/>
        <w:tblOverlap w:val="never"/>
        <w:tblW w:w="9580" w:type="dxa"/>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11" w:hRule="atLeast"/>
        </w:trPr>
        <w:tc>
          <w:tcPr>
            <w:tcW w:w="985" w:type="dxa"/>
            <w:vAlign w:val="center"/>
          </w:tcPr>
          <w:p>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序号</w:t>
            </w:r>
          </w:p>
        </w:tc>
        <w:tc>
          <w:tcPr>
            <w:tcW w:w="3485" w:type="dxa"/>
            <w:vAlign w:val="center"/>
          </w:tcPr>
          <w:p>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单位名称</w:t>
            </w:r>
          </w:p>
        </w:tc>
        <w:tc>
          <w:tcPr>
            <w:tcW w:w="2445" w:type="dxa"/>
            <w:vAlign w:val="center"/>
          </w:tcPr>
          <w:p>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单位基本性质</w:t>
            </w:r>
          </w:p>
        </w:tc>
        <w:tc>
          <w:tcPr>
            <w:tcW w:w="2665" w:type="dxa"/>
            <w:vAlign w:val="center"/>
          </w:tcPr>
          <w:p>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985" w:type="dxa"/>
          </w:tcPr>
          <w:p>
            <w:pPr>
              <w:spacing w:after="0"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w:t>
            </w:r>
          </w:p>
        </w:tc>
        <w:tc>
          <w:tcPr>
            <w:tcW w:w="3485" w:type="dxa"/>
          </w:tcPr>
          <w:p>
            <w:pPr>
              <w:spacing w:after="0" w:line="560" w:lineRule="exact"/>
              <w:rPr>
                <w:rFonts w:ascii="仿宋_GB2312" w:eastAsia="仿宋_GB2312" w:cs="ArialUnicodeMS"/>
                <w:kern w:val="0"/>
                <w:sz w:val="28"/>
                <w:szCs w:val="28"/>
              </w:rPr>
            </w:pPr>
            <w:bookmarkStart w:id="0" w:name="_GoBack"/>
            <w:r>
              <w:rPr>
                <w:rFonts w:hint="eastAsia" w:ascii="仿宋_GB2312" w:eastAsia="仿宋_GB2312" w:cs="ArialUnicodeMS"/>
                <w:kern w:val="0"/>
                <w:sz w:val="28"/>
                <w:szCs w:val="28"/>
              </w:rPr>
              <w:t>区委办</w:t>
            </w:r>
            <w:bookmarkEnd w:id="0"/>
          </w:p>
        </w:tc>
        <w:tc>
          <w:tcPr>
            <w:tcW w:w="2445" w:type="dxa"/>
          </w:tcPr>
          <w:p>
            <w:pPr>
              <w:spacing w:after="0"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行政单位</w:t>
            </w:r>
          </w:p>
        </w:tc>
        <w:tc>
          <w:tcPr>
            <w:tcW w:w="2665" w:type="dxa"/>
          </w:tcPr>
          <w:p>
            <w:pPr>
              <w:spacing w:after="0"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9580" w:type="dxa"/>
            <w:gridSpan w:val="4"/>
            <w:tcBorders>
              <w:top w:val="single" w:color="auto" w:sz="4" w:space="0"/>
              <w:left w:val="nil"/>
              <w:bottom w:val="nil"/>
              <w:right w:val="nil"/>
            </w:tcBorders>
          </w:tcPr>
          <w:p>
            <w:pPr>
              <w:spacing w:after="0" w:line="560" w:lineRule="exact"/>
              <w:ind w:firstLine="560" w:firstLineChars="200"/>
              <w:jc w:val="left"/>
              <w:rPr>
                <w:rFonts w:ascii="仿宋_GB2312" w:eastAsia="仿宋_GB2312" w:cs="ArialUnicodeMS"/>
                <w:kern w:val="0"/>
                <w:sz w:val="28"/>
                <w:szCs w:val="28"/>
              </w:rPr>
            </w:pPr>
          </w:p>
        </w:tc>
      </w:tr>
    </w:tbl>
    <w:p>
      <w:pPr>
        <w:widowControl/>
        <w:spacing w:line="560" w:lineRule="exact"/>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sectPr>
          <w:pgSz w:w="11906" w:h="16838"/>
          <w:pgMar w:top="2098" w:right="1474" w:bottom="1984" w:left="1588" w:header="851" w:footer="992" w:gutter="0"/>
          <w:cols w:space="720" w:num="1"/>
          <w:docGrid w:type="lines" w:linePitch="312" w:charSpace="0"/>
        </w:sectPr>
      </w:pPr>
    </w:p>
    <w:p>
      <w:pPr>
        <w:widowControl/>
        <w:spacing w:line="1200" w:lineRule="exact"/>
        <w:jc w:val="center"/>
        <w:rPr>
          <w:rFonts w:ascii="黑体" w:eastAsia="黑体"/>
          <w:color w:val="000000"/>
          <w:sz w:val="72"/>
          <w:szCs w:val="96"/>
        </w:rPr>
      </w:pPr>
    </w:p>
    <w:p>
      <w:pPr>
        <w:widowControl/>
        <w:spacing w:line="1200" w:lineRule="exact"/>
        <w:jc w:val="center"/>
        <w:rPr>
          <w:rFonts w:ascii="黑体" w:eastAsia="黑体"/>
          <w:color w:val="000000"/>
          <w:sz w:val="72"/>
          <w:szCs w:val="96"/>
        </w:rPr>
      </w:pPr>
    </w:p>
    <w:p>
      <w:pPr>
        <w:widowControl/>
        <w:spacing w:line="1200" w:lineRule="exact"/>
        <w:jc w:val="center"/>
        <w:rPr>
          <w:rFonts w:ascii="黑体" w:eastAsia="黑体"/>
          <w:color w:val="000000"/>
          <w:sz w:val="72"/>
          <w:szCs w:val="96"/>
        </w:rPr>
      </w:pPr>
    </w:p>
    <w:p>
      <w:pPr>
        <w:widowControl/>
        <w:spacing w:line="1200" w:lineRule="exact"/>
        <w:jc w:val="center"/>
        <w:rPr>
          <w:rFonts w:ascii="黑体" w:eastAsia="黑体"/>
          <w:color w:val="000000"/>
          <w:sz w:val="72"/>
          <w:szCs w:val="96"/>
        </w:rPr>
      </w:pPr>
      <w:r>
        <w:rPr>
          <w:rFonts w:hint="eastAsia" w:ascii="黑体" w:eastAsia="黑体"/>
          <w:color w:val="000000"/>
          <w:sz w:val="72"/>
          <w:szCs w:val="96"/>
        </w:rPr>
        <w:t>第二部分</w:t>
      </w:r>
    </w:p>
    <w:p>
      <w:pPr>
        <w:widowControl/>
        <w:spacing w:line="1200" w:lineRule="exact"/>
        <w:jc w:val="center"/>
        <w:rPr>
          <w:color w:val="000000"/>
          <w:sz w:val="72"/>
          <w:szCs w:val="96"/>
        </w:rPr>
      </w:pPr>
      <w:r>
        <w:rPr>
          <w:rFonts w:hint="eastAsia" w:ascii="黑体" w:eastAsia="黑体"/>
          <w:color w:val="000000"/>
          <w:sz w:val="72"/>
          <w:szCs w:val="96"/>
        </w:rPr>
        <w:t>2018年度部门决算报表</w:t>
      </w: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80" w:lineRule="exact"/>
        <w:ind w:firstLine="640" w:firstLineChars="200"/>
        <w:rPr>
          <w:rFonts w:eastAsia="仿宋_GB2312"/>
          <w:sz w:val="20"/>
          <w:szCs w:val="32"/>
        </w:rPr>
      </w:pPr>
      <w:r>
        <w:rPr>
          <w:rFonts w:eastAsia="黑体"/>
          <w:sz w:val="32"/>
          <w:szCs w:val="32"/>
        </w:rPr>
        <w:t>第二部分   201</w:t>
      </w:r>
      <w:r>
        <w:rPr>
          <w:rFonts w:hint="eastAsia" w:eastAsia="黑体"/>
          <w:sz w:val="32"/>
          <w:szCs w:val="32"/>
        </w:rPr>
        <w:t>8</w:t>
      </w:r>
      <w:r>
        <w:rPr>
          <w:rFonts w:eastAsia="黑体"/>
          <w:sz w:val="32"/>
          <w:szCs w:val="32"/>
        </w:rPr>
        <w:t>年度部门决算报表</w:t>
      </w:r>
    </w:p>
    <w:p>
      <w:pPr>
        <w:widowControl/>
        <w:spacing w:line="580" w:lineRule="exact"/>
        <w:ind w:left="640" w:firstLine="640" w:firstLineChars="200"/>
        <w:rPr>
          <w:rFonts w:eastAsia="仿宋_GB2312"/>
          <w:sz w:val="32"/>
          <w:szCs w:val="32"/>
        </w:rPr>
      </w:pPr>
      <w:r>
        <w:rPr>
          <w:rFonts w:eastAsia="仿宋_GB2312"/>
          <w:sz w:val="32"/>
          <w:szCs w:val="32"/>
        </w:rPr>
        <w:t>一、收入支出决算总表</w:t>
      </w:r>
    </w:p>
    <w:p>
      <w:pPr>
        <w:widowControl/>
        <w:spacing w:line="580" w:lineRule="exact"/>
        <w:ind w:left="640" w:firstLine="640" w:firstLineChars="200"/>
        <w:rPr>
          <w:rFonts w:eastAsia="仿宋_GB2312"/>
          <w:sz w:val="32"/>
          <w:szCs w:val="32"/>
        </w:rPr>
      </w:pPr>
      <w:r>
        <w:rPr>
          <w:rFonts w:eastAsia="仿宋_GB2312"/>
          <w:sz w:val="32"/>
          <w:szCs w:val="32"/>
        </w:rPr>
        <w:t>二、收入决算表</w:t>
      </w:r>
    </w:p>
    <w:p>
      <w:pPr>
        <w:widowControl/>
        <w:spacing w:line="580" w:lineRule="exact"/>
        <w:ind w:left="640" w:firstLine="640" w:firstLineChars="200"/>
        <w:rPr>
          <w:rFonts w:eastAsia="仿宋_GB2312"/>
          <w:sz w:val="32"/>
          <w:szCs w:val="32"/>
        </w:rPr>
      </w:pPr>
      <w:r>
        <w:rPr>
          <w:rFonts w:eastAsia="仿宋_GB2312"/>
          <w:sz w:val="32"/>
          <w:szCs w:val="32"/>
        </w:rPr>
        <w:t>三、支出决算表</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四、财政拨款收入支出决算总表</w:t>
      </w:r>
    </w:p>
    <w:p>
      <w:pPr>
        <w:widowControl/>
        <w:spacing w:line="580" w:lineRule="exact"/>
        <w:ind w:left="640" w:firstLine="640" w:firstLineChars="200"/>
        <w:rPr>
          <w:rFonts w:eastAsia="仿宋_GB2312"/>
          <w:sz w:val="32"/>
          <w:szCs w:val="32"/>
        </w:rPr>
      </w:pPr>
      <w:r>
        <w:rPr>
          <w:rFonts w:eastAsia="仿宋_GB2312"/>
          <w:sz w:val="32"/>
          <w:szCs w:val="32"/>
        </w:rPr>
        <w:t>五、一般公共预算财政拨款支出决算表</w:t>
      </w:r>
    </w:p>
    <w:p>
      <w:pPr>
        <w:widowControl/>
        <w:spacing w:line="580" w:lineRule="exact"/>
        <w:ind w:left="640" w:firstLine="640" w:firstLineChars="200"/>
        <w:rPr>
          <w:rFonts w:eastAsia="仿宋_GB2312"/>
          <w:sz w:val="32"/>
          <w:szCs w:val="32"/>
        </w:rPr>
      </w:pPr>
      <w:r>
        <w:rPr>
          <w:rFonts w:eastAsia="仿宋_GB2312"/>
          <w:sz w:val="32"/>
          <w:szCs w:val="32"/>
        </w:rPr>
        <w:t>六、一般公共预算财政拨款基本支出决算表</w:t>
      </w:r>
    </w:p>
    <w:p>
      <w:pPr>
        <w:widowControl/>
        <w:spacing w:line="580" w:lineRule="exact"/>
        <w:ind w:left="640" w:firstLine="640" w:firstLineChars="200"/>
        <w:rPr>
          <w:rFonts w:eastAsia="仿宋_GB2312"/>
          <w:sz w:val="32"/>
          <w:szCs w:val="32"/>
        </w:rPr>
      </w:pPr>
      <w:r>
        <w:rPr>
          <w:rFonts w:eastAsia="仿宋_GB2312"/>
          <w:sz w:val="32"/>
          <w:szCs w:val="32"/>
        </w:rPr>
        <w:t>七、</w:t>
      </w:r>
      <w:r>
        <w:rPr>
          <w:rFonts w:hint="eastAsia" w:eastAsia="仿宋_GB2312"/>
          <w:sz w:val="32"/>
          <w:szCs w:val="32"/>
        </w:rPr>
        <w:t>一般公共预算财政拨款</w:t>
      </w:r>
      <w:r>
        <w:rPr>
          <w:rFonts w:eastAsia="仿宋_GB2312"/>
          <w:sz w:val="32"/>
          <w:szCs w:val="32"/>
        </w:rPr>
        <w:t>“三公”经费</w:t>
      </w:r>
      <w:r>
        <w:rPr>
          <w:rFonts w:hint="eastAsia"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八、</w:t>
      </w:r>
      <w:r>
        <w:rPr>
          <w:rFonts w:eastAsia="仿宋_GB2312"/>
          <w:sz w:val="32"/>
          <w:szCs w:val="32"/>
        </w:rPr>
        <w:t>政府性基金预算财政拨款收入支出决算表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九</w:t>
      </w:r>
      <w:r>
        <w:rPr>
          <w:rFonts w:eastAsia="仿宋_GB2312"/>
          <w:sz w:val="32"/>
          <w:szCs w:val="32"/>
        </w:rPr>
        <w:t>、国有资本经营预算</w:t>
      </w:r>
      <w:r>
        <w:rPr>
          <w:rFonts w:hint="eastAsia" w:eastAsia="仿宋_GB2312"/>
          <w:sz w:val="32"/>
          <w:szCs w:val="32"/>
        </w:rPr>
        <w:t>财政拨款</w:t>
      </w:r>
      <w:r>
        <w:rPr>
          <w:rFonts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十</w:t>
      </w:r>
      <w:r>
        <w:rPr>
          <w:rFonts w:eastAsia="仿宋_GB2312"/>
          <w:sz w:val="32"/>
          <w:szCs w:val="32"/>
        </w:rPr>
        <w:t>、政府采购情况表</w:t>
      </w:r>
    </w:p>
    <w:p>
      <w:pPr>
        <w:rPr>
          <w:rFonts w:ascii="宋体" w:cs="ArialUnicodeMS"/>
          <w:color w:val="000000"/>
          <w:kern w:val="0"/>
        </w:rPr>
      </w:pPr>
    </w:p>
    <w:p>
      <w:pPr>
        <w:tabs>
          <w:tab w:val="left" w:pos="1086"/>
        </w:tabs>
        <w:jc w:val="left"/>
        <w:rPr>
          <w:rFonts w:ascii="仿宋_GB2312" w:eastAsia="仿宋_GB2312"/>
          <w:b/>
          <w:sz w:val="28"/>
          <w:szCs w:val="28"/>
          <w:highlight w:val="yellow"/>
        </w:rPr>
        <w:sectPr>
          <w:pgSz w:w="11906" w:h="16838"/>
          <w:pgMar w:top="2098" w:right="1474" w:bottom="1984" w:left="1588" w:header="851" w:footer="992" w:gutter="0"/>
          <w:cols w:space="720" w:num="1"/>
          <w:docGrid w:type="lines" w:linePitch="312" w:charSpace="0"/>
        </w:sectPr>
      </w:pPr>
      <w:r>
        <w:rPr>
          <w:rFonts w:hint="eastAsia"/>
        </w:rPr>
        <w:tab/>
      </w: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72"/>
          <w:szCs w:val="72"/>
        </w:rPr>
      </w:pPr>
      <w:r>
        <w:rPr>
          <w:rFonts w:hint="eastAsia" w:ascii="黑体" w:eastAsia="黑体"/>
          <w:color w:val="000000"/>
          <w:sz w:val="72"/>
          <w:szCs w:val="72"/>
        </w:rPr>
        <w:t>第三部分</w:t>
      </w:r>
    </w:p>
    <w:p>
      <w:pPr>
        <w:widowControl/>
        <w:spacing w:line="1200" w:lineRule="exact"/>
        <w:jc w:val="center"/>
        <w:rPr>
          <w:color w:val="000000"/>
          <w:sz w:val="72"/>
          <w:szCs w:val="72"/>
        </w:rPr>
      </w:pPr>
      <w:r>
        <w:rPr>
          <w:rFonts w:hint="eastAsia" w:ascii="黑体" w:eastAsia="黑体"/>
          <w:color w:val="000000"/>
          <w:sz w:val="72"/>
          <w:szCs w:val="72"/>
        </w:rPr>
        <w:t>部门决算情况说明</w:t>
      </w:r>
    </w:p>
    <w:p>
      <w:pPr>
        <w:rPr>
          <w:rFonts w:ascii="宋体" w:cs="ArialUnicodeMS"/>
          <w:color w:val="000000"/>
          <w:kern w:val="0"/>
        </w:rPr>
        <w:sectPr>
          <w:pgSz w:w="11906" w:h="16838"/>
          <w:pgMar w:top="2098" w:right="1474" w:bottom="1984" w:left="1588" w:header="851" w:footer="992" w:gutter="0"/>
          <w:cols w:space="720" w:num="1"/>
          <w:docGrid w:type="lines" w:linePitch="312" w:charSpace="0"/>
        </w:sectPr>
      </w:pPr>
    </w:p>
    <w:p>
      <w:pPr>
        <w:pStyle w:val="3"/>
        <w:spacing w:before="0" w:after="0" w:line="580" w:lineRule="exact"/>
        <w:ind w:firstLine="640" w:firstLineChars="200"/>
        <w:rPr>
          <w:rFonts w:ascii="黑体" w:eastAsia="黑体"/>
          <w:b w:val="0"/>
          <w:bCs w:val="0"/>
        </w:rPr>
      </w:pPr>
      <w:r>
        <w:rPr>
          <w:rFonts w:hint="eastAsia" w:ascii="黑体" w:eastAsia="黑体"/>
          <w:b w:val="0"/>
          <w:bCs w:val="0"/>
        </w:rPr>
        <w:t>一、收入</w:t>
      </w:r>
      <w:r>
        <w:rPr>
          <w:rFonts w:hint="eastAsia" w:ascii="黑体" w:eastAsia="黑体" w:cs="黑体"/>
          <w:b w:val="0"/>
          <w:bCs w:val="0"/>
          <w:kern w:val="0"/>
        </w:rPr>
        <w:t>支出</w:t>
      </w:r>
      <w:r>
        <w:rPr>
          <w:rFonts w:hint="eastAsia" w:ascii="黑体" w:eastAsia="黑体"/>
          <w:b w:val="0"/>
          <w:bCs w:val="0"/>
        </w:rPr>
        <w:t>决算总体情况说明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本部门2018年度收支总计（含结转和结余）1542.27万元。与2017年度决算相比，收支各增加2.62万元，增长0.2%，主要原因是</w:t>
      </w:r>
      <w:r>
        <w:rPr>
          <w:rFonts w:hint="eastAsia" w:ascii="仿宋_GB2312" w:eastAsia="仿宋_GB2312"/>
          <w:color w:val="000000"/>
          <w:kern w:val="0"/>
          <w:sz w:val="32"/>
          <w:szCs w:val="32"/>
        </w:rPr>
        <w:t>调整工资标准及追加精神文明奖等支出，使得支出增加</w:t>
      </w:r>
    </w:p>
    <w:p>
      <w:pPr>
        <w:pStyle w:val="3"/>
        <w:spacing w:before="0" w:after="0" w:line="580" w:lineRule="exact"/>
        <w:ind w:firstLine="640" w:firstLineChars="200"/>
        <w:rPr>
          <w:rFonts w:ascii="黑体" w:eastAsia="黑体"/>
          <w:b w:val="0"/>
          <w:bCs w:val="0"/>
        </w:rPr>
      </w:pPr>
      <w:r>
        <w:rPr>
          <w:rFonts w:hint="eastAsia" w:ascii="黑体" w:eastAsia="黑体"/>
          <w:b w:val="0"/>
          <w:bCs w:val="0"/>
        </w:rPr>
        <w:t>二、收入决算情况说明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本部门2018年度本年收入合计1479.76万元，其中：财政拨款收入1309.81万元，占88.5%；事业收入0万元，占0%；经营收入0万元，占0%；其他收入169.95万元，占11.5%。</w:t>
      </w:r>
    </w:p>
    <w:p>
      <w:pPr>
        <w:pStyle w:val="3"/>
        <w:spacing w:before="0" w:after="0" w:line="580" w:lineRule="exact"/>
        <w:ind w:firstLine="640" w:firstLineChars="200"/>
        <w:rPr>
          <w:rFonts w:ascii="黑体" w:eastAsia="黑体"/>
          <w:b w:val="0"/>
          <w:bCs w:val="0"/>
        </w:rPr>
      </w:pPr>
      <w:r>
        <w:rPr>
          <w:rFonts w:hint="eastAsia" w:ascii="黑体" w:eastAsia="黑体"/>
          <w:b w:val="0"/>
          <w:bCs w:val="0"/>
        </w:rPr>
        <w:t>三、支出决算情况说明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本部门2018年度本年支出合计1536.57万元，其中：基本支出1536.57万元，占100%；项目支出0万元，占0%；经营支出0万元，占0%。</w:t>
      </w:r>
    </w:p>
    <w:p>
      <w:pPr>
        <w:pStyle w:val="3"/>
        <w:spacing w:before="0" w:after="0" w:line="580" w:lineRule="exact"/>
        <w:ind w:firstLine="640" w:firstLineChars="200"/>
        <w:rPr>
          <w:rFonts w:ascii="黑体" w:eastAsia="黑体"/>
          <w:b w:val="0"/>
          <w:bCs w:val="0"/>
        </w:rPr>
      </w:pPr>
      <w:r>
        <w:rPr>
          <w:rFonts w:hint="eastAsia" w:ascii="黑体" w:eastAsia="黑体"/>
          <w:b w:val="0"/>
          <w:bCs w:val="0"/>
        </w:rPr>
        <w:t>四、</w:t>
      </w:r>
      <w:r>
        <w:rPr>
          <w:rFonts w:hint="eastAsia" w:ascii="黑体" w:eastAsia="黑体" w:cs="黑体"/>
          <w:b w:val="0"/>
          <w:bCs w:val="0"/>
          <w:kern w:val="0"/>
        </w:rPr>
        <w:t>财政</w:t>
      </w:r>
      <w:r>
        <w:rPr>
          <w:rFonts w:hint="eastAsia" w:ascii="黑体" w:eastAsia="黑体"/>
          <w:b w:val="0"/>
          <w:bCs w:val="0"/>
        </w:rPr>
        <w:t>拨款收入支出决算情况说明</w:t>
      </w:r>
    </w:p>
    <w:p>
      <w:pPr>
        <w:spacing w:after="0" w:line="580" w:lineRule="exact"/>
        <w:ind w:firstLine="643" w:firstLineChars="200"/>
        <w:rPr>
          <w:rFonts w:ascii="楷体_GB2312" w:eastAsia="楷体_GB2312" w:cs="DengXian-Bold"/>
          <w:b/>
          <w:bCs/>
          <w:sz w:val="32"/>
          <w:szCs w:val="32"/>
        </w:rPr>
      </w:pPr>
      <w:r>
        <w:rPr>
          <w:rFonts w:hint="eastAsia" w:ascii="楷体_GB2312" w:eastAsia="楷体_GB2312" w:cs="DengXian-Bold"/>
          <w:b/>
          <w:bCs/>
          <w:sz w:val="32"/>
          <w:szCs w:val="32"/>
        </w:rPr>
        <w:t>（一）财政拨款收支与2017 年度决算对比情况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本部门2018年度形成的财政拨款收支均为一般公共预算财政拨款，其中一般公共预算财政拨款本年收入1479.76万元,比2017年度减少39.27万元，减少2.58%，主要原因是</w:t>
      </w:r>
      <w:r>
        <w:rPr>
          <w:rFonts w:hint="eastAsia" w:ascii="仿宋" w:eastAsia="仿宋"/>
          <w:color w:val="000000"/>
          <w:kern w:val="0"/>
          <w:sz w:val="32"/>
          <w:szCs w:val="32"/>
        </w:rPr>
        <w:t>办公费减少</w:t>
      </w:r>
      <w:r>
        <w:rPr>
          <w:rFonts w:hint="eastAsia" w:ascii="仿宋_GB2312" w:eastAsia="仿宋_GB2312" w:cs="DengXian-Regular"/>
          <w:sz w:val="32"/>
          <w:szCs w:val="32"/>
        </w:rPr>
        <w:t>；本年支出1536.57万元，增加59.34万元，增长3.9%，主要原因是</w:t>
      </w:r>
      <w:r>
        <w:rPr>
          <w:rFonts w:hint="eastAsia" w:ascii="仿宋" w:eastAsia="仿宋"/>
          <w:color w:val="000000"/>
          <w:kern w:val="0"/>
          <w:sz w:val="32"/>
          <w:szCs w:val="32"/>
        </w:rPr>
        <w:t>调整工资标准及追加精神文明奖等支出，使得支出增加。</w:t>
      </w:r>
    </w:p>
    <w:p>
      <w:pPr>
        <w:spacing w:after="0"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（二）财政拨款收支与年初预算数对比情况</w:t>
      </w:r>
    </w:p>
    <w:p>
      <w:pPr>
        <w:adjustRightInd w:val="0"/>
        <w:snapToGrid w:val="0"/>
        <w:spacing w:after="0" w:line="580" w:lineRule="exact"/>
        <w:ind w:firstLine="640" w:firstLineChars="200"/>
        <w:rPr>
          <w:rFonts w:ascii="仿宋_GB2312" w:eastAsia="仿宋_GB2312" w:cs="DengXian-Regular"/>
          <w:sz w:val="32"/>
          <w:szCs w:val="32"/>
          <w:highlight w:val="yellow"/>
        </w:rPr>
      </w:pPr>
      <w:r>
        <w:rPr>
          <w:rFonts w:hint="eastAsia" w:ascii="仿宋_GB2312" w:eastAsia="仿宋_GB2312" w:cs="DengXian-Regular"/>
          <w:sz w:val="32"/>
          <w:szCs w:val="32"/>
        </w:rPr>
        <w:t>本部门2018年度一般公共预算财政拨款收入1536.67万元，完成年初预算的137.0%,比年初预算增加422.46万元，决算数大于预算数，主要原因是</w:t>
      </w:r>
      <w:r>
        <w:rPr>
          <w:rFonts w:hint="eastAsia" w:ascii="仿宋" w:eastAsia="仿宋"/>
          <w:color w:val="000000"/>
          <w:kern w:val="0"/>
          <w:sz w:val="32"/>
          <w:szCs w:val="32"/>
        </w:rPr>
        <w:t>调整工资标准及追加精神文明奖等支出，使得支出增加</w:t>
      </w:r>
      <w:r>
        <w:rPr>
          <w:rFonts w:hint="eastAsia" w:ascii="仿宋_GB2312" w:eastAsia="仿宋_GB2312" w:cs="DengXian-Regular"/>
          <w:sz w:val="32"/>
          <w:szCs w:val="32"/>
        </w:rPr>
        <w:t>；本年支出1536.57万元，完成年初预算的100%,比年初预算增加59.34万元，决算数大于预算数，主要原因是</w:t>
      </w:r>
      <w:r>
        <w:rPr>
          <w:rFonts w:hint="eastAsia" w:ascii="仿宋" w:eastAsia="仿宋"/>
          <w:color w:val="000000"/>
          <w:kern w:val="0"/>
          <w:sz w:val="32"/>
          <w:szCs w:val="32"/>
        </w:rPr>
        <w:t>调整工资标准及追加精神文明奖等支出，使得支出增加。</w:t>
      </w:r>
    </w:p>
    <w:p>
      <w:pPr>
        <w:numPr>
          <w:ilvl w:val="0"/>
          <w:numId w:val="1"/>
        </w:num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财政拨款支出决算结构情况。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2018 年度财政拨款支出1536.57万元，主要用于以下方面：一般公共服务（类）支出1267.2万元，占82.5%；公共安全（类）支出0万元，占0%；教育（类）支出0万元，占0%；科学技术（类）支出0万元，占0%；社会保障和就业（类）支出 208.21万元，占13.5%；医疗卫生与计划生育支出22.73万元，占1.5%；住房保障支出38.42万元，占2.5%。</w:t>
      </w:r>
    </w:p>
    <w:p>
      <w:p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（四）一般公共预算财政拨款基本支出决算情况说明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2018 年度一般公共预算财政拨款基本支出1536.57万元，其中：人员经费 963.75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等；公用经费572.82万元，主要包括办公费、印刷费、咨询费、手续费、水费、电费、邮电费、取暖费、物业管理费、差旅费、维修（护）费、租赁费、会议费、培训费、专用材料费、</w:t>
      </w:r>
      <w:r>
        <w:rPr>
          <w:rFonts w:ascii="仿宋_GB2312" w:eastAsia="仿宋_GB2312" w:cs="DengXian-Regular"/>
          <w:sz w:val="32"/>
          <w:szCs w:val="32"/>
        </w:rPr>
        <w:t>公务接待费</w:t>
      </w:r>
      <w:r>
        <w:rPr>
          <w:rFonts w:hint="eastAsia" w:ascii="仿宋_GB2312" w:eastAsia="仿宋_GB2312" w:cs="DengXian-Regular"/>
          <w:sz w:val="32"/>
          <w:szCs w:val="32"/>
        </w:rPr>
        <w:t>、劳务费、委托业务费、工会经费、福利费、公务用车运行维护费、其他交通费用、税金及附加费用、其他商品和服务支出、办公设备购置、专用设备购置、信息网络及软件购置更新、公务用车购置、其他资本性支出等。</w:t>
      </w:r>
    </w:p>
    <w:p>
      <w:pPr>
        <w:pStyle w:val="3"/>
        <w:spacing w:before="0" w:after="0" w:line="580" w:lineRule="exact"/>
        <w:ind w:firstLine="640" w:firstLineChars="200"/>
        <w:rPr>
          <w:rFonts w:ascii="黑体" w:eastAsia="黑体"/>
          <w:b w:val="0"/>
          <w:bCs w:val="0"/>
        </w:rPr>
      </w:pPr>
      <w:r>
        <w:rPr>
          <w:rFonts w:hint="eastAsia" w:ascii="黑体" w:eastAsia="黑体"/>
          <w:b w:val="0"/>
          <w:bCs w:val="0"/>
        </w:rPr>
        <w:t>五、一般公共预算财政拨款“三公” 经费支出决算情况说明</w:t>
      </w:r>
    </w:p>
    <w:p>
      <w:pPr>
        <w:widowControl/>
        <w:spacing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本部门201</w:t>
      </w:r>
      <w:r>
        <w:rPr>
          <w:rFonts w:hint="eastAsia" w:ascii="仿宋_GB2312" w:eastAsia="仿宋_GB2312" w:cs="DengXian-Regular"/>
          <w:sz w:val="32"/>
          <w:szCs w:val="32"/>
        </w:rPr>
        <w:t>8</w:t>
      </w:r>
      <w:r>
        <w:rPr>
          <w:rFonts w:ascii="仿宋_GB2312" w:eastAsia="仿宋_GB2312" w:cs="DengXian-Regular"/>
          <w:sz w:val="32"/>
          <w:szCs w:val="32"/>
        </w:rPr>
        <w:t>年度一般公共预算财政拨款“三公”经费支出共计</w:t>
      </w:r>
      <w:r>
        <w:rPr>
          <w:rFonts w:hint="eastAsia" w:ascii="仿宋_GB2312" w:eastAsia="仿宋_GB2312" w:cs="DengXian-Regular"/>
          <w:sz w:val="32"/>
          <w:szCs w:val="32"/>
        </w:rPr>
        <w:t>11.32</w:t>
      </w:r>
      <w:r>
        <w:rPr>
          <w:rFonts w:ascii="仿宋_GB2312" w:eastAsia="仿宋_GB2312" w:cs="DengXian-Regular"/>
          <w:sz w:val="32"/>
          <w:szCs w:val="32"/>
        </w:rPr>
        <w:t>万元，</w:t>
      </w:r>
      <w:r>
        <w:rPr>
          <w:rFonts w:hint="eastAsia" w:ascii="仿宋_GB2312" w:eastAsia="仿宋_GB2312" w:cs="DengXian-Regular"/>
          <w:sz w:val="32"/>
          <w:szCs w:val="32"/>
        </w:rPr>
        <w:t>比</w:t>
      </w:r>
      <w:r>
        <w:rPr>
          <w:rFonts w:ascii="仿宋_GB2312" w:eastAsia="仿宋_GB2312" w:cs="DengXian-Regular"/>
          <w:sz w:val="32"/>
          <w:szCs w:val="32"/>
        </w:rPr>
        <w:t>年初预算减少</w:t>
      </w:r>
      <w:r>
        <w:rPr>
          <w:rFonts w:hint="eastAsia" w:ascii="仿宋_GB2312" w:eastAsia="仿宋_GB2312" w:cs="DengXian-Regular"/>
          <w:sz w:val="32"/>
          <w:szCs w:val="32"/>
        </w:rPr>
        <w:t>75.88</w:t>
      </w:r>
      <w:r>
        <w:rPr>
          <w:rFonts w:ascii="仿宋_GB2312" w:eastAsia="仿宋_GB2312" w:cs="DengXian-Regular"/>
          <w:sz w:val="32"/>
          <w:szCs w:val="32"/>
        </w:rPr>
        <w:t>万元，降低</w:t>
      </w:r>
      <w:r>
        <w:rPr>
          <w:rFonts w:hint="eastAsia" w:ascii="仿宋_GB2312" w:eastAsia="仿宋_GB2312" w:cs="DengXian-Regular"/>
          <w:sz w:val="32"/>
          <w:szCs w:val="32"/>
        </w:rPr>
        <w:t>67.0</w:t>
      </w:r>
      <w:r>
        <w:rPr>
          <w:rFonts w:ascii="仿宋_GB2312" w:eastAsia="仿宋_GB2312" w:cs="DengXian-Regular"/>
          <w:sz w:val="32"/>
          <w:szCs w:val="32"/>
        </w:rPr>
        <w:t>%，主要</w:t>
      </w:r>
      <w:r>
        <w:rPr>
          <w:rFonts w:hint="eastAsia" w:ascii="仿宋_GB2312" w:eastAsia="仿宋_GB2312" w:cs="DengXian-Regular"/>
          <w:sz w:val="32"/>
          <w:szCs w:val="32"/>
        </w:rPr>
        <w:t>原因</w:t>
      </w:r>
      <w:r>
        <w:rPr>
          <w:rFonts w:ascii="仿宋_GB2312" w:eastAsia="仿宋_GB2312" w:cs="DengXian-Regular"/>
          <w:sz w:val="32"/>
          <w:szCs w:val="32"/>
        </w:rPr>
        <w:t>是</w:t>
      </w:r>
      <w:r>
        <w:rPr>
          <w:rFonts w:hint="eastAsia" w:ascii="仿宋_GB2312" w:eastAsia="仿宋_GB2312" w:cs="DengXian-Regular"/>
          <w:sz w:val="32"/>
          <w:szCs w:val="32"/>
        </w:rPr>
        <w:t>体现了我单位认真落实中央八项规定精神和厉行节约要求，管理制度不断完善，</w:t>
      </w:r>
      <w:r>
        <w:rPr>
          <w:rFonts w:ascii="仿宋_GB2312" w:eastAsia="仿宋_GB2312" w:cs="DengXian-Regular"/>
          <w:sz w:val="32"/>
          <w:szCs w:val="32"/>
        </w:rPr>
        <w:t>“</w:t>
      </w:r>
      <w:r>
        <w:rPr>
          <w:rFonts w:hint="eastAsia" w:ascii="仿宋_GB2312" w:eastAsia="仿宋_GB2312" w:cs="DengXian-Regular"/>
          <w:sz w:val="32"/>
          <w:szCs w:val="32"/>
        </w:rPr>
        <w:t>三公</w:t>
      </w:r>
      <w:r>
        <w:rPr>
          <w:rFonts w:ascii="仿宋_GB2312" w:eastAsia="仿宋_GB2312" w:cs="DengXian-Regular"/>
          <w:sz w:val="32"/>
          <w:szCs w:val="32"/>
        </w:rPr>
        <w:t>”</w:t>
      </w:r>
      <w:r>
        <w:rPr>
          <w:rFonts w:hint="eastAsia" w:ascii="仿宋_GB2312" w:eastAsia="仿宋_GB2312" w:cs="DengXian-Regular"/>
          <w:sz w:val="32"/>
          <w:szCs w:val="32"/>
        </w:rPr>
        <w:t>经费支出得到了有效控制</w:t>
      </w:r>
      <w:r>
        <w:rPr>
          <w:rFonts w:ascii="仿宋_GB2312" w:eastAsia="仿宋_GB2312" w:cs="DengXian-Regular"/>
          <w:sz w:val="32"/>
          <w:szCs w:val="32"/>
        </w:rPr>
        <w:t>；</w:t>
      </w:r>
      <w:r>
        <w:rPr>
          <w:rFonts w:hint="eastAsia" w:ascii="仿宋_GB2312" w:eastAsia="仿宋_GB2312" w:cs="DengXian-Regular"/>
          <w:sz w:val="32"/>
          <w:szCs w:val="32"/>
        </w:rPr>
        <w:t>比</w:t>
      </w:r>
      <w:r>
        <w:rPr>
          <w:rFonts w:ascii="仿宋_GB2312" w:eastAsia="仿宋_GB2312" w:cs="DengXian-Regular"/>
          <w:sz w:val="32"/>
          <w:szCs w:val="32"/>
        </w:rPr>
        <w:t>201</w:t>
      </w:r>
      <w:r>
        <w:rPr>
          <w:rFonts w:hint="eastAsia" w:ascii="仿宋_GB2312" w:eastAsia="仿宋_GB2312" w:cs="DengXian-Regular"/>
          <w:sz w:val="32"/>
          <w:szCs w:val="32"/>
        </w:rPr>
        <w:t>7</w:t>
      </w:r>
      <w:r>
        <w:rPr>
          <w:rFonts w:ascii="仿宋_GB2312" w:eastAsia="仿宋_GB2312" w:cs="DengXian-Regular"/>
          <w:sz w:val="32"/>
          <w:szCs w:val="32"/>
        </w:rPr>
        <w:t>年度决算增加</w:t>
      </w:r>
      <w:r>
        <w:rPr>
          <w:rFonts w:hint="eastAsia" w:ascii="仿宋_GB2312" w:eastAsia="仿宋_GB2312" w:cs="DengXian-Regular"/>
          <w:sz w:val="32"/>
          <w:szCs w:val="32"/>
        </w:rPr>
        <w:t>1.03</w:t>
      </w:r>
      <w:r>
        <w:rPr>
          <w:rFonts w:ascii="仿宋_GB2312" w:eastAsia="仿宋_GB2312" w:cs="DengXian-Regular"/>
          <w:sz w:val="32"/>
          <w:szCs w:val="32"/>
        </w:rPr>
        <w:t>万元，增长</w:t>
      </w:r>
      <w:r>
        <w:rPr>
          <w:rFonts w:hint="eastAsia" w:ascii="仿宋_GB2312" w:eastAsia="仿宋_GB2312" w:cs="DengXian-Regular"/>
          <w:sz w:val="32"/>
          <w:szCs w:val="32"/>
        </w:rPr>
        <w:t>10.0</w:t>
      </w:r>
      <w:r>
        <w:rPr>
          <w:rFonts w:ascii="仿宋_GB2312" w:eastAsia="仿宋_GB2312" w:cs="DengXian-Regular"/>
          <w:sz w:val="32"/>
          <w:szCs w:val="32"/>
        </w:rPr>
        <w:t>%，主要</w:t>
      </w:r>
      <w:r>
        <w:rPr>
          <w:rFonts w:hint="eastAsia" w:ascii="仿宋_GB2312" w:eastAsia="仿宋_GB2312" w:cs="DengXian-Regular"/>
          <w:sz w:val="32"/>
          <w:szCs w:val="32"/>
        </w:rPr>
        <w:t>原因</w:t>
      </w:r>
      <w:r>
        <w:rPr>
          <w:rFonts w:ascii="仿宋_GB2312" w:eastAsia="仿宋_GB2312" w:cs="DengXian-Regular"/>
          <w:sz w:val="32"/>
          <w:szCs w:val="32"/>
        </w:rPr>
        <w:t>是</w:t>
      </w:r>
      <w:r>
        <w:rPr>
          <w:rFonts w:hint="eastAsia" w:ascii="仿宋_GB2312" w:eastAsia="仿宋_GB2312" w:cs="DengXian-Regular"/>
          <w:sz w:val="32"/>
          <w:szCs w:val="32"/>
        </w:rPr>
        <w:t>公务用车维修维护支出增加</w:t>
      </w:r>
      <w:r>
        <w:rPr>
          <w:rFonts w:ascii="仿宋_GB2312" w:eastAsia="仿宋_GB2312" w:cs="DengXian-Regular"/>
          <w:sz w:val="32"/>
          <w:szCs w:val="32"/>
        </w:rPr>
        <w:t>。具体情况如下：</w:t>
      </w:r>
    </w:p>
    <w:p>
      <w:pPr>
        <w:adjustRightInd w:val="0"/>
        <w:snapToGrid w:val="0"/>
        <w:spacing w:line="584" w:lineRule="exact"/>
        <w:ind w:firstLine="643" w:firstLineChars="200"/>
        <w:rPr>
          <w:rFonts w:eastAsia="仿宋_GB2312"/>
          <w:sz w:val="32"/>
          <w:szCs w:val="32"/>
          <w:highlight w:val="yellow"/>
        </w:rPr>
      </w:pPr>
      <w:r>
        <w:rPr>
          <w:rFonts w:eastAsia="楷体_GB2312"/>
          <w:b/>
          <w:bCs/>
          <w:sz w:val="32"/>
          <w:szCs w:val="32"/>
        </w:rPr>
        <w:t>（一）因公出国（境）费支出</w:t>
      </w:r>
      <w:r>
        <w:rPr>
          <w:rFonts w:hint="eastAsia" w:eastAsia="楷体_GB2312"/>
          <w:b/>
          <w:bCs/>
          <w:sz w:val="32"/>
          <w:szCs w:val="32"/>
        </w:rPr>
        <w:t>0</w:t>
      </w:r>
      <w:r>
        <w:rPr>
          <w:rFonts w:eastAsia="楷体_GB2312"/>
          <w:b/>
          <w:bCs/>
          <w:sz w:val="32"/>
          <w:szCs w:val="32"/>
        </w:rPr>
        <w:t>万元。</w:t>
      </w:r>
      <w:r>
        <w:rPr>
          <w:rFonts w:eastAsia="仿宋_GB2312"/>
          <w:sz w:val="32"/>
          <w:szCs w:val="32"/>
        </w:rPr>
        <w:t>本部门201</w:t>
      </w:r>
      <w:r>
        <w:rPr>
          <w:rFonts w:hint="eastAsia" w:eastAsia="仿宋_GB2312"/>
          <w:sz w:val="32"/>
          <w:szCs w:val="32"/>
        </w:rPr>
        <w:t>8</w:t>
      </w:r>
      <w:r>
        <w:rPr>
          <w:rFonts w:eastAsia="仿宋_GB2312"/>
          <w:sz w:val="32"/>
          <w:szCs w:val="32"/>
        </w:rPr>
        <w:t>年度未发生</w:t>
      </w:r>
      <w:r>
        <w:rPr>
          <w:rFonts w:hint="eastAsia" w:ascii="仿宋_GB2312" w:eastAsia="仿宋_GB2312" w:cs="DengXian-Regular"/>
          <w:sz w:val="32"/>
          <w:szCs w:val="32"/>
        </w:rPr>
        <w:t>因公出国（境）</w:t>
      </w:r>
      <w:r>
        <w:rPr>
          <w:rFonts w:ascii="仿宋_GB2312" w:eastAsia="仿宋_GB2312" w:cs="DengXian-Regular"/>
          <w:sz w:val="32"/>
          <w:szCs w:val="32"/>
        </w:rPr>
        <w:t>费支出，</w:t>
      </w:r>
      <w:r>
        <w:rPr>
          <w:rFonts w:eastAsia="仿宋_GB2312"/>
          <w:sz w:val="32"/>
          <w:szCs w:val="32"/>
        </w:rPr>
        <w:t>较年初预算无增减变化；较201</w:t>
      </w:r>
      <w:r>
        <w:rPr>
          <w:rFonts w:hint="eastAsia" w:eastAsia="仿宋_GB2312"/>
          <w:sz w:val="32"/>
          <w:szCs w:val="32"/>
        </w:rPr>
        <w:t>7</w:t>
      </w:r>
      <w:r>
        <w:rPr>
          <w:rFonts w:eastAsia="仿宋_GB2312"/>
          <w:sz w:val="32"/>
          <w:szCs w:val="32"/>
        </w:rPr>
        <w:t>年度决算无增减变化</w:t>
      </w:r>
      <w:r>
        <w:rPr>
          <w:rFonts w:hint="eastAsia" w:eastAsia="仿宋_GB2312"/>
          <w:sz w:val="32"/>
          <w:szCs w:val="32"/>
        </w:rPr>
        <w:t>。</w:t>
      </w:r>
    </w:p>
    <w:p>
      <w:pPr>
        <w:adjustRightInd w:val="0"/>
        <w:snapToGrid w:val="0"/>
        <w:spacing w:line="584" w:lineRule="exact"/>
        <w:ind w:firstLine="643" w:firstLineChars="200"/>
        <w:rPr>
          <w:rFonts w:eastAsia="仿宋_GB2312"/>
          <w:b/>
          <w:bCs/>
          <w:sz w:val="32"/>
          <w:szCs w:val="32"/>
        </w:rPr>
      </w:pPr>
      <w:r>
        <w:rPr>
          <w:rFonts w:eastAsia="楷体_GB2312"/>
          <w:b/>
          <w:bCs/>
          <w:sz w:val="32"/>
          <w:szCs w:val="32"/>
        </w:rPr>
        <w:t>（二）公务用车购置及运行维护费支出</w:t>
      </w:r>
      <w:r>
        <w:rPr>
          <w:rFonts w:hint="eastAsia" w:eastAsia="楷体_GB2312"/>
          <w:b/>
          <w:bCs/>
          <w:sz w:val="32"/>
          <w:szCs w:val="32"/>
        </w:rPr>
        <w:t>11.06</w:t>
      </w:r>
      <w:r>
        <w:rPr>
          <w:rFonts w:eastAsia="楷体_GB2312"/>
          <w:b/>
          <w:bCs/>
          <w:sz w:val="32"/>
          <w:szCs w:val="32"/>
        </w:rPr>
        <w:t>万元。</w:t>
      </w:r>
      <w:r>
        <w:rPr>
          <w:rFonts w:hint="eastAsia" w:ascii="仿宋_GB2312" w:eastAsia="仿宋_GB2312" w:cs="DengXian-Regular"/>
          <w:sz w:val="32"/>
          <w:szCs w:val="32"/>
        </w:rPr>
        <w:t>本部门2018年度公务用车购置及运行维护费比年初预算</w:t>
      </w:r>
      <w:r>
        <w:rPr>
          <w:rFonts w:eastAsia="仿宋_GB2312"/>
          <w:sz w:val="32"/>
          <w:szCs w:val="32"/>
        </w:rPr>
        <w:t>减少</w:t>
      </w:r>
      <w:r>
        <w:rPr>
          <w:rFonts w:hint="eastAsia" w:eastAsia="仿宋_GB2312"/>
          <w:sz w:val="32"/>
          <w:szCs w:val="32"/>
        </w:rPr>
        <w:t>60.09</w:t>
      </w:r>
      <w:r>
        <w:rPr>
          <w:rFonts w:eastAsia="仿宋_GB2312"/>
          <w:sz w:val="32"/>
          <w:szCs w:val="32"/>
        </w:rPr>
        <w:t>万元</w:t>
      </w:r>
      <w:r>
        <w:rPr>
          <w:rFonts w:hint="eastAsia" w:ascii="仿宋_GB2312" w:eastAsia="仿宋_GB2312" w:cs="DengXian-Regular"/>
          <w:sz w:val="32"/>
          <w:szCs w:val="32"/>
        </w:rPr>
        <w:t>，</w:t>
      </w:r>
      <w:r>
        <w:rPr>
          <w:rFonts w:eastAsia="仿宋_GB2312"/>
          <w:sz w:val="32"/>
          <w:szCs w:val="32"/>
        </w:rPr>
        <w:t>降低</w:t>
      </w:r>
      <w:r>
        <w:rPr>
          <w:rFonts w:hint="eastAsia" w:eastAsia="仿宋_GB2312"/>
          <w:sz w:val="32"/>
          <w:szCs w:val="32"/>
        </w:rPr>
        <w:t>54.3</w:t>
      </w:r>
      <w:r>
        <w:rPr>
          <w:rFonts w:eastAsia="仿宋_GB2312"/>
          <w:sz w:val="32"/>
          <w:szCs w:val="32"/>
        </w:rPr>
        <w:t>%</w:t>
      </w:r>
      <w:r>
        <w:rPr>
          <w:rFonts w:hint="eastAsia" w:ascii="仿宋_GB2312" w:eastAsia="仿宋_GB2312" w:cs="DengXian-Regular"/>
          <w:sz w:val="32"/>
          <w:szCs w:val="32"/>
        </w:rPr>
        <w:t>,主要原因是减少公务用车出行；</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年度决算增加</w:t>
      </w:r>
      <w:r>
        <w:rPr>
          <w:rFonts w:hint="eastAsia" w:eastAsia="仿宋_GB2312"/>
          <w:sz w:val="32"/>
          <w:szCs w:val="32"/>
        </w:rPr>
        <w:t>0.36</w:t>
      </w:r>
      <w:r>
        <w:rPr>
          <w:rFonts w:eastAsia="仿宋_GB2312"/>
          <w:sz w:val="32"/>
          <w:szCs w:val="32"/>
        </w:rPr>
        <w:t>万元，增长</w:t>
      </w:r>
      <w:r>
        <w:rPr>
          <w:rFonts w:hint="eastAsia" w:eastAsia="仿宋_GB2312"/>
          <w:sz w:val="32"/>
          <w:szCs w:val="32"/>
        </w:rPr>
        <w:t>3.5</w:t>
      </w:r>
      <w:r>
        <w:rPr>
          <w:rFonts w:eastAsia="仿宋_GB2312"/>
          <w:sz w:val="32"/>
          <w:szCs w:val="32"/>
        </w:rPr>
        <w:t>%，主要</w:t>
      </w:r>
      <w:r>
        <w:rPr>
          <w:rFonts w:hint="eastAsia" w:ascii="仿宋_GB2312" w:eastAsia="仿宋_GB2312" w:cs="DengXian-Regular"/>
          <w:sz w:val="32"/>
          <w:szCs w:val="32"/>
        </w:rPr>
        <w:t>原因</w:t>
      </w:r>
      <w:r>
        <w:rPr>
          <w:rFonts w:eastAsia="仿宋_GB2312"/>
          <w:sz w:val="32"/>
          <w:szCs w:val="32"/>
        </w:rPr>
        <w:t>是</w:t>
      </w:r>
      <w:r>
        <w:rPr>
          <w:rFonts w:hint="eastAsia" w:eastAsia="仿宋_GB2312"/>
          <w:sz w:val="32"/>
          <w:szCs w:val="32"/>
        </w:rPr>
        <w:t>公务用车维修维护增加</w:t>
      </w:r>
      <w:r>
        <w:rPr>
          <w:rFonts w:eastAsia="仿宋_GB2312"/>
          <w:sz w:val="32"/>
          <w:szCs w:val="32"/>
        </w:rPr>
        <w:t>。</w:t>
      </w:r>
      <w:r>
        <w:rPr>
          <w:rFonts w:eastAsia="仿宋_GB2312"/>
          <w:b/>
          <w:bCs/>
          <w:sz w:val="32"/>
          <w:szCs w:val="32"/>
        </w:rPr>
        <w:t>其中：</w:t>
      </w:r>
    </w:p>
    <w:p>
      <w:pPr>
        <w:adjustRightInd w:val="0"/>
        <w:snapToGrid w:val="0"/>
        <w:spacing w:line="584" w:lineRule="exact"/>
        <w:ind w:firstLine="643" w:firstLineChars="200"/>
        <w:rPr>
          <w:rFonts w:hint="eastAsia" w:eastAsia="仿宋_GB2312"/>
          <w:sz w:val="32"/>
          <w:szCs w:val="32"/>
        </w:rPr>
      </w:pPr>
      <w:r>
        <w:rPr>
          <w:rFonts w:eastAsia="仿宋_GB2312"/>
          <w:b/>
          <w:sz w:val="32"/>
          <w:szCs w:val="32"/>
        </w:rPr>
        <w:t>公务用车购置费支出</w:t>
      </w:r>
      <w:r>
        <w:rPr>
          <w:rFonts w:hint="eastAsia" w:eastAsia="仿宋_GB2312"/>
          <w:b/>
          <w:sz w:val="32"/>
          <w:szCs w:val="32"/>
        </w:rPr>
        <w:t>0</w:t>
      </w:r>
      <w:r>
        <w:rPr>
          <w:rFonts w:eastAsia="仿宋_GB2312"/>
          <w:b/>
          <w:sz w:val="32"/>
          <w:szCs w:val="32"/>
        </w:rPr>
        <w:t>万元。</w:t>
      </w:r>
      <w:r>
        <w:rPr>
          <w:rFonts w:eastAsia="仿宋_GB2312"/>
          <w:sz w:val="32"/>
          <w:szCs w:val="32"/>
        </w:rPr>
        <w:t>本部门201</w:t>
      </w:r>
      <w:r>
        <w:rPr>
          <w:rFonts w:hint="eastAsia" w:eastAsia="仿宋_GB2312"/>
          <w:sz w:val="32"/>
          <w:szCs w:val="32"/>
        </w:rPr>
        <w:t>8</w:t>
      </w:r>
      <w:r>
        <w:rPr>
          <w:rFonts w:eastAsia="仿宋_GB2312"/>
          <w:sz w:val="32"/>
          <w:szCs w:val="32"/>
        </w:rPr>
        <w:t>年度未发生公务用车购置经费支出。较年初预算无增减变化；较201</w:t>
      </w:r>
      <w:r>
        <w:rPr>
          <w:rFonts w:hint="eastAsia" w:eastAsia="仿宋_GB2312"/>
          <w:sz w:val="32"/>
          <w:szCs w:val="32"/>
        </w:rPr>
        <w:t>7</w:t>
      </w:r>
      <w:r>
        <w:rPr>
          <w:rFonts w:eastAsia="仿宋_GB2312"/>
          <w:sz w:val="32"/>
          <w:szCs w:val="32"/>
        </w:rPr>
        <w:t>年度决算无增减变化。</w:t>
      </w:r>
    </w:p>
    <w:p>
      <w:pPr>
        <w:adjustRightInd w:val="0"/>
        <w:snapToGrid w:val="0"/>
        <w:spacing w:line="584" w:lineRule="exact"/>
        <w:ind w:firstLine="643" w:firstLineChars="200"/>
        <w:rPr>
          <w:rFonts w:eastAsia="仿宋_GB2312"/>
          <w:sz w:val="32"/>
          <w:szCs w:val="32"/>
          <w:highlight w:val="yellow"/>
        </w:rPr>
      </w:pPr>
      <w:r>
        <w:rPr>
          <w:rFonts w:eastAsia="仿宋_GB2312"/>
          <w:b/>
          <w:sz w:val="32"/>
          <w:szCs w:val="32"/>
        </w:rPr>
        <w:t>公务用车运行维护费支出</w:t>
      </w:r>
      <w:r>
        <w:rPr>
          <w:rFonts w:hint="eastAsia" w:eastAsia="仿宋_GB2312"/>
          <w:b/>
          <w:sz w:val="32"/>
          <w:szCs w:val="32"/>
        </w:rPr>
        <w:t>11.06</w:t>
      </w:r>
      <w:r>
        <w:rPr>
          <w:rFonts w:eastAsia="仿宋_GB2312"/>
          <w:b/>
          <w:sz w:val="32"/>
          <w:szCs w:val="32"/>
        </w:rPr>
        <w:t>万元。</w:t>
      </w:r>
      <w:r>
        <w:rPr>
          <w:rFonts w:eastAsia="仿宋_GB2312"/>
          <w:sz w:val="32"/>
          <w:szCs w:val="32"/>
        </w:rPr>
        <w:t>本部门201</w:t>
      </w:r>
      <w:r>
        <w:rPr>
          <w:rFonts w:hint="eastAsia" w:eastAsia="仿宋_GB2312"/>
          <w:sz w:val="32"/>
          <w:szCs w:val="32"/>
        </w:rPr>
        <w:t>8</w:t>
      </w:r>
      <w:r>
        <w:rPr>
          <w:rFonts w:eastAsia="仿宋_GB2312"/>
          <w:sz w:val="32"/>
          <w:szCs w:val="32"/>
        </w:rPr>
        <w:t>年末单位公务用车保有量</w:t>
      </w:r>
      <w:r>
        <w:rPr>
          <w:rFonts w:hint="eastAsia" w:eastAsia="仿宋_GB2312"/>
          <w:sz w:val="32"/>
          <w:szCs w:val="32"/>
        </w:rPr>
        <w:t>6</w:t>
      </w:r>
      <w:r>
        <w:rPr>
          <w:rFonts w:eastAsia="仿宋_GB2312"/>
          <w:sz w:val="32"/>
          <w:szCs w:val="32"/>
        </w:rPr>
        <w:t>辆。公车运行维护费支出</w:t>
      </w:r>
      <w:r>
        <w:rPr>
          <w:rFonts w:hint="eastAsia" w:eastAsia="仿宋_GB2312"/>
          <w:sz w:val="32"/>
          <w:szCs w:val="32"/>
        </w:rPr>
        <w:t>比</w:t>
      </w:r>
      <w:r>
        <w:rPr>
          <w:rFonts w:eastAsia="仿宋_GB2312"/>
          <w:sz w:val="32"/>
          <w:szCs w:val="32"/>
        </w:rPr>
        <w:t>年初预算增加</w:t>
      </w:r>
      <w:r>
        <w:rPr>
          <w:rFonts w:hint="eastAsia" w:eastAsia="仿宋_GB2312"/>
          <w:sz w:val="32"/>
          <w:szCs w:val="32"/>
        </w:rPr>
        <w:t>3.86</w:t>
      </w:r>
      <w:r>
        <w:rPr>
          <w:rFonts w:eastAsia="仿宋_GB2312"/>
          <w:sz w:val="32"/>
          <w:szCs w:val="32"/>
        </w:rPr>
        <w:t>万元，增长</w:t>
      </w:r>
      <w:r>
        <w:rPr>
          <w:rFonts w:hint="eastAsia" w:eastAsia="仿宋_GB2312"/>
          <w:sz w:val="32"/>
          <w:szCs w:val="32"/>
        </w:rPr>
        <w:t>53.6</w:t>
      </w:r>
      <w:r>
        <w:rPr>
          <w:rFonts w:eastAsia="仿宋_GB2312"/>
          <w:sz w:val="32"/>
          <w:szCs w:val="32"/>
        </w:rPr>
        <w:t>%，主要</w:t>
      </w:r>
      <w:r>
        <w:rPr>
          <w:rFonts w:hint="eastAsia" w:ascii="仿宋_GB2312" w:eastAsia="仿宋_GB2312" w:cs="DengXian-Regular"/>
          <w:sz w:val="32"/>
          <w:szCs w:val="32"/>
        </w:rPr>
        <w:t>原因</w:t>
      </w:r>
      <w:r>
        <w:rPr>
          <w:rFonts w:eastAsia="仿宋_GB2312"/>
          <w:sz w:val="32"/>
          <w:szCs w:val="32"/>
        </w:rPr>
        <w:t>是</w:t>
      </w:r>
      <w:r>
        <w:rPr>
          <w:rFonts w:hint="eastAsia" w:eastAsia="仿宋_GB2312"/>
          <w:sz w:val="32"/>
          <w:szCs w:val="32"/>
        </w:rPr>
        <w:t>公务用车维修维护增加</w:t>
      </w:r>
      <w:r>
        <w:rPr>
          <w:rFonts w:eastAsia="仿宋_GB2312"/>
          <w:sz w:val="32"/>
          <w:szCs w:val="32"/>
        </w:rPr>
        <w:t>；</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年度决算增加</w:t>
      </w:r>
      <w:r>
        <w:rPr>
          <w:rFonts w:hint="eastAsia" w:eastAsia="仿宋_GB2312"/>
          <w:sz w:val="32"/>
          <w:szCs w:val="32"/>
        </w:rPr>
        <w:t>0.9</w:t>
      </w:r>
      <w:r>
        <w:rPr>
          <w:rFonts w:eastAsia="仿宋_GB2312"/>
          <w:sz w:val="32"/>
          <w:szCs w:val="32"/>
        </w:rPr>
        <w:t>万元，增长</w:t>
      </w:r>
      <w:r>
        <w:rPr>
          <w:rFonts w:hint="eastAsia" w:eastAsia="仿宋_GB2312"/>
          <w:sz w:val="32"/>
          <w:szCs w:val="32"/>
        </w:rPr>
        <w:t>8.4</w:t>
      </w:r>
      <w:r>
        <w:rPr>
          <w:rFonts w:eastAsia="仿宋_GB2312"/>
          <w:sz w:val="32"/>
          <w:szCs w:val="32"/>
        </w:rPr>
        <w:t>%，主要</w:t>
      </w:r>
      <w:r>
        <w:rPr>
          <w:rFonts w:hint="eastAsia" w:ascii="仿宋_GB2312" w:eastAsia="仿宋_GB2312" w:cs="DengXian-Regular"/>
          <w:sz w:val="32"/>
          <w:szCs w:val="32"/>
        </w:rPr>
        <w:t>原因</w:t>
      </w:r>
      <w:r>
        <w:rPr>
          <w:rFonts w:eastAsia="仿宋_GB2312"/>
          <w:sz w:val="32"/>
          <w:szCs w:val="32"/>
        </w:rPr>
        <w:t>是</w:t>
      </w:r>
      <w:r>
        <w:rPr>
          <w:rFonts w:hint="eastAsia" w:eastAsia="仿宋_GB2312"/>
          <w:sz w:val="32"/>
          <w:szCs w:val="32"/>
        </w:rPr>
        <w:t>公务用车维修维护增加</w:t>
      </w:r>
      <w:r>
        <w:rPr>
          <w:rFonts w:eastAsia="仿宋_GB2312"/>
          <w:sz w:val="32"/>
          <w:szCs w:val="32"/>
        </w:rPr>
        <w:t>。</w:t>
      </w:r>
    </w:p>
    <w:p>
      <w:pPr>
        <w:adjustRightInd w:val="0"/>
        <w:snapToGrid w:val="0"/>
        <w:spacing w:line="584" w:lineRule="exact"/>
        <w:ind w:firstLine="643" w:firstLineChars="200"/>
        <w:rPr>
          <w:highlight w:val="yellow"/>
        </w:rPr>
      </w:pPr>
      <w:r>
        <w:rPr>
          <w:rFonts w:eastAsia="楷体_GB2312"/>
          <w:b/>
          <w:bCs/>
          <w:sz w:val="32"/>
          <w:szCs w:val="32"/>
        </w:rPr>
        <w:t>（三）公务接待费支出</w:t>
      </w:r>
      <w:r>
        <w:rPr>
          <w:rFonts w:hint="eastAsia" w:eastAsia="楷体_GB2312"/>
          <w:b/>
          <w:bCs/>
          <w:sz w:val="32"/>
          <w:szCs w:val="32"/>
        </w:rPr>
        <w:t>0.26</w:t>
      </w:r>
      <w:r>
        <w:rPr>
          <w:rFonts w:eastAsia="楷体_GB2312"/>
          <w:b/>
          <w:bCs/>
          <w:sz w:val="32"/>
          <w:szCs w:val="32"/>
        </w:rPr>
        <w:t>万元。</w:t>
      </w:r>
      <w:r>
        <w:rPr>
          <w:rFonts w:eastAsia="仿宋_GB2312"/>
          <w:sz w:val="32"/>
          <w:szCs w:val="32"/>
        </w:rPr>
        <w:t>本部门201</w:t>
      </w:r>
      <w:r>
        <w:rPr>
          <w:rFonts w:hint="eastAsia" w:eastAsia="仿宋_GB2312"/>
          <w:sz w:val="32"/>
          <w:szCs w:val="32"/>
        </w:rPr>
        <w:t>8</w:t>
      </w:r>
      <w:r>
        <w:rPr>
          <w:rFonts w:eastAsia="仿宋_GB2312"/>
          <w:sz w:val="32"/>
          <w:szCs w:val="32"/>
        </w:rPr>
        <w:t>年度公务接待共</w:t>
      </w:r>
      <w:r>
        <w:rPr>
          <w:rFonts w:hint="eastAsia" w:eastAsia="仿宋_GB2312"/>
          <w:sz w:val="32"/>
          <w:szCs w:val="32"/>
        </w:rPr>
        <w:t>5</w:t>
      </w:r>
      <w:r>
        <w:rPr>
          <w:rFonts w:eastAsia="仿宋_GB2312"/>
          <w:sz w:val="32"/>
          <w:szCs w:val="32"/>
        </w:rPr>
        <w:t>批次、</w:t>
      </w:r>
      <w:r>
        <w:rPr>
          <w:rFonts w:hint="eastAsia" w:eastAsia="仿宋_GB2312"/>
          <w:sz w:val="32"/>
          <w:szCs w:val="32"/>
        </w:rPr>
        <w:t>30</w:t>
      </w:r>
      <w:r>
        <w:rPr>
          <w:rFonts w:eastAsia="仿宋_GB2312"/>
          <w:sz w:val="32"/>
          <w:szCs w:val="32"/>
        </w:rPr>
        <w:t>人次。公务接待费支出</w:t>
      </w:r>
      <w:r>
        <w:rPr>
          <w:rFonts w:hint="eastAsia" w:eastAsia="仿宋_GB2312"/>
          <w:sz w:val="32"/>
          <w:szCs w:val="32"/>
        </w:rPr>
        <w:t>比</w:t>
      </w:r>
      <w:r>
        <w:rPr>
          <w:rFonts w:eastAsia="仿宋_GB2312"/>
          <w:sz w:val="32"/>
          <w:szCs w:val="32"/>
        </w:rPr>
        <w:t>年初预算减少</w:t>
      </w:r>
      <w:r>
        <w:rPr>
          <w:rFonts w:hint="eastAsia" w:eastAsia="仿宋_GB2312"/>
          <w:sz w:val="32"/>
          <w:szCs w:val="32"/>
        </w:rPr>
        <w:t>79.8</w:t>
      </w:r>
      <w:r>
        <w:rPr>
          <w:rFonts w:eastAsia="仿宋_GB2312"/>
          <w:sz w:val="32"/>
          <w:szCs w:val="32"/>
        </w:rPr>
        <w:t>万元，</w:t>
      </w:r>
      <w:r>
        <w:rPr>
          <w:rFonts w:hint="eastAsia" w:eastAsia="仿宋_GB2312"/>
          <w:sz w:val="32"/>
          <w:szCs w:val="32"/>
        </w:rPr>
        <w:t>减少306</w:t>
      </w:r>
      <w:r>
        <w:rPr>
          <w:rFonts w:eastAsia="仿宋_GB2312"/>
          <w:sz w:val="32"/>
          <w:szCs w:val="32"/>
        </w:rPr>
        <w:t>%，主要</w:t>
      </w:r>
      <w:r>
        <w:rPr>
          <w:rFonts w:hint="eastAsia" w:ascii="仿宋_GB2312" w:eastAsia="仿宋_GB2312" w:cs="DengXian-Regular"/>
          <w:sz w:val="32"/>
          <w:szCs w:val="32"/>
        </w:rPr>
        <w:t>原因</w:t>
      </w:r>
      <w:r>
        <w:rPr>
          <w:rFonts w:eastAsia="仿宋_GB2312"/>
          <w:sz w:val="32"/>
          <w:szCs w:val="32"/>
        </w:rPr>
        <w:t>是；</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年度决算增加</w:t>
      </w:r>
      <w:r>
        <w:rPr>
          <w:rFonts w:hint="eastAsia" w:eastAsia="仿宋_GB2312"/>
          <w:sz w:val="32"/>
          <w:szCs w:val="32"/>
        </w:rPr>
        <w:t>0.04</w:t>
      </w:r>
      <w:r>
        <w:rPr>
          <w:rFonts w:eastAsia="仿宋_GB2312"/>
          <w:sz w:val="32"/>
          <w:szCs w:val="32"/>
        </w:rPr>
        <w:t>万元，增长</w:t>
      </w:r>
      <w:r>
        <w:rPr>
          <w:rFonts w:hint="eastAsia" w:eastAsia="仿宋_GB2312"/>
          <w:sz w:val="32"/>
          <w:szCs w:val="32"/>
        </w:rPr>
        <w:t>18.0</w:t>
      </w:r>
      <w:r>
        <w:rPr>
          <w:rFonts w:eastAsia="仿宋_GB2312"/>
          <w:sz w:val="32"/>
          <w:szCs w:val="32"/>
        </w:rPr>
        <w:t>%，主要</w:t>
      </w:r>
      <w:r>
        <w:rPr>
          <w:rFonts w:hint="eastAsia" w:ascii="仿宋_GB2312" w:eastAsia="仿宋_GB2312" w:cs="DengXian-Regular"/>
          <w:sz w:val="32"/>
          <w:szCs w:val="32"/>
        </w:rPr>
        <w:t>原因</w:t>
      </w:r>
      <w:r>
        <w:rPr>
          <w:rFonts w:eastAsia="仿宋_GB2312"/>
          <w:sz w:val="32"/>
          <w:szCs w:val="32"/>
        </w:rPr>
        <w:t>是</w:t>
      </w:r>
      <w:r>
        <w:rPr>
          <w:rFonts w:hint="eastAsia" w:eastAsia="仿宋_GB2312"/>
          <w:sz w:val="32"/>
          <w:szCs w:val="32"/>
        </w:rPr>
        <w:t>会接待批次增多</w:t>
      </w:r>
      <w:r>
        <w:rPr>
          <w:rFonts w:eastAsia="仿宋_GB2312"/>
          <w:sz w:val="32"/>
          <w:szCs w:val="32"/>
        </w:rPr>
        <w:t>。</w:t>
      </w:r>
    </w:p>
    <w:p>
      <w:pPr>
        <w:adjustRightInd w:val="0"/>
        <w:snapToGrid w:val="0"/>
        <w:spacing w:after="0" w:line="580" w:lineRule="exact"/>
        <w:ind w:firstLine="640" w:firstLineChars="200"/>
        <w:rPr>
          <w:rFonts w:ascii="黑体" w:eastAsia="黑体"/>
          <w:sz w:val="32"/>
          <w:szCs w:val="40"/>
        </w:rPr>
      </w:pPr>
      <w:r>
        <w:rPr>
          <w:rFonts w:hint="eastAsia" w:ascii="黑体" w:eastAsia="黑体"/>
          <w:sz w:val="32"/>
          <w:szCs w:val="40"/>
        </w:rPr>
        <w:t>六、预算绩效情况说明</w:t>
      </w:r>
    </w:p>
    <w:p>
      <w:pPr>
        <w:pStyle w:val="21"/>
        <w:spacing w:line="360" w:lineRule="auto"/>
        <w:rPr>
          <w:kern w:val="2"/>
          <w:sz w:val="32"/>
          <w:szCs w:val="32"/>
        </w:rPr>
      </w:pPr>
      <w:r>
        <w:rPr>
          <w:rFonts w:hint="eastAsia"/>
          <w:kern w:val="2"/>
          <w:sz w:val="32"/>
          <w:szCs w:val="32"/>
        </w:rPr>
        <w:t>（一）预算绩效管理工作开展情况。单位进一步提高预算绩效管理认识，强化以“绩效为中心、对支出结果负责、对社会公众负责”的理念，在绩效目标编制方面，针对绩效目标设置指向不清、预算和目标匹配不足，数量目标和质量目标量化不细，效益目标编制不完整等方面加以了改善。加强预算绩效动态监控管理，及时跟踪项目进度，对项目实施中存在的具体问题采取纠偏措施。加强相关专业技术人员的业务培训，进一步提高预算绩效评价质量。</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（二）项目绩效自评结果。</w:t>
      </w:r>
      <w:r>
        <w:rPr>
          <w:rFonts w:ascii="仿宋_GB2312" w:eastAsia="仿宋_GB2312" w:cs="DengXian-Regular"/>
          <w:sz w:val="32"/>
          <w:szCs w:val="32"/>
        </w:rPr>
        <w:t>根据预算绩效管理要求，本部门组织对2018 年度专项项目预算支出开展绩效自评。从评价情况看，项目评价结果为优秀。</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（三）重点项目绩效评价结果</w:t>
      </w:r>
      <w:r>
        <w:rPr>
          <w:rFonts w:ascii="仿宋_GB2312" w:eastAsia="仿宋_GB2312" w:cs="DengXian-Regular"/>
          <w:sz w:val="32"/>
          <w:szCs w:val="32"/>
        </w:rPr>
        <w:t>。本单位无重点支出项目。</w:t>
      </w:r>
    </w:p>
    <w:p>
      <w:pPr>
        <w:pStyle w:val="3"/>
        <w:spacing w:before="0" w:after="0" w:line="580" w:lineRule="exact"/>
        <w:ind w:firstLine="640" w:firstLineChars="200"/>
        <w:rPr>
          <w:rFonts w:ascii="黑体" w:eastAsia="黑体" w:cs="Times New Roman"/>
          <w:b w:val="0"/>
          <w:bCs w:val="0"/>
        </w:rPr>
      </w:pPr>
      <w:r>
        <w:rPr>
          <w:rFonts w:hint="eastAsia" w:ascii="黑体" w:eastAsia="黑体" w:cs="Times New Roman"/>
          <w:b w:val="0"/>
          <w:bCs w:val="0"/>
        </w:rPr>
        <w:t>七、其他重要事项的说明</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（一）机关运行经费情况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本部门2018年度机关运行经费支出440.68万元。</w:t>
      </w:r>
      <w:r>
        <w:rPr>
          <w:rFonts w:eastAsia="仿宋_GB2312"/>
          <w:sz w:val="32"/>
          <w:szCs w:val="32"/>
        </w:rPr>
        <w:t>较201</w:t>
      </w:r>
      <w:r>
        <w:rPr>
          <w:rFonts w:hint="eastAsia" w:eastAsia="仿宋_GB2312"/>
          <w:sz w:val="32"/>
          <w:szCs w:val="32"/>
        </w:rPr>
        <w:t>7</w:t>
      </w:r>
      <w:r>
        <w:rPr>
          <w:rFonts w:eastAsia="仿宋_GB2312"/>
          <w:sz w:val="32"/>
          <w:szCs w:val="32"/>
        </w:rPr>
        <w:t>年度决算减少</w:t>
      </w:r>
      <w:r>
        <w:rPr>
          <w:rFonts w:hint="eastAsia" w:eastAsia="仿宋_GB2312"/>
          <w:sz w:val="32"/>
          <w:szCs w:val="32"/>
        </w:rPr>
        <w:t>563.24</w:t>
      </w:r>
      <w:r>
        <w:rPr>
          <w:rFonts w:eastAsia="仿宋_GB2312"/>
          <w:sz w:val="32"/>
          <w:szCs w:val="32"/>
        </w:rPr>
        <w:t>万元，降低</w:t>
      </w:r>
      <w:r>
        <w:rPr>
          <w:rFonts w:hint="eastAsia" w:eastAsia="仿宋_GB2312"/>
          <w:sz w:val="32"/>
          <w:szCs w:val="32"/>
        </w:rPr>
        <w:t>21.8</w:t>
      </w:r>
      <w:r>
        <w:rPr>
          <w:rFonts w:eastAsia="仿宋_GB2312"/>
          <w:sz w:val="32"/>
          <w:szCs w:val="32"/>
        </w:rPr>
        <w:t>%，主要</w:t>
      </w:r>
      <w:r>
        <w:rPr>
          <w:rFonts w:hint="eastAsia" w:ascii="仿宋_GB2312" w:eastAsia="仿宋_GB2312" w:cs="DengXian-Regular"/>
          <w:sz w:val="32"/>
          <w:szCs w:val="32"/>
        </w:rPr>
        <w:t>原因是压减支出。</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（二）政府采购情况</w:t>
      </w:r>
    </w:p>
    <w:p>
      <w:pPr>
        <w:widowControl/>
        <w:spacing w:after="0" w:line="580" w:lineRule="exact"/>
        <w:ind w:firstLine="640" w:firstLineChars="200"/>
        <w:jc w:val="left"/>
        <w:rPr>
          <w:rFonts w:ascii="仿宋_GB2312" w:eastAsia="仿宋_GB2312" w:cs="DengXian-Regular"/>
          <w:sz w:val="32"/>
          <w:szCs w:val="32"/>
        </w:rPr>
      </w:pPr>
      <w:r>
        <w:rPr>
          <w:rFonts w:hint="eastAsia" w:ascii="仿宋_GB2312" w:eastAsia="仿宋_GB2312" w:cs="DengXian-Regular"/>
          <w:sz w:val="32"/>
          <w:szCs w:val="32"/>
        </w:rPr>
        <w:t>本部门2018年度政府采购支出总额46.22万元，从采购类型来看，</w:t>
      </w:r>
      <w:r>
        <w:rPr>
          <w:rFonts w:ascii="仿宋_GB2312" w:eastAsia="仿宋_GB2312" w:cs="仿宋_GB2312"/>
          <w:color w:val="000000"/>
          <w:kern w:val="0"/>
          <w:sz w:val="32"/>
          <w:szCs w:val="32"/>
        </w:rPr>
        <w:t>政府采购货物支出</w:t>
      </w:r>
      <w:r>
        <w:rPr>
          <w:rFonts w:hint="eastAsia" w:ascii="仿宋_GB2312" w:eastAsia="仿宋_GB2312" w:cs="仿宋_GB2312"/>
          <w:color w:val="000000"/>
          <w:kern w:val="0"/>
          <w:sz w:val="32"/>
          <w:szCs w:val="32"/>
        </w:rPr>
        <w:t>46.22</w:t>
      </w:r>
      <w:r>
        <w:rPr>
          <w:rFonts w:ascii="仿宋_GB2312" w:eastAsia="仿宋_GB2312" w:cs="仿宋_GB2312"/>
          <w:color w:val="000000"/>
          <w:kern w:val="0"/>
          <w:sz w:val="32"/>
          <w:szCs w:val="32"/>
        </w:rPr>
        <w:t xml:space="preserve"> 万元、政府采购工程支出</w:t>
      </w:r>
      <w:r>
        <w:rPr>
          <w:rFonts w:hint="eastAsia" w:ascii="仿宋_GB2312" w:eastAsia="仿宋_GB2312" w:cs="仿宋_GB2312"/>
          <w:color w:val="000000"/>
          <w:kern w:val="0"/>
          <w:sz w:val="32"/>
          <w:szCs w:val="32"/>
        </w:rPr>
        <w:t>0</w:t>
      </w:r>
      <w:r>
        <w:rPr>
          <w:rFonts w:ascii="仿宋_GB2312" w:eastAsia="仿宋_GB2312" w:cs="仿宋_GB2312"/>
          <w:color w:val="000000"/>
          <w:kern w:val="0"/>
          <w:sz w:val="32"/>
          <w:szCs w:val="32"/>
        </w:rPr>
        <w:t xml:space="preserve">万元、政府采购服务支出 </w:t>
      </w:r>
      <w:r>
        <w:rPr>
          <w:rFonts w:hint="eastAsia" w:ascii="仿宋_GB2312" w:eastAsia="仿宋_GB2312" w:cs="仿宋_GB2312"/>
          <w:color w:val="000000"/>
          <w:kern w:val="0"/>
          <w:sz w:val="32"/>
          <w:szCs w:val="32"/>
        </w:rPr>
        <w:t>0</w:t>
      </w:r>
      <w:r>
        <w:rPr>
          <w:rFonts w:ascii="仿宋_GB2312" w:eastAsia="仿宋_GB2312" w:cs="仿宋_GB2312"/>
          <w:color w:val="000000"/>
          <w:kern w:val="0"/>
          <w:sz w:val="32"/>
          <w:szCs w:val="32"/>
        </w:rPr>
        <w:t>万元。授予中小企业合同金</w:t>
      </w:r>
      <w:r>
        <w:rPr>
          <w:rFonts w:hint="eastAsia" w:ascii="仿宋_GB2312" w:eastAsia="仿宋_GB2312" w:cs="仿宋_GB2312"/>
          <w:color w:val="000000"/>
          <w:kern w:val="0"/>
          <w:sz w:val="32"/>
          <w:szCs w:val="32"/>
        </w:rPr>
        <w:t>0</w:t>
      </w:r>
      <w:r>
        <w:rPr>
          <w:rFonts w:ascii="仿宋_GB2312" w:eastAsia="仿宋_GB2312" w:cs="仿宋_GB2312"/>
          <w:color w:val="000000"/>
          <w:kern w:val="0"/>
          <w:sz w:val="32"/>
          <w:szCs w:val="32"/>
        </w:rPr>
        <w:t>万元，占政府采购支出总额的</w:t>
      </w:r>
      <w:r>
        <w:rPr>
          <w:rFonts w:hint="eastAsia" w:ascii="仿宋_GB2312" w:eastAsia="仿宋_GB2312" w:cs="仿宋_GB2312"/>
          <w:color w:val="000000"/>
          <w:kern w:val="0"/>
          <w:sz w:val="32"/>
          <w:szCs w:val="32"/>
        </w:rPr>
        <w:t>0%，</w:t>
      </w:r>
      <w:r>
        <w:rPr>
          <w:rFonts w:ascii="仿宋_GB2312" w:eastAsia="仿宋_GB2312" w:cs="仿宋_GB2312"/>
          <w:color w:val="000000"/>
          <w:kern w:val="0"/>
          <w:sz w:val="32"/>
          <w:szCs w:val="32"/>
        </w:rPr>
        <w:t>其中授予小微企业合同金额</w:t>
      </w:r>
      <w:r>
        <w:rPr>
          <w:rFonts w:hint="eastAsia" w:ascii="仿宋_GB2312" w:eastAsia="仿宋_GB2312" w:cs="仿宋_GB2312"/>
          <w:color w:val="000000"/>
          <w:kern w:val="0"/>
          <w:sz w:val="32"/>
          <w:szCs w:val="32"/>
        </w:rPr>
        <w:t>46.22</w:t>
      </w:r>
      <w:r>
        <w:rPr>
          <w:rFonts w:ascii="仿宋_GB2312" w:eastAsia="仿宋_GB2312" w:cs="仿宋_GB2312"/>
          <w:color w:val="000000"/>
          <w:kern w:val="0"/>
          <w:sz w:val="32"/>
          <w:szCs w:val="32"/>
        </w:rPr>
        <w:t>万元，占政府采购支出总额的</w:t>
      </w:r>
      <w:r>
        <w:rPr>
          <w:rFonts w:hint="eastAsia" w:ascii="仿宋_GB2312" w:eastAsia="仿宋_GB2312" w:cs="仿宋_GB2312"/>
          <w:color w:val="000000"/>
          <w:kern w:val="0"/>
          <w:sz w:val="32"/>
          <w:szCs w:val="32"/>
        </w:rPr>
        <w:t>100</w:t>
      </w:r>
      <w:r>
        <w:rPr>
          <w:rFonts w:ascii="仿宋_GB2312" w:eastAsia="仿宋_GB2312" w:cs="仿宋_GB2312"/>
          <w:color w:val="000000"/>
          <w:kern w:val="0"/>
          <w:sz w:val="32"/>
          <w:szCs w:val="32"/>
        </w:rPr>
        <w:t>%。</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（三）国有资产占用情况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截至2018年12月31日，本部门共有车辆6辆，比上年增加0辆，主要原因是无购置。其中，副部（省）级及以上领导用车0辆，主要领导干部用车0辆，机要通信用车0辆，应急保障用车0辆，执法执勤用车0辆，特种专业技术用车0辆，离退休干部用车0辆，其他用车6辆，其他用车主要是公务用车；单位价值</w:t>
      </w:r>
      <w:r>
        <w:rPr>
          <w:rFonts w:hint="eastAsia" w:ascii="仿宋_GB2312" w:eastAsia="仿宋_GB2312" w:cs="TimesNewRomanPSMT"/>
          <w:sz w:val="32"/>
          <w:szCs w:val="32"/>
        </w:rPr>
        <w:t>50</w:t>
      </w:r>
      <w:r>
        <w:rPr>
          <w:rFonts w:hint="eastAsia" w:ascii="仿宋_GB2312" w:eastAsia="仿宋_GB2312" w:cs="DengXian-Regular"/>
          <w:sz w:val="32"/>
          <w:szCs w:val="32"/>
        </w:rPr>
        <w:t>万元以上通用设备0台（套），比上年增加0套，主要原因是无购置变化 ，单位价值</w:t>
      </w:r>
      <w:r>
        <w:rPr>
          <w:rFonts w:hint="eastAsia" w:ascii="仿宋_GB2312" w:eastAsia="仿宋_GB2312" w:cs="TimesNewRomanPSMT"/>
          <w:sz w:val="32"/>
          <w:szCs w:val="32"/>
        </w:rPr>
        <w:t>100</w:t>
      </w:r>
      <w:r>
        <w:rPr>
          <w:rFonts w:hint="eastAsia" w:ascii="仿宋_GB2312" w:eastAsia="仿宋_GB2312" w:cs="DengXian-Regular"/>
          <w:sz w:val="32"/>
          <w:szCs w:val="32"/>
        </w:rPr>
        <w:t>万元以上专用设备0台（套）比上年增加0套,主要原因是无购置变化。</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（四）其他需要说明的情况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1、本部门2018年度</w:t>
      </w:r>
      <w:r>
        <w:rPr>
          <w:rFonts w:ascii="仿宋_GB2312" w:eastAsia="仿宋_GB2312" w:cs="DengXian-Regular"/>
          <w:sz w:val="32"/>
          <w:szCs w:val="32"/>
        </w:rPr>
        <w:t>政府性基金预算、国有资本经营预算、</w:t>
      </w:r>
      <w:r>
        <w:rPr>
          <w:rFonts w:hint="eastAsia" w:ascii="仿宋_GB2312" w:eastAsia="仿宋_GB2312" w:cs="DengXian-Regular"/>
          <w:sz w:val="32"/>
          <w:szCs w:val="32"/>
        </w:rPr>
        <w:t>无收支及结转结余情况，故</w:t>
      </w:r>
      <w:r>
        <w:rPr>
          <w:rFonts w:eastAsia="仿宋_GB2312"/>
          <w:sz w:val="32"/>
          <w:szCs w:val="32"/>
        </w:rPr>
        <w:t>政府性基金预算财政拨款收入支出决算表、国有资本经营预算</w:t>
      </w:r>
      <w:r>
        <w:rPr>
          <w:rFonts w:hint="eastAsia" w:eastAsia="仿宋_GB2312"/>
          <w:sz w:val="32"/>
          <w:szCs w:val="32"/>
        </w:rPr>
        <w:t>财政拨款</w:t>
      </w:r>
      <w:r>
        <w:rPr>
          <w:rFonts w:eastAsia="仿宋_GB2312"/>
          <w:sz w:val="32"/>
          <w:szCs w:val="32"/>
        </w:rPr>
        <w:t>支出决算表</w:t>
      </w:r>
      <w:r>
        <w:rPr>
          <w:rFonts w:hint="eastAsia" w:ascii="仿宋_GB2312" w:eastAsia="仿宋_GB2312" w:cs="DengXian-Regular"/>
          <w:sz w:val="32"/>
          <w:szCs w:val="32"/>
        </w:rPr>
        <w:t>以空表列示。</w:t>
      </w:r>
    </w:p>
    <w:p>
      <w:pPr>
        <w:widowControl/>
        <w:spacing w:after="0" w:line="580" w:lineRule="exact"/>
        <w:ind w:firstLine="640" w:firstLineChars="200"/>
        <w:jc w:val="left"/>
        <w:rPr>
          <w:rFonts w:ascii="宋体" w:eastAsia="宋体" w:cs="MS-UIGothic,Bold"/>
          <w:b/>
          <w:bCs/>
          <w:kern w:val="0"/>
          <w:sz w:val="44"/>
          <w:szCs w:val="44"/>
        </w:rPr>
        <w:sectPr>
          <w:pgSz w:w="11906" w:h="16838"/>
          <w:pgMar w:top="2098" w:right="1474" w:bottom="1984" w:left="1588" w:header="851" w:footer="992" w:gutter="0"/>
          <w:cols w:space="720" w:num="1"/>
          <w:docGrid w:type="lines" w:linePitch="312" w:charSpace="0"/>
        </w:sectPr>
      </w:pPr>
      <w:r>
        <w:rPr>
          <w:rFonts w:hint="eastAsia" w:ascii="仿宋_GB2312" w:eastAsia="仿宋_GB2312" w:cs="DengXian-Regular"/>
          <w:sz w:val="32"/>
          <w:szCs w:val="32"/>
        </w:rPr>
        <w:t>2、由于决算公开表格中金额数值应当保留两位小数，公开数据为四舍五入计算结果，个别数据合计项与分项之和存在小数点后差额，特此说明。</w:t>
      </w: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r>
        <w:rPr>
          <w:rFonts w:hint="eastAsia" w:ascii="黑体" w:eastAsia="黑体"/>
          <w:color w:val="000000"/>
          <w:sz w:val="96"/>
          <w:szCs w:val="96"/>
        </w:rPr>
        <w:t>第四部分</w:t>
      </w:r>
    </w:p>
    <w:p>
      <w:pPr>
        <w:widowControl/>
        <w:spacing w:line="1200" w:lineRule="exact"/>
        <w:jc w:val="center"/>
        <w:rPr>
          <w:color w:val="000000"/>
          <w:sz w:val="96"/>
          <w:szCs w:val="96"/>
        </w:rPr>
      </w:pPr>
      <w:r>
        <w:rPr>
          <w:rFonts w:hint="eastAsia" w:ascii="黑体" w:eastAsia="黑体"/>
          <w:color w:val="000000"/>
          <w:sz w:val="96"/>
          <w:szCs w:val="96"/>
        </w:rPr>
        <w:t>名词解释</w:t>
      </w:r>
    </w:p>
    <w:p>
      <w:pPr>
        <w:rPr>
          <w:rFonts w:ascii="宋体" w:cs="ArialUnicodeMS"/>
          <w:color w:val="000000"/>
          <w:kern w:val="0"/>
        </w:rPr>
        <w:sectPr>
          <w:pgSz w:w="11906" w:h="16838"/>
          <w:pgMar w:top="2098" w:right="1474" w:bottom="1984" w:left="1588" w:header="851" w:footer="992" w:gutter="0"/>
          <w:cols w:space="720" w:num="1"/>
          <w:docGrid w:type="lines" w:linePitch="312" w:charSpace="0"/>
        </w:sectPr>
      </w:pP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（一）财政拨款收入：</w:t>
      </w:r>
      <w:r>
        <w:rPr>
          <w:rFonts w:hint="eastAsia" w:ascii="仿宋_GB2312" w:eastAsia="仿宋_GB2312"/>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（二）事业收入：</w:t>
      </w:r>
      <w:r>
        <w:rPr>
          <w:rFonts w:hint="eastAsia" w:ascii="仿宋_GB2312" w:eastAsia="仿宋_GB2312"/>
          <w:color w:val="000000"/>
          <w:kern w:val="0"/>
          <w:sz w:val="32"/>
          <w:szCs w:val="32"/>
        </w:rPr>
        <w:t>指事业单位开展专业业务活动及辅助活动所取得的收入。</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（三）其他收入：</w:t>
      </w:r>
      <w:r>
        <w:rPr>
          <w:rFonts w:hint="eastAsia" w:ascii="仿宋_GB2312" w:eastAsia="仿宋_GB2312"/>
          <w:color w:val="000000"/>
          <w:kern w:val="0"/>
          <w:sz w:val="32"/>
          <w:szCs w:val="32"/>
        </w:rPr>
        <w:t>指除上述“财政拨款收入”“事业收入”“经营收入”等以外的收入。</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（四）用事业基金弥补收支差额：</w:t>
      </w:r>
      <w:r>
        <w:rPr>
          <w:rFonts w:hint="eastAsia" w:ascii="仿宋_GB2312" w:eastAsia="仿宋_GB2312"/>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（五）年初结转和结余：</w:t>
      </w:r>
      <w:r>
        <w:rPr>
          <w:rFonts w:hint="eastAsia" w:ascii="仿宋_GB2312" w:eastAsia="仿宋_GB2312"/>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（六）结余分配：</w:t>
      </w:r>
      <w:r>
        <w:rPr>
          <w:rFonts w:hint="eastAsia" w:ascii="仿宋_GB2312" w:eastAsia="仿宋_GB2312"/>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（七）年末结转和结余：</w:t>
      </w:r>
      <w:r>
        <w:rPr>
          <w:rFonts w:hint="eastAsia" w:ascii="仿宋_GB2312" w:eastAsia="仿宋_GB2312"/>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（八）基本支出：</w:t>
      </w:r>
      <w:r>
        <w:rPr>
          <w:rFonts w:hint="eastAsia" w:ascii="仿宋_GB2312" w:eastAsia="仿宋_GB2312"/>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（九）项目支出：</w:t>
      </w:r>
      <w:r>
        <w:rPr>
          <w:rFonts w:hint="eastAsia" w:ascii="仿宋_GB2312" w:eastAsia="仿宋_GB2312"/>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（十）资本性支出（基本建设）：</w:t>
      </w:r>
      <w:r>
        <w:rPr>
          <w:rFonts w:hint="eastAsia" w:ascii="仿宋_GB2312" w:eastAsia="仿宋_GB2312"/>
          <w:color w:val="000000"/>
          <w:kern w:val="0"/>
          <w:sz w:val="32"/>
          <w:szCs w:val="32"/>
        </w:rPr>
        <w:t>填列切块由发展改革部门安排的基本建设支出，对企业补助支出不在此科目反映。</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（十一）资本性支出：</w:t>
      </w:r>
      <w:r>
        <w:rPr>
          <w:rFonts w:hint="eastAsia" w:ascii="仿宋_GB2312" w:eastAsia="仿宋_GB2312"/>
          <w:color w:val="000000"/>
          <w:kern w:val="0"/>
          <w:sz w:val="32"/>
          <w:szCs w:val="32"/>
        </w:rPr>
        <w:t>填列各单位安排的资本性支出。切块由发展改革部门安排的基本建设支出不在此科目反映。</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（十二）“三公”经费：</w:t>
      </w:r>
      <w:r>
        <w:rPr>
          <w:rFonts w:hint="eastAsia" w:ascii="仿宋_GB2312" w:eastAsia="仿宋_GB2312"/>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（十三）其他交通费用：</w:t>
      </w:r>
      <w:r>
        <w:rPr>
          <w:rFonts w:hint="eastAsia" w:ascii="仿宋_GB2312" w:eastAsia="仿宋_GB2312"/>
          <w:color w:val="000000"/>
          <w:kern w:val="0"/>
          <w:sz w:val="32"/>
          <w:szCs w:val="32"/>
        </w:rPr>
        <w:t>填列单位除公务用车运行维护费以外的其他交通费用。如公务交通补贴、租车费用、出租车费用、飞机、船舶等的燃料费、维修费、保险费等。</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（十四）公务用车购置：</w:t>
      </w:r>
      <w:r>
        <w:rPr>
          <w:rFonts w:hint="eastAsia" w:ascii="仿宋_GB2312" w:eastAsia="仿宋_GB2312"/>
          <w:color w:val="000000"/>
          <w:kern w:val="0"/>
          <w:sz w:val="32"/>
          <w:szCs w:val="32"/>
        </w:rPr>
        <w:t>填列单位公务用车购置支出（含车辆购置税、牌照费）。</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（十五）其他交通工具购置：</w:t>
      </w:r>
      <w:r>
        <w:rPr>
          <w:rFonts w:hint="eastAsia" w:ascii="仿宋_GB2312" w:eastAsia="仿宋_GB2312"/>
          <w:color w:val="000000"/>
          <w:kern w:val="0"/>
          <w:sz w:val="32"/>
          <w:szCs w:val="32"/>
        </w:rPr>
        <w:t>填列单位除公务用车外的其他各类交通工具（如船舶、飞机）购置支出（含车辆购置税、牌照费）。</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（十六）机关运行经费：</w:t>
      </w:r>
      <w:r>
        <w:rPr>
          <w:rFonts w:hint="eastAsia" w:ascii="仿宋_GB2312" w:eastAsia="仿宋_GB2312"/>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after="0" w:line="560" w:lineRule="exact"/>
        <w:ind w:firstLine="643" w:firstLineChars="200"/>
        <w:rPr>
          <w:rFonts w:ascii="仿宋_GB2312" w:eastAsia="仿宋_GB2312" w:cs="ArialUnicodeMS"/>
          <w:kern w:val="0"/>
          <w:sz w:val="32"/>
          <w:szCs w:val="32"/>
        </w:rPr>
      </w:pPr>
      <w:r>
        <w:rPr>
          <w:rFonts w:hint="eastAsia" w:ascii="仿宋_GB2312" w:eastAsia="仿宋_GB2312"/>
          <w:b/>
          <w:bCs/>
          <w:color w:val="000000"/>
          <w:kern w:val="0"/>
          <w:sz w:val="32"/>
          <w:szCs w:val="32"/>
        </w:rPr>
        <w:t>（十七）经费形式:</w:t>
      </w:r>
      <w:r>
        <w:rPr>
          <w:rFonts w:hint="eastAsia" w:ascii="仿宋_GB2312" w:eastAsia="仿宋_GB2312"/>
          <w:color w:val="000000"/>
          <w:kern w:val="0"/>
          <w:sz w:val="32"/>
          <w:szCs w:val="32"/>
        </w:rPr>
        <w:t>按照经费来源，</w:t>
      </w:r>
      <w:r>
        <w:rPr>
          <w:rFonts w:hint="eastAsia" w:ascii="仿宋_GB2312" w:eastAsia="仿宋_GB2312" w:cs="ArialUnicodeMS"/>
          <w:kern w:val="0"/>
          <w:sz w:val="32"/>
          <w:szCs w:val="32"/>
        </w:rPr>
        <w:t>可分为财政拨款、财政性资金基本保证、财政性资金定额或定项补助、财政性资金零补助四类。</w:t>
      </w: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rPr>
          <w:rFonts w:ascii="仿宋_GB2312" w:eastAsia="仿宋_GB2312" w:cs="ArialUnicodeMS"/>
          <w:kern w:val="0"/>
          <w:sz w:val="32"/>
          <w:szCs w:val="32"/>
        </w:rPr>
      </w:pPr>
    </w:p>
    <w:sectPr>
      <w:pgSz w:w="11906" w:h="16838"/>
      <w:pgMar w:top="2098" w:right="1474" w:bottom="1985"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ArialUnicodeMS">
    <w:altName w:val="Malgun Gothic"/>
    <w:panose1 w:val="00000000000000000000"/>
    <w:charset w:val="81"/>
    <w:family w:val="auto"/>
    <w:pitch w:val="default"/>
    <w:sig w:usb0="00000000" w:usb1="00000000" w:usb2="00000010" w:usb3="00000000" w:csb0="00080001" w:csb1="00000000"/>
  </w:font>
  <w:font w:name="MS-UIGothic,Bold">
    <w:altName w:val="Malgun Gothic"/>
    <w:panose1 w:val="00000000000000000000"/>
    <w:charset w:val="81"/>
    <w:family w:val="auto"/>
    <w:pitch w:val="default"/>
    <w:sig w:usb0="00000000" w:usb1="00000000" w:usb2="00000010" w:usb3="00000000" w:csb0="00080000" w:csb1="00000000"/>
  </w:font>
  <w:font w:name="DengXian-Regular">
    <w:altName w:val="宋体"/>
    <w:panose1 w:val="00000000000000000000"/>
    <w:charset w:val="86"/>
    <w:family w:val="auto"/>
    <w:pitch w:val="default"/>
    <w:sig w:usb0="00000000" w:usb1="00000000" w:usb2="0000001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DengXian-Bold">
    <w:altName w:val="宋体"/>
    <w:panose1 w:val="00000000000000000000"/>
    <w:charset w:val="86"/>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2AF" w:usb1="01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80" w:lineRule="auto"/>
      </w:pPr>
      <w:r>
        <w:separator/>
      </w:r>
    </w:p>
  </w:footnote>
  <w:footnote w:type="continuationSeparator" w:id="1">
    <w:p>
      <w:pPr>
        <w:spacing w:before="0" w:after="0" w:line="48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compatSetting w:name="compatibilityMode" w:uri="http://schemas.microsoft.com/office/word" w:val="14"/>
  </w:compat>
  <w:docVars>
    <w:docVar w:name="commondata" w:val="eyJoZGlkIjoiM2I1NzdlZjVkMzhkN2M2NjI3YzkwZjgxYTYwNzY3NWYifQ=="/>
  </w:docVars>
  <w:rsids>
    <w:rsidRoot w:val="00000000"/>
    <w:rsid w:val="33C81B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uiPriority w:val="0"/>
    <w:pPr>
      <w:keepNext/>
      <w:keepLines/>
      <w:widowControl w:val="0"/>
      <w:spacing w:before="260" w:after="260" w:line="415" w:lineRule="auto"/>
      <w:outlineLvl w:val="1"/>
    </w:pPr>
    <w:rPr>
      <w:rFonts w:ascii="Calibri" w:hAnsi="Calibri" w:eastAsia="宋体" w:cs="Arial"/>
      <w:b/>
      <w:bCs/>
      <w:sz w:val="32"/>
      <w:szCs w:val="32"/>
    </w:rPr>
  </w:style>
  <w:style w:type="paragraph" w:styleId="4">
    <w:name w:val="heading 3"/>
    <w:basedOn w:val="1"/>
    <w:next w:val="1"/>
    <w:uiPriority w:val="0"/>
    <w:pPr>
      <w:keepNext/>
      <w:keepLines/>
      <w:widowControl w:val="0"/>
      <w:spacing w:before="260" w:after="260" w:line="415" w:lineRule="auto"/>
      <w:outlineLvl w:val="2"/>
    </w:pPr>
    <w:rPr>
      <w:b/>
      <w:bCs/>
      <w:sz w:val="32"/>
      <w:szCs w:val="32"/>
    </w:rPr>
  </w:style>
  <w:style w:type="paragraph" w:styleId="5">
    <w:name w:val="heading 4"/>
    <w:basedOn w:val="1"/>
    <w:next w:val="1"/>
    <w:uiPriority w:val="0"/>
    <w:pPr>
      <w:keepNext/>
      <w:keepLines/>
      <w:widowControl w:val="0"/>
      <w:spacing w:before="280" w:after="290" w:line="377" w:lineRule="auto"/>
      <w:outlineLvl w:val="3"/>
    </w:pPr>
    <w:rPr>
      <w:rFonts w:ascii="Calibri" w:hAnsi="Calibri" w:eastAsia="宋体" w:cs="Arial"/>
      <w:b/>
      <w:bCs/>
      <w:sz w:val="28"/>
      <w:szCs w:val="28"/>
    </w:rPr>
  </w:style>
  <w:style w:type="character" w:default="1" w:styleId="13">
    <w:name w:val="Default Paragraph Fon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Date"/>
    <w:basedOn w:val="1"/>
    <w:next w:val="1"/>
    <w:uiPriority w:val="0"/>
    <w:pPr>
      <w:ind w:left="2500" w:leftChars="2500"/>
    </w:pPr>
  </w:style>
  <w:style w:type="paragraph" w:styleId="7">
    <w:name w:val="Balloon Text"/>
    <w:basedOn w:val="1"/>
    <w:uiPriority w:val="0"/>
    <w:rPr>
      <w:sz w:val="18"/>
      <w:szCs w:val="18"/>
    </w:rPr>
  </w:style>
  <w:style w:type="paragraph" w:styleId="8">
    <w:name w:val="footer"/>
    <w:basedOn w:val="1"/>
    <w:uiPriority w:val="0"/>
    <w:pPr>
      <w:tabs>
        <w:tab w:val="center" w:pos="4153"/>
        <w:tab w:val="right" w:pos="8306"/>
      </w:tabs>
      <w:snapToGrid w:val="0"/>
      <w:jc w:val="left"/>
    </w:pPr>
    <w:rPr>
      <w:rFonts w:ascii="Cambria" w:hAnsi="Cambria" w:eastAsia="黑体" w:cs="Times New Roman"/>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rFonts w:ascii="Cambria" w:hAnsi="Cambria" w:eastAsia="黑体" w:cs="Times New Roman"/>
      <w:sz w:val="18"/>
      <w:szCs w:val="18"/>
    </w:rPr>
  </w:style>
  <w:style w:type="paragraph" w:styleId="10">
    <w:name w:val="Subtitle"/>
    <w:basedOn w:val="1"/>
    <w:next w:val="1"/>
    <w:uiPriority w:val="0"/>
    <w:pPr>
      <w:widowControl/>
      <w:spacing w:after="200" w:line="276" w:lineRule="auto"/>
      <w:jc w:val="left"/>
    </w:pPr>
    <w:rPr>
      <w:rFonts w:ascii="Calibri" w:hAnsi="Calibri" w:eastAsia="宋体" w:cs="Arial"/>
      <w:i/>
      <w:iCs/>
      <w:color w:val="F0A22E"/>
      <w:spacing w:val="15"/>
      <w:kern w:val="0"/>
      <w:sz w:val="24"/>
    </w:rPr>
  </w:style>
  <w:style w:type="paragraph" w:styleId="11">
    <w:name w:val="Title"/>
    <w:basedOn w:val="1"/>
    <w:next w:val="1"/>
    <w:uiPriority w:val="0"/>
    <w:pPr>
      <w:widowControl/>
      <w:pBdr>
        <w:bottom w:val="single" w:color="F0A22E" w:sz="8" w:space="4"/>
      </w:pBdr>
      <w:spacing w:after="300"/>
      <w:contextualSpacing/>
      <w:jc w:val="left"/>
    </w:pPr>
    <w:rPr>
      <w:rFonts w:ascii="Calibri" w:hAnsi="Calibri" w:eastAsia="宋体" w:cs="Arial"/>
      <w:color w:val="3A2C24"/>
      <w:spacing w:val="5"/>
      <w:kern w:val="28"/>
      <w:sz w:val="52"/>
      <w:szCs w:val="52"/>
    </w:rPr>
  </w:style>
  <w:style w:type="paragraph" w:customStyle="1" w:styleId="14">
    <w:name w:val="No Spacing"/>
    <w:uiPriority w:val="0"/>
    <w:pPr>
      <w:spacing w:after="160" w:line="480" w:lineRule="auto"/>
    </w:pPr>
    <w:rPr>
      <w:rFonts w:ascii="Cambria" w:hAnsi="Cambria" w:eastAsia="黑体" w:cs="Times New Roman"/>
      <w:sz w:val="22"/>
      <w:szCs w:val="22"/>
      <w:lang w:val="en-US" w:eastAsia="zh-CN" w:bidi="ar-SA"/>
    </w:rPr>
  </w:style>
  <w:style w:type="character" w:customStyle="1" w:styleId="15">
    <w:name w:val="Style1"/>
    <w:basedOn w:val="13"/>
    <w:uiPriority w:val="0"/>
    <w:rPr>
      <w:rFonts w:ascii="Cambria" w:hAnsi="Cambria" w:eastAsia="黑体" w:cs="Times New Roman"/>
      <w:sz w:val="22"/>
      <w:szCs w:val="22"/>
      <w:lang w:eastAsia="zh-CN"/>
    </w:rPr>
  </w:style>
  <w:style w:type="character" w:customStyle="1" w:styleId="16">
    <w:name w:val="Style2"/>
    <w:basedOn w:val="13"/>
    <w:uiPriority w:val="0"/>
    <w:rPr>
      <w:rFonts w:ascii="Cambria" w:hAnsi="Cambria" w:eastAsia="黑体" w:cs="Times New Roman"/>
      <w:sz w:val="22"/>
      <w:szCs w:val="22"/>
      <w:lang w:eastAsia="zh-CN"/>
    </w:rPr>
  </w:style>
  <w:style w:type="character" w:customStyle="1" w:styleId="17">
    <w:name w:val="Style3"/>
    <w:basedOn w:val="13"/>
    <w:uiPriority w:val="0"/>
    <w:rPr>
      <w:rFonts w:ascii="Cambria" w:hAnsi="Cambria" w:eastAsia="黑体" w:cs="Times New Roman"/>
      <w:szCs w:val="22"/>
      <w:lang w:eastAsia="zh-CN"/>
    </w:rPr>
  </w:style>
  <w:style w:type="character" w:customStyle="1" w:styleId="18">
    <w:name w:val="Style4"/>
    <w:basedOn w:val="13"/>
    <w:uiPriority w:val="0"/>
    <w:rPr>
      <w:rFonts w:ascii="Cambria" w:hAnsi="Cambria" w:eastAsia="黑体" w:cs="Times New Roman"/>
      <w:szCs w:val="22"/>
      <w:lang w:eastAsia="zh-CN"/>
    </w:rPr>
  </w:style>
  <w:style w:type="character" w:customStyle="1" w:styleId="19">
    <w:name w:val="Style5"/>
    <w:basedOn w:val="13"/>
    <w:uiPriority w:val="0"/>
    <w:rPr>
      <w:rFonts w:ascii="Cambria" w:hAnsi="Cambria" w:eastAsia="黑体" w:cs="Times New Roman"/>
      <w:sz w:val="22"/>
      <w:szCs w:val="22"/>
      <w:lang w:eastAsia="zh-CN"/>
    </w:rPr>
  </w:style>
  <w:style w:type="paragraph" w:customStyle="1" w:styleId="20">
    <w:name w:val="List Paragraph"/>
    <w:basedOn w:val="1"/>
    <w:uiPriority w:val="0"/>
    <w:pPr>
      <w:ind w:firstLine="200" w:firstLineChars="200"/>
    </w:pPr>
  </w:style>
  <w:style w:type="paragraph" w:customStyle="1" w:styleId="21">
    <w:name w:val="无间隔1"/>
    <w:uiPriority w:val="0"/>
    <w:pPr>
      <w:ind w:firstLine="200" w:firstLineChars="200"/>
    </w:pPr>
    <w:rPr>
      <w:rFonts w:ascii="Times New Roman" w:hAnsi="Times New Roman" w:eastAsia="仿宋_GB2312" w:cs="Times New Roman"/>
      <w:sz w:val="30"/>
      <w:szCs w:val="22"/>
      <w:lang w:val="en-US" w:eastAsia="zh-CN" w:bidi="ar-SA"/>
    </w:rPr>
  </w:style>
  <w:style w:type="paragraph" w:customStyle="1" w:styleId="22">
    <w:name w:val="普通(网站)1"/>
    <w:next w:val="8"/>
    <w:uiPriority w:val="0"/>
    <w:pPr>
      <w:widowControl w:val="0"/>
    </w:pPr>
    <w:rPr>
      <w:rFonts w:ascii="Calibri" w:hAnsi="Calibri" w:eastAsia="宋体" w:cs="黑体"/>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Microsoft</Company>
  <Pages>17</Pages>
  <Words>4419</Words>
  <Characters>4793</Characters>
  <Lines>272</Lines>
  <Paragraphs>94</Paragraphs>
  <TotalTime>12</TotalTime>
  <ScaleCrop>false</ScaleCrop>
  <LinksUpToDate>false</LinksUpToDate>
  <CharactersWithSpaces>4810</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2019-09-26T01:09:00Z</dcterms:created>
  <dc:creator>User</dc:creator>
  <cp:lastModifiedBy>刘润龙</cp:lastModifiedBy>
  <cp:lastPrinted>2019-09-27T00:42:00Z</cp:lastPrinted>
  <dcterms:modified xsi:type="dcterms:W3CDTF">2024-05-21T08:59:03Z</dcterms:modified>
  <dc:subject>石家庄市xxx部门</dc:subject>
  <dc:title>2017年度部门决算</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A2CA680391664FFDAF7E68BD69FB0005_12</vt:lpwstr>
  </property>
</Properties>
</file>