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2018</w:t>
      </w:r>
      <w:r>
        <w:rPr>
          <w:rFonts w:hint="eastAsia"/>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ascii="方正楷体_GBK" w:eastAsia="方正楷体_GBK"/>
          <w:b/>
          <w:sz w:val="52"/>
        </w:rPr>
        <w:t>廊坊市广阳区国防教育办公室</w:t>
      </w:r>
    </w:p>
    <w:p/>
    <w:p/>
    <w:p/>
    <w:p/>
    <w:p/>
    <w:p>
      <w:pPr>
        <w:widowControl/>
        <w:jc w:val="center"/>
        <w:rPr>
          <w:color w:val="000000"/>
          <w:sz w:val="72"/>
          <w:szCs w:val="72"/>
        </w:rPr>
      </w:pPr>
      <w:r>
        <w:rPr>
          <w:rFonts w:hint="eastAsia" w:ascii="黑体" w:eastAsia="黑体"/>
          <w:color w:val="000000"/>
          <w:sz w:val="72"/>
          <w:szCs w:val="72"/>
        </w:rPr>
        <w:t>第一部分</w:t>
      </w:r>
      <w:r>
        <w:rPr>
          <w:rFonts w:ascii="黑体" w:eastAsia="黑体"/>
          <w:color w:val="000000"/>
          <w:sz w:val="72"/>
          <w:szCs w:val="72"/>
        </w:rPr>
        <w:t xml:space="preserve">  </w:t>
      </w:r>
      <w:r>
        <w:rPr>
          <w:rFonts w:hint="eastAsia" w:ascii="黑体" w:eastAsia="黑体"/>
          <w:color w:val="000000"/>
          <w:sz w:val="72"/>
          <w:szCs w:val="72"/>
        </w:rPr>
        <w:t>部门概况</w:t>
      </w:r>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00" w:lineRule="exact"/>
        <w:ind w:firstLine="561"/>
        <w:rPr>
          <w:rFonts w:ascii="仿宋_GB2312" w:eastAsia="仿宋_GB2312" w:cs="ArialUnicodeMS"/>
          <w:kern w:val="0"/>
          <w:sz w:val="32"/>
          <w:szCs w:val="32"/>
        </w:rPr>
      </w:pPr>
      <w:r>
        <w:rPr>
          <w:rFonts w:hint="eastAsia" w:ascii="仿宋_GB2312" w:eastAsia="仿宋_GB2312" w:cs="ArialUnicodeMS"/>
          <w:kern w:val="0"/>
          <w:sz w:val="32"/>
          <w:szCs w:val="32"/>
        </w:rPr>
        <w:t>根据国际和国内国防形势的变化，结合国防教育日、重大节日、纪念日等采取多种形式开展国防教育活动；编辑、印制国防教育宣传辅导材料；搞好各种国防教育竞赛活动；抓好少年军校和青少年学生的国防教育工作；加强公共场所的国防教育宣传；总结推广全民国防教育的经验，表彰国防教育的先进单位和先进个人。</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1</w:t>
      </w:r>
      <w:r>
        <w:rPr>
          <w:rFonts w:hint="eastAsia" w:ascii="仿宋_GB2312" w:eastAsia="仿宋_GB2312" w:cs="ArialUnicodeMS"/>
          <w:kern w:val="0"/>
          <w:sz w:val="32"/>
          <w:szCs w:val="32"/>
        </w:rPr>
        <w:t>、负责拟定全区国防教育的年度计划和实施意见，提请区国防委员会审议。</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2</w:t>
      </w:r>
      <w:r>
        <w:rPr>
          <w:rFonts w:hint="eastAsia" w:ascii="仿宋_GB2312" w:eastAsia="仿宋_GB2312" w:cs="ArialUnicodeMS"/>
          <w:kern w:val="0"/>
          <w:sz w:val="32"/>
          <w:szCs w:val="32"/>
        </w:rPr>
        <w:t>、负责组织实施全区国防教育的计划和意见，组织开展全区性的国防教育活动。</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3</w:t>
      </w:r>
      <w:r>
        <w:rPr>
          <w:rFonts w:hint="eastAsia" w:ascii="仿宋_GB2312" w:eastAsia="仿宋_GB2312" w:cs="ArialUnicodeMS"/>
          <w:kern w:val="0"/>
          <w:sz w:val="32"/>
          <w:szCs w:val="32"/>
        </w:rPr>
        <w:t>、负责了解和掌握全区国防教育的情况，及时向区国防动员委员会和上级国防教育办公室报告会，反馈信息。</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4</w:t>
      </w:r>
      <w:r>
        <w:rPr>
          <w:rFonts w:hint="eastAsia" w:ascii="仿宋_GB2312" w:eastAsia="仿宋_GB2312" w:cs="ArialUnicodeMS"/>
          <w:kern w:val="0"/>
          <w:sz w:val="32"/>
          <w:szCs w:val="32"/>
        </w:rPr>
        <w:t>、负责指导全区国防教育组织、队伍、制度等方面的建设，搞好国防教育学校、业余青少年军警校、国防幼儿园、国防教育基地和国防教育典型单位的建设，不断强化教育功能。</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5</w:t>
      </w:r>
      <w:r>
        <w:rPr>
          <w:rFonts w:hint="eastAsia" w:ascii="仿宋_GB2312" w:eastAsia="仿宋_GB2312" w:cs="ArialUnicodeMS"/>
          <w:kern w:val="0"/>
          <w:sz w:val="32"/>
          <w:szCs w:val="32"/>
        </w:rPr>
        <w:t>、负责针对国际、国内形势的变化，在每年的全民国防教育日、重大国防法律颁布纪念日、重大国防纪念日和重大节日，丰富教育内容，利用多种形式开展全民国防教育；同时，搞好重点对象的军事技能培训。</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6</w:t>
      </w:r>
      <w:r>
        <w:rPr>
          <w:rFonts w:hint="eastAsia" w:ascii="仿宋_GB2312" w:eastAsia="仿宋_GB2312" w:cs="ArialUnicodeMS"/>
          <w:kern w:val="0"/>
          <w:sz w:val="32"/>
          <w:szCs w:val="32"/>
        </w:rPr>
        <w:t>、负责协调、组织有关部门搞好全区《中华人民共和国国防教育法》的执行检查，认真查处违法现象；并检查指导下级国防教育办公室或国防教育主管部门和负责人的工作情况，提出意见和要求，帮助基层开展工作。</w:t>
      </w:r>
    </w:p>
    <w:p>
      <w:pPr>
        <w:spacing w:line="500" w:lineRule="exact"/>
        <w:ind w:firstLine="561"/>
        <w:rPr>
          <w:rFonts w:ascii="仿宋_GB2312" w:eastAsia="仿宋_GB2312" w:cs="ArialUnicodeMS"/>
          <w:kern w:val="0"/>
          <w:sz w:val="32"/>
          <w:szCs w:val="32"/>
        </w:rPr>
      </w:pPr>
      <w:r>
        <w:rPr>
          <w:rFonts w:ascii="仿宋_GB2312" w:eastAsia="仿宋_GB2312" w:cs="ArialUnicodeMS"/>
          <w:kern w:val="0"/>
          <w:sz w:val="32"/>
          <w:szCs w:val="32"/>
        </w:rPr>
        <w:t>7</w:t>
      </w:r>
      <w:r>
        <w:rPr>
          <w:rFonts w:hint="eastAsia" w:ascii="仿宋_GB2312" w:eastAsia="仿宋_GB2312" w:cs="ArialUnicodeMS"/>
          <w:kern w:val="0"/>
          <w:sz w:val="32"/>
          <w:szCs w:val="32"/>
        </w:rPr>
        <w:t>、负责组织编辑、撰写国防教育辅导材料，为基层开展国防教育提供参考资料。</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w:t>
      </w:r>
      <w:r>
        <w:rPr>
          <w:rFonts w:ascii="仿宋_GB2312" w:eastAsia="仿宋_GB2312" w:cs="ArialUnicodeMS"/>
          <w:kern w:val="0"/>
          <w:sz w:val="32"/>
          <w:szCs w:val="32"/>
        </w:rPr>
        <w:t xml:space="preserve">2018 </w:t>
      </w:r>
      <w:r>
        <w:rPr>
          <w:rFonts w:hint="eastAsia" w:ascii="仿宋_GB2312" w:eastAsia="仿宋_GB2312" w:cs="ArialUnicodeMS"/>
          <w:kern w:val="0"/>
          <w:sz w:val="32"/>
          <w:szCs w:val="32"/>
        </w:rPr>
        <w:t>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4"/>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pPr>
              <w:spacing w:after="0" w:line="40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w:t>
            </w:r>
            <w:bookmarkStart w:id="0" w:name="_GoBack"/>
            <w:r>
              <w:rPr>
                <w:rFonts w:hint="eastAsia" w:ascii="仿宋_GB2312" w:eastAsia="仿宋_GB2312" w:cs="ArialUnicodeMS"/>
                <w:kern w:val="0"/>
                <w:sz w:val="28"/>
                <w:szCs w:val="28"/>
              </w:rPr>
              <w:t>国防教育办公室</w:t>
            </w:r>
            <w:bookmarkEnd w:id="0"/>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ascii="黑体" w:eastAsia="黑体"/>
          <w:color w:val="000000"/>
          <w:sz w:val="72"/>
          <w:szCs w:val="96"/>
        </w:rPr>
        <w:t>2018</w:t>
      </w:r>
      <w:r>
        <w:rPr>
          <w:rFonts w:hint="eastAsia" w:ascii="黑体" w:eastAsia="黑体"/>
          <w:color w:val="000000"/>
          <w:sz w:val="72"/>
          <w:szCs w:val="96"/>
        </w:rPr>
        <w:t>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年度收支总计（含结转和结余）</w:t>
      </w:r>
      <w:r>
        <w:rPr>
          <w:rFonts w:ascii="仿宋_GB2312" w:eastAsia="仿宋_GB2312" w:cs="DengXian-Regular"/>
          <w:sz w:val="32"/>
          <w:szCs w:val="32"/>
        </w:rPr>
        <w:t>63.99</w:t>
      </w:r>
      <w:r>
        <w:rPr>
          <w:rFonts w:hint="eastAsia" w:ascii="仿宋_GB2312" w:eastAsia="仿宋_GB2312" w:cs="DengXian-Regular"/>
          <w:sz w:val="32"/>
          <w:szCs w:val="32"/>
        </w:rPr>
        <w:t>万元。与</w:t>
      </w:r>
      <w:r>
        <w:rPr>
          <w:rFonts w:ascii="仿宋_GB2312" w:eastAsia="仿宋_GB2312" w:cs="DengXian-Regular"/>
          <w:sz w:val="32"/>
          <w:szCs w:val="32"/>
        </w:rPr>
        <w:t>2017</w:t>
      </w:r>
      <w:r>
        <w:rPr>
          <w:rFonts w:hint="eastAsia" w:ascii="仿宋_GB2312" w:eastAsia="仿宋_GB2312" w:cs="DengXian-Regular"/>
          <w:sz w:val="32"/>
          <w:szCs w:val="32"/>
        </w:rPr>
        <w:t>年度决算相比，收支各增加</w:t>
      </w:r>
      <w:r>
        <w:rPr>
          <w:rFonts w:ascii="仿宋_GB2312" w:eastAsia="仿宋_GB2312" w:cs="DengXian-Regular"/>
          <w:sz w:val="32"/>
          <w:szCs w:val="32"/>
        </w:rPr>
        <w:t>34.57</w:t>
      </w:r>
      <w:r>
        <w:rPr>
          <w:rFonts w:hint="eastAsia" w:ascii="仿宋_GB2312" w:eastAsia="仿宋_GB2312" w:cs="DengXian-Regular"/>
          <w:sz w:val="32"/>
          <w:szCs w:val="32"/>
        </w:rPr>
        <w:t>万元，增长</w:t>
      </w:r>
      <w:r>
        <w:rPr>
          <w:rFonts w:ascii="仿宋_GB2312" w:eastAsia="仿宋_GB2312" w:cs="DengXian-Regular"/>
          <w:sz w:val="32"/>
          <w:szCs w:val="32"/>
        </w:rPr>
        <w:t>117.5%</w:t>
      </w:r>
      <w:r>
        <w:rPr>
          <w:rFonts w:hint="eastAsia" w:ascii="仿宋_GB2312" w:eastAsia="仿宋_GB2312" w:cs="DengXian-Regular"/>
          <w:sz w:val="32"/>
          <w:szCs w:val="32"/>
        </w:rPr>
        <w:t>，主要原因是工资调整。</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ascii="仿宋_GB2312" w:eastAsia="仿宋_GB2312" w:cs="DengXian-Regular"/>
          <w:sz w:val="32"/>
          <w:szCs w:val="32"/>
        </w:rPr>
        <w:t>63.99</w:t>
      </w:r>
      <w:r>
        <w:rPr>
          <w:rFonts w:hint="eastAsia" w:ascii="仿宋_GB2312" w:eastAsia="仿宋_GB2312" w:cs="DengXian-Regular"/>
          <w:sz w:val="32"/>
          <w:szCs w:val="32"/>
        </w:rPr>
        <w:t>万元，其中：财政拨款收入</w:t>
      </w:r>
      <w:r>
        <w:rPr>
          <w:rFonts w:ascii="仿宋_GB2312" w:eastAsia="仿宋_GB2312" w:cs="DengXian-Regular"/>
          <w:sz w:val="32"/>
          <w:szCs w:val="32"/>
        </w:rPr>
        <w:t>55.13</w:t>
      </w:r>
      <w:r>
        <w:rPr>
          <w:rFonts w:hint="eastAsia" w:ascii="仿宋_GB2312" w:eastAsia="仿宋_GB2312" w:cs="DengXian-Regular"/>
          <w:sz w:val="32"/>
          <w:szCs w:val="32"/>
        </w:rPr>
        <w:t>万元，占</w:t>
      </w:r>
      <w:r>
        <w:rPr>
          <w:rFonts w:ascii="仿宋_GB2312" w:eastAsia="仿宋_GB2312" w:cs="DengXian-Regular"/>
          <w:sz w:val="32"/>
          <w:szCs w:val="32"/>
        </w:rPr>
        <w:t>86.15%</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；其他收入</w:t>
      </w:r>
      <w:r>
        <w:rPr>
          <w:rFonts w:ascii="仿宋_GB2312" w:eastAsia="仿宋_GB2312" w:cs="DengXian-Regular"/>
          <w:sz w:val="32"/>
          <w:szCs w:val="32"/>
        </w:rPr>
        <w:t>8.86</w:t>
      </w:r>
      <w:r>
        <w:rPr>
          <w:rFonts w:hint="eastAsia" w:ascii="仿宋_GB2312" w:eastAsia="仿宋_GB2312" w:cs="DengXian-Regular"/>
          <w:sz w:val="32"/>
          <w:szCs w:val="32"/>
        </w:rPr>
        <w:t>万元，占</w:t>
      </w:r>
      <w:r>
        <w:rPr>
          <w:rFonts w:ascii="仿宋_GB2312" w:eastAsia="仿宋_GB2312" w:cs="DengXian-Regular"/>
          <w:sz w:val="32"/>
          <w:szCs w:val="32"/>
        </w:rPr>
        <w:t>13.85%</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w:t>
      </w:r>
      <w:r>
        <w:rPr>
          <w:rFonts w:ascii="仿宋_GB2312" w:eastAsia="仿宋_GB2312" w:cs="DengXian-Regular"/>
          <w:sz w:val="32"/>
          <w:szCs w:val="32"/>
        </w:rPr>
        <w:t>63.99</w:t>
      </w:r>
      <w:r>
        <w:rPr>
          <w:rFonts w:hint="eastAsia" w:ascii="仿宋_GB2312" w:eastAsia="仿宋_GB2312" w:cs="DengXian-Regular"/>
          <w:sz w:val="32"/>
          <w:szCs w:val="32"/>
        </w:rPr>
        <w:t>万元，其中：基本支出</w:t>
      </w:r>
      <w:r>
        <w:rPr>
          <w:rFonts w:ascii="仿宋_GB2312" w:eastAsia="仿宋_GB2312" w:cs="DengXian-Regular"/>
          <w:sz w:val="32"/>
          <w:szCs w:val="32"/>
        </w:rPr>
        <w:t>63.99</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；项目支出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w:t>
      </w:r>
      <w:r>
        <w:rPr>
          <w:rFonts w:ascii="仿宋_GB2312" w:eastAsia="仿宋_GB2312" w:cs="DengXian-Regular"/>
          <w:sz w:val="32"/>
          <w:szCs w:val="32"/>
        </w:rPr>
        <w:t>55.13</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年度增加</w:t>
      </w:r>
      <w:r>
        <w:rPr>
          <w:rFonts w:ascii="仿宋_GB2312" w:eastAsia="仿宋_GB2312" w:cs="DengXian-Regular"/>
          <w:sz w:val="32"/>
          <w:szCs w:val="32"/>
        </w:rPr>
        <w:t>25.71</w:t>
      </w:r>
      <w:r>
        <w:rPr>
          <w:rFonts w:hint="eastAsia" w:ascii="仿宋_GB2312" w:eastAsia="仿宋_GB2312" w:cs="DengXian-Regular"/>
          <w:sz w:val="32"/>
          <w:szCs w:val="32"/>
        </w:rPr>
        <w:t>万元，增长</w:t>
      </w:r>
      <w:r>
        <w:rPr>
          <w:rFonts w:ascii="仿宋_GB2312" w:eastAsia="仿宋_GB2312" w:cs="DengXian-Regular"/>
          <w:sz w:val="32"/>
          <w:szCs w:val="32"/>
        </w:rPr>
        <w:t>87.39%</w:t>
      </w:r>
      <w:r>
        <w:rPr>
          <w:rFonts w:hint="eastAsia" w:ascii="仿宋_GB2312" w:eastAsia="仿宋_GB2312" w:cs="DengXian-Regular"/>
          <w:sz w:val="32"/>
          <w:szCs w:val="32"/>
        </w:rPr>
        <w:t>，主要原因是工资调整。本年支出</w:t>
      </w:r>
      <w:r>
        <w:rPr>
          <w:rFonts w:ascii="仿宋_GB2312" w:eastAsia="仿宋_GB2312" w:cs="DengXian-Regular"/>
          <w:sz w:val="32"/>
          <w:szCs w:val="32"/>
        </w:rPr>
        <w:t>63.99</w:t>
      </w:r>
      <w:r>
        <w:rPr>
          <w:rFonts w:hint="eastAsia" w:ascii="仿宋_GB2312" w:eastAsia="仿宋_GB2312" w:cs="DengXian-Regular"/>
          <w:sz w:val="32"/>
          <w:szCs w:val="32"/>
        </w:rPr>
        <w:t>万元，增加</w:t>
      </w:r>
      <w:r>
        <w:rPr>
          <w:rFonts w:ascii="仿宋_GB2312" w:eastAsia="仿宋_GB2312" w:cs="DengXian-Regular"/>
          <w:sz w:val="32"/>
          <w:szCs w:val="32"/>
        </w:rPr>
        <w:t>34.57</w:t>
      </w:r>
      <w:r>
        <w:rPr>
          <w:rFonts w:hint="eastAsia" w:ascii="仿宋_GB2312" w:eastAsia="仿宋_GB2312" w:cs="DengXian-Regular"/>
          <w:sz w:val="32"/>
          <w:szCs w:val="32"/>
        </w:rPr>
        <w:t>万元，增长</w:t>
      </w:r>
      <w:r>
        <w:rPr>
          <w:rFonts w:ascii="仿宋_GB2312" w:eastAsia="仿宋_GB2312" w:cs="DengXian-Regular"/>
          <w:sz w:val="32"/>
          <w:szCs w:val="32"/>
        </w:rPr>
        <w:t>117.5%</w:t>
      </w:r>
      <w:r>
        <w:rPr>
          <w:rFonts w:hint="eastAsia" w:ascii="仿宋_GB2312" w:eastAsia="仿宋_GB2312" w:cs="DengXian-Regular"/>
          <w:sz w:val="32"/>
          <w:szCs w:val="32"/>
        </w:rPr>
        <w:t>，主要原因是工资调整。</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年度一般公共预算财政拨款收入</w:t>
      </w:r>
      <w:r>
        <w:rPr>
          <w:rFonts w:ascii="仿宋_GB2312" w:eastAsia="仿宋_GB2312" w:cs="DengXian-Regular"/>
          <w:sz w:val="32"/>
          <w:szCs w:val="32"/>
        </w:rPr>
        <w:t>55.13</w:t>
      </w:r>
      <w:r>
        <w:rPr>
          <w:rFonts w:hint="eastAsia" w:ascii="仿宋_GB2312" w:eastAsia="仿宋_GB2312" w:cs="DengXian-Regular"/>
          <w:sz w:val="32"/>
          <w:szCs w:val="32"/>
        </w:rPr>
        <w:t>万元，完成年初预算的</w:t>
      </w:r>
      <w:r>
        <w:rPr>
          <w:rFonts w:ascii="仿宋_GB2312" w:eastAsia="仿宋_GB2312" w:cs="DengXian-Regular"/>
          <w:sz w:val="32"/>
          <w:szCs w:val="32"/>
        </w:rPr>
        <w:t>104.73%,</w:t>
      </w:r>
      <w:r>
        <w:rPr>
          <w:rFonts w:hint="eastAsia" w:ascii="仿宋_GB2312" w:eastAsia="仿宋_GB2312" w:cs="DengXian-Regular"/>
          <w:sz w:val="32"/>
          <w:szCs w:val="32"/>
        </w:rPr>
        <w:t>比年初预算增加</w:t>
      </w:r>
      <w:r>
        <w:rPr>
          <w:rFonts w:ascii="仿宋_GB2312" w:eastAsia="仿宋_GB2312" w:cs="DengXian-Regular"/>
          <w:sz w:val="32"/>
          <w:szCs w:val="32"/>
        </w:rPr>
        <w:t>2.49</w:t>
      </w:r>
      <w:r>
        <w:rPr>
          <w:rFonts w:hint="eastAsia" w:ascii="仿宋_GB2312" w:eastAsia="仿宋_GB2312" w:cs="DengXian-Regular"/>
          <w:sz w:val="32"/>
          <w:szCs w:val="32"/>
        </w:rPr>
        <w:t>万元，决算数大于预算数，主要原因是工资调整。本年支出</w:t>
      </w:r>
      <w:r>
        <w:rPr>
          <w:rFonts w:ascii="仿宋_GB2312" w:eastAsia="仿宋_GB2312" w:cs="DengXian-Regular"/>
          <w:sz w:val="32"/>
          <w:szCs w:val="32"/>
        </w:rPr>
        <w:t>63.99</w:t>
      </w:r>
      <w:r>
        <w:rPr>
          <w:rFonts w:hint="eastAsia" w:ascii="仿宋_GB2312" w:eastAsia="仿宋_GB2312" w:cs="DengXian-Regular"/>
          <w:sz w:val="32"/>
          <w:szCs w:val="32"/>
        </w:rPr>
        <w:t>万元，完成年初预算的</w:t>
      </w:r>
      <w:r>
        <w:rPr>
          <w:rFonts w:ascii="仿宋_GB2312" w:eastAsia="仿宋_GB2312" w:cs="DengXian-Regular"/>
          <w:sz w:val="32"/>
          <w:szCs w:val="32"/>
        </w:rPr>
        <w:t>121.56%,</w:t>
      </w:r>
      <w:r>
        <w:rPr>
          <w:rFonts w:hint="eastAsia" w:ascii="仿宋_GB2312" w:eastAsia="仿宋_GB2312" w:cs="DengXian-Regular"/>
          <w:sz w:val="32"/>
          <w:szCs w:val="32"/>
        </w:rPr>
        <w:t>比年初预算增加</w:t>
      </w:r>
      <w:r>
        <w:rPr>
          <w:rFonts w:ascii="仿宋_GB2312" w:eastAsia="仿宋_GB2312" w:cs="DengXian-Regular"/>
          <w:sz w:val="32"/>
          <w:szCs w:val="32"/>
        </w:rPr>
        <w:t>11.35</w:t>
      </w:r>
      <w:r>
        <w:rPr>
          <w:rFonts w:hint="eastAsia" w:ascii="仿宋_GB2312" w:eastAsia="仿宋_GB2312" w:cs="DengXian-Regular"/>
          <w:sz w:val="32"/>
          <w:szCs w:val="32"/>
        </w:rPr>
        <w:t>万元，决算数大于预算数，主要原因是工资调整。</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ascii="仿宋_GB2312" w:eastAsia="仿宋_GB2312" w:cs="DengXian-Regular"/>
          <w:sz w:val="32"/>
          <w:szCs w:val="32"/>
        </w:rPr>
        <w:t>55.13</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29.35</w:t>
      </w:r>
      <w:r>
        <w:rPr>
          <w:rFonts w:hint="eastAsia" w:ascii="仿宋_GB2312" w:eastAsia="仿宋_GB2312" w:cs="DengXian-Regular"/>
          <w:sz w:val="32"/>
          <w:szCs w:val="32"/>
        </w:rPr>
        <w:t>万元，占</w:t>
      </w:r>
      <w:r>
        <w:rPr>
          <w:rFonts w:ascii="仿宋_GB2312" w:eastAsia="仿宋_GB2312" w:cs="DengXian-Regular"/>
          <w:sz w:val="32"/>
          <w:szCs w:val="32"/>
        </w:rPr>
        <w:t>53.23%</w:t>
      </w:r>
      <w:r>
        <w:rPr>
          <w:rFonts w:hint="eastAsia" w:ascii="仿宋_GB2312" w:eastAsia="仿宋_GB2312" w:cs="DengXian-Regular"/>
          <w:sz w:val="32"/>
          <w:szCs w:val="32"/>
        </w:rPr>
        <w:t>；国防支出</w:t>
      </w:r>
      <w:r>
        <w:rPr>
          <w:rFonts w:ascii="仿宋_GB2312" w:eastAsia="仿宋_GB2312" w:cs="DengXian-Regular"/>
          <w:sz w:val="32"/>
          <w:szCs w:val="32"/>
        </w:rPr>
        <w:t>1.97</w:t>
      </w:r>
      <w:r>
        <w:rPr>
          <w:rFonts w:hint="eastAsia" w:ascii="仿宋_GB2312" w:eastAsia="仿宋_GB2312" w:cs="DengXian-Regular"/>
          <w:sz w:val="32"/>
          <w:szCs w:val="32"/>
        </w:rPr>
        <w:t>万元，占</w:t>
      </w:r>
      <w:r>
        <w:rPr>
          <w:rFonts w:ascii="仿宋_GB2312" w:eastAsia="仿宋_GB2312" w:cs="DengXian-Regular"/>
          <w:sz w:val="32"/>
          <w:szCs w:val="32"/>
        </w:rPr>
        <w:t>3.57%</w:t>
      </w:r>
      <w:r>
        <w:rPr>
          <w:rFonts w:hint="eastAsia" w:ascii="仿宋_GB2312" w:eastAsia="仿宋_GB2312" w:cs="DengXian-Regular"/>
          <w:sz w:val="32"/>
          <w:szCs w:val="32"/>
        </w:rPr>
        <w:t>；社会保障和就业（类）支出</w:t>
      </w:r>
      <w:r>
        <w:rPr>
          <w:rFonts w:ascii="仿宋_GB2312" w:eastAsia="仿宋_GB2312" w:cs="DengXian-Regular"/>
          <w:sz w:val="32"/>
          <w:szCs w:val="32"/>
        </w:rPr>
        <w:t>21.11</w:t>
      </w:r>
      <w:r>
        <w:rPr>
          <w:rFonts w:hint="eastAsia" w:ascii="仿宋_GB2312" w:eastAsia="仿宋_GB2312" w:cs="DengXian-Regular"/>
          <w:sz w:val="32"/>
          <w:szCs w:val="32"/>
        </w:rPr>
        <w:t>万元，占</w:t>
      </w:r>
      <w:r>
        <w:rPr>
          <w:rFonts w:ascii="仿宋_GB2312" w:eastAsia="仿宋_GB2312" w:cs="DengXian-Regular"/>
          <w:sz w:val="32"/>
          <w:szCs w:val="32"/>
        </w:rPr>
        <w:t>38.29%</w:t>
      </w:r>
      <w:r>
        <w:rPr>
          <w:rFonts w:hint="eastAsia" w:ascii="仿宋_GB2312" w:eastAsia="仿宋_GB2312" w:cs="DengXian-Regular"/>
          <w:sz w:val="32"/>
          <w:szCs w:val="32"/>
        </w:rPr>
        <w:t>；医疗卫生与计划生育支出</w:t>
      </w:r>
      <w:r>
        <w:rPr>
          <w:rFonts w:ascii="仿宋_GB2312" w:eastAsia="仿宋_GB2312" w:cs="DengXian-Regular"/>
          <w:sz w:val="32"/>
          <w:szCs w:val="32"/>
        </w:rPr>
        <w:t>1</w:t>
      </w:r>
      <w:r>
        <w:rPr>
          <w:rFonts w:hint="eastAsia" w:ascii="仿宋_GB2312" w:eastAsia="仿宋_GB2312" w:cs="DengXian-Regular"/>
          <w:sz w:val="32"/>
          <w:szCs w:val="32"/>
        </w:rPr>
        <w:t>万元；占</w:t>
      </w:r>
      <w:r>
        <w:rPr>
          <w:rFonts w:ascii="仿宋_GB2312" w:eastAsia="仿宋_GB2312" w:cs="DengXian-Regular"/>
          <w:sz w:val="32"/>
          <w:szCs w:val="32"/>
        </w:rPr>
        <w:t>1.82%</w:t>
      </w:r>
      <w:r>
        <w:rPr>
          <w:rFonts w:hint="eastAsia" w:ascii="仿宋_GB2312" w:eastAsia="仿宋_GB2312" w:cs="DengXian-Regular"/>
          <w:sz w:val="32"/>
          <w:szCs w:val="32"/>
        </w:rPr>
        <w:t>；住房保障（类）支出</w:t>
      </w:r>
      <w:r>
        <w:rPr>
          <w:rFonts w:ascii="仿宋_GB2312" w:eastAsia="仿宋_GB2312" w:cs="DengXian-Regular"/>
          <w:sz w:val="32"/>
          <w:szCs w:val="32"/>
        </w:rPr>
        <w:t>1.71</w:t>
      </w:r>
      <w:r>
        <w:rPr>
          <w:rFonts w:hint="eastAsia" w:ascii="仿宋_GB2312" w:eastAsia="仿宋_GB2312" w:cs="DengXian-Regular"/>
          <w:sz w:val="32"/>
          <w:szCs w:val="32"/>
        </w:rPr>
        <w:t>万元，占</w:t>
      </w:r>
      <w:r>
        <w:rPr>
          <w:rFonts w:ascii="仿宋_GB2312" w:eastAsia="仿宋_GB2312" w:cs="DengXian-Regular"/>
          <w:sz w:val="32"/>
          <w:szCs w:val="32"/>
        </w:rPr>
        <w:t>3.09%</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55.13</w:t>
      </w:r>
      <w:r>
        <w:rPr>
          <w:rFonts w:hint="eastAsia" w:ascii="仿宋_GB2312" w:eastAsia="仿宋_GB2312" w:cs="DengXian-Regular"/>
          <w:sz w:val="32"/>
          <w:szCs w:val="32"/>
        </w:rPr>
        <w:t>万元，其中：人员经费</w:t>
      </w:r>
      <w:r>
        <w:rPr>
          <w:rFonts w:ascii="仿宋_GB2312" w:eastAsia="仿宋_GB2312" w:cs="DengXian-Regular"/>
          <w:sz w:val="32"/>
          <w:szCs w:val="32"/>
        </w:rPr>
        <w:t>50.81</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4.32</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pPr>
        <w:adjustRightInd w:val="0"/>
        <w:snapToGrid w:val="0"/>
        <w:spacing w:line="584" w:lineRule="exact"/>
        <w:ind w:firstLine="640" w:firstLineChars="200"/>
        <w:rPr>
          <w:rFonts w:eastAsia="仿宋_GB2312"/>
          <w:sz w:val="32"/>
          <w:szCs w:val="32"/>
        </w:rPr>
      </w:pPr>
      <w:r>
        <w:rPr>
          <w:rFonts w:hint="eastAsia" w:eastAsia="仿宋_GB2312"/>
          <w:sz w:val="32"/>
          <w:szCs w:val="32"/>
        </w:rPr>
        <w:t>本部门</w:t>
      </w:r>
      <w:r>
        <w:rPr>
          <w:rFonts w:eastAsia="仿宋_GB2312"/>
          <w:sz w:val="32"/>
          <w:szCs w:val="32"/>
        </w:rPr>
        <w:t>2018</w:t>
      </w:r>
      <w:r>
        <w:rPr>
          <w:rFonts w:hint="eastAsia" w:eastAsia="仿宋_GB2312"/>
          <w:sz w:val="32"/>
          <w:szCs w:val="32"/>
        </w:rPr>
        <w:t>年度一般公共预算财政拨款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经费支出共计</w:t>
      </w:r>
      <w:r>
        <w:rPr>
          <w:rFonts w:eastAsia="仿宋_GB2312"/>
          <w:sz w:val="32"/>
          <w:szCs w:val="32"/>
        </w:rPr>
        <w:t>2.3</w:t>
      </w:r>
      <w:r>
        <w:rPr>
          <w:rFonts w:hint="eastAsia" w:eastAsia="仿宋_GB2312"/>
          <w:sz w:val="32"/>
          <w:szCs w:val="32"/>
        </w:rPr>
        <w:t>万元，较年初预算无增减变化，比</w:t>
      </w:r>
      <w:r>
        <w:rPr>
          <w:rFonts w:eastAsia="仿宋_GB2312"/>
          <w:sz w:val="32"/>
          <w:szCs w:val="32"/>
        </w:rPr>
        <w:t>2017</w:t>
      </w:r>
      <w:r>
        <w:rPr>
          <w:rFonts w:hint="eastAsia" w:eastAsia="仿宋_GB2312"/>
          <w:sz w:val="32"/>
          <w:szCs w:val="32"/>
        </w:rPr>
        <w:t>年度决算增加</w:t>
      </w:r>
      <w:r>
        <w:rPr>
          <w:rFonts w:eastAsia="仿宋_GB2312"/>
          <w:sz w:val="32"/>
          <w:szCs w:val="32"/>
        </w:rPr>
        <w:t>2.3</w:t>
      </w:r>
      <w:r>
        <w:rPr>
          <w:rFonts w:hint="eastAsia" w:eastAsia="仿宋_GB2312"/>
          <w:sz w:val="32"/>
          <w:szCs w:val="32"/>
        </w:rPr>
        <w:t>万元，增长</w:t>
      </w:r>
      <w:r>
        <w:rPr>
          <w:rFonts w:eastAsia="仿宋_GB2312"/>
          <w:sz w:val="32"/>
          <w:szCs w:val="32"/>
        </w:rPr>
        <w:t>100%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hint="eastAsia" w:eastAsia="仿宋_GB2312"/>
          <w:color w:val="000000"/>
          <w:kern w:val="0"/>
          <w:sz w:val="32"/>
          <w:szCs w:val="32"/>
        </w:rPr>
        <w:t>公务用车运行费用增加</w:t>
      </w:r>
      <w:r>
        <w:rPr>
          <w:rFonts w:hint="eastAsia"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（一）因公出国（境）费支出</w:t>
      </w:r>
      <w:r>
        <w:rPr>
          <w:rFonts w:eastAsia="楷体_GB2312"/>
          <w:b/>
          <w:bCs/>
          <w:sz w:val="32"/>
          <w:szCs w:val="32"/>
        </w:rPr>
        <w:t>0</w:t>
      </w:r>
      <w:r>
        <w:rPr>
          <w:rFonts w:hint="eastAsia" w:eastAsia="楷体_GB2312"/>
          <w:b/>
          <w:bCs/>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年度</w:t>
      </w:r>
      <w:r>
        <w:rPr>
          <w:rFonts w:hint="eastAsia" w:ascii="仿宋_GB2312" w:eastAsia="仿宋_GB2312" w:cs="DengXian-Regular"/>
          <w:sz w:val="32"/>
          <w:szCs w:val="32"/>
        </w:rPr>
        <w:t>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w:t>
      </w:r>
      <w:r>
        <w:rPr>
          <w:rFonts w:ascii="仿宋_GB2312" w:eastAsia="仿宋_GB2312" w:cs="DengXian-Regular"/>
          <w:sz w:val="32"/>
          <w:szCs w:val="32"/>
        </w:rPr>
        <w:t>/</w:t>
      </w:r>
      <w:r>
        <w:rPr>
          <w:rFonts w:hint="eastAsia" w:ascii="仿宋_GB2312" w:eastAsia="仿宋_GB2312" w:cs="DengXian-Regular"/>
          <w:sz w:val="32"/>
          <w:szCs w:val="32"/>
        </w:rPr>
        <w:t>参加其他单位组织的因公出国（境）团组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w:t>
      </w:r>
      <w:r>
        <w:rPr>
          <w:rFonts w:ascii="仿宋_GB2312" w:eastAsia="仿宋_GB2312" w:cs="DengXian-Regular"/>
          <w:sz w:val="32"/>
          <w:szCs w:val="32"/>
        </w:rPr>
        <w:t>/</w:t>
      </w:r>
      <w:r>
        <w:rPr>
          <w:rFonts w:hint="eastAsia" w:ascii="仿宋_GB2312" w:eastAsia="仿宋_GB2312" w:cs="DengXian-Regular"/>
          <w:sz w:val="32"/>
          <w:szCs w:val="32"/>
        </w:rPr>
        <w:t>无本单位组织的出国（境）团组。</w:t>
      </w:r>
      <w:r>
        <w:rPr>
          <w:rFonts w:hint="eastAsia" w:eastAsia="仿宋_GB2312"/>
          <w:sz w:val="32"/>
          <w:szCs w:val="32"/>
        </w:rPr>
        <w:t>因公出国（境）费支出较年初预算无增减变化，较</w:t>
      </w:r>
      <w:r>
        <w:rPr>
          <w:rFonts w:eastAsia="仿宋_GB2312"/>
          <w:sz w:val="32"/>
          <w:szCs w:val="32"/>
        </w:rPr>
        <w:t>2017</w:t>
      </w:r>
      <w:r>
        <w:rPr>
          <w:rFonts w:hint="eastAsia" w:eastAsia="仿宋_GB2312"/>
          <w:sz w:val="32"/>
          <w:szCs w:val="32"/>
        </w:rPr>
        <w:t>年度决算无增减变化。</w:t>
      </w:r>
    </w:p>
    <w:p>
      <w:pPr>
        <w:adjustRightInd w:val="0"/>
        <w:snapToGrid w:val="0"/>
        <w:spacing w:line="584" w:lineRule="exact"/>
        <w:ind w:firstLine="643" w:firstLineChars="200"/>
        <w:rPr>
          <w:rFonts w:eastAsia="仿宋_GB2312"/>
          <w:b/>
          <w:bCs/>
          <w:sz w:val="32"/>
          <w:szCs w:val="32"/>
        </w:rPr>
      </w:pPr>
      <w:r>
        <w:rPr>
          <w:rFonts w:hint="eastAsia" w:eastAsia="楷体_GB2312"/>
          <w:b/>
          <w:bCs/>
          <w:sz w:val="32"/>
          <w:szCs w:val="32"/>
        </w:rPr>
        <w:t>（二）公务用车购置及运行维护费支出</w:t>
      </w:r>
      <w:r>
        <w:rPr>
          <w:rFonts w:eastAsia="楷体_GB2312"/>
          <w:b/>
          <w:bCs/>
          <w:sz w:val="32"/>
          <w:szCs w:val="32"/>
        </w:rPr>
        <w:t>2.3</w:t>
      </w:r>
      <w:r>
        <w:rPr>
          <w:rFonts w:hint="eastAsia" w:eastAsia="楷体_GB2312"/>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年度公务用车购置及运行维护费较年初预算无增减变化，比</w:t>
      </w:r>
      <w:r>
        <w:rPr>
          <w:rFonts w:ascii="仿宋_GB2312" w:eastAsia="仿宋_GB2312" w:cs="DengXian-Regular"/>
          <w:sz w:val="32"/>
          <w:szCs w:val="32"/>
        </w:rPr>
        <w:t>2017</w:t>
      </w:r>
      <w:r>
        <w:rPr>
          <w:rFonts w:hint="eastAsia" w:ascii="仿宋_GB2312" w:eastAsia="仿宋_GB2312" w:cs="DengXian-Regular"/>
          <w:sz w:val="32"/>
          <w:szCs w:val="32"/>
        </w:rPr>
        <w:t>年度决算增加</w:t>
      </w:r>
      <w:r>
        <w:rPr>
          <w:rFonts w:ascii="仿宋_GB2312" w:eastAsia="仿宋_GB2312" w:cs="DengXian-Regular"/>
          <w:sz w:val="32"/>
          <w:szCs w:val="32"/>
        </w:rPr>
        <w:t>2.3</w:t>
      </w:r>
      <w:r>
        <w:rPr>
          <w:rFonts w:hint="eastAsia" w:ascii="仿宋_GB2312" w:eastAsia="仿宋_GB2312" w:cs="DengXian-Regular"/>
          <w:sz w:val="32"/>
          <w:szCs w:val="32"/>
        </w:rPr>
        <w:t>万元，增长</w:t>
      </w:r>
      <w:r>
        <w:rPr>
          <w:rFonts w:ascii="仿宋_GB2312" w:eastAsia="仿宋_GB2312" w:cs="DengXian-Regular"/>
          <w:sz w:val="32"/>
          <w:szCs w:val="32"/>
        </w:rPr>
        <w:t>100%</w:t>
      </w:r>
      <w:r>
        <w:rPr>
          <w:rFonts w:hint="eastAsia" w:ascii="仿宋_GB2312" w:eastAsia="仿宋_GB2312" w:cs="DengXian-Regular"/>
          <w:sz w:val="32"/>
          <w:szCs w:val="32"/>
        </w:rPr>
        <w:t>，主要原因是车辆保养修理费用增加</w:t>
      </w:r>
      <w:r>
        <w:rPr>
          <w:rFonts w:hint="eastAsia" w:eastAsia="仿宋_GB2312"/>
          <w:sz w:val="32"/>
          <w:szCs w:val="32"/>
        </w:rPr>
        <w:t>。</w:t>
      </w:r>
      <w:r>
        <w:rPr>
          <w:rFonts w:hint="eastAsia"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公务用车购置费支出</w:t>
      </w:r>
      <w:r>
        <w:rPr>
          <w:rFonts w:eastAsia="仿宋_GB2312"/>
          <w:b/>
          <w:sz w:val="32"/>
          <w:szCs w:val="32"/>
        </w:rPr>
        <w:t>0</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年度公务用车购置数量</w:t>
      </w:r>
      <w:r>
        <w:rPr>
          <w:rFonts w:eastAsia="仿宋_GB2312"/>
          <w:sz w:val="32"/>
          <w:szCs w:val="32"/>
        </w:rPr>
        <w:t>0</w:t>
      </w:r>
      <w:r>
        <w:rPr>
          <w:rFonts w:hint="eastAsia" w:eastAsia="仿宋_GB2312"/>
          <w:sz w:val="32"/>
          <w:szCs w:val="32"/>
        </w:rPr>
        <w:t>辆。公务用车购置费较年初预算无增减变化，较</w:t>
      </w:r>
      <w:r>
        <w:rPr>
          <w:rFonts w:eastAsia="仿宋_GB2312"/>
          <w:sz w:val="32"/>
          <w:szCs w:val="32"/>
        </w:rPr>
        <w:t>2017</w:t>
      </w:r>
      <w:r>
        <w:rPr>
          <w:rFonts w:hint="eastAsia"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公务用车运行维护费支出</w:t>
      </w:r>
      <w:r>
        <w:rPr>
          <w:rFonts w:eastAsia="仿宋_GB2312"/>
          <w:b/>
          <w:sz w:val="32"/>
          <w:szCs w:val="32"/>
        </w:rPr>
        <w:t>2.3</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年末单位公务用车保有量</w:t>
      </w:r>
      <w:r>
        <w:rPr>
          <w:rFonts w:eastAsia="仿宋_GB2312"/>
          <w:sz w:val="32"/>
          <w:szCs w:val="32"/>
        </w:rPr>
        <w:t>1</w:t>
      </w:r>
      <w:r>
        <w:rPr>
          <w:rFonts w:hint="eastAsia" w:eastAsia="仿宋_GB2312"/>
          <w:sz w:val="32"/>
          <w:szCs w:val="32"/>
        </w:rPr>
        <w:t>辆。公车运行维护费支出</w:t>
      </w:r>
      <w:r>
        <w:rPr>
          <w:rFonts w:hint="eastAsia" w:ascii="仿宋_GB2312" w:eastAsia="仿宋_GB2312" w:cs="DengXian-Regular"/>
          <w:sz w:val="32"/>
          <w:szCs w:val="32"/>
        </w:rPr>
        <w:t>较年初预算无增减变化，比</w:t>
      </w:r>
      <w:r>
        <w:rPr>
          <w:rFonts w:ascii="仿宋_GB2312" w:eastAsia="仿宋_GB2312" w:cs="DengXian-Regular"/>
          <w:sz w:val="32"/>
          <w:szCs w:val="32"/>
        </w:rPr>
        <w:t>2017</w:t>
      </w:r>
      <w:r>
        <w:rPr>
          <w:rFonts w:hint="eastAsia" w:ascii="仿宋_GB2312" w:eastAsia="仿宋_GB2312" w:cs="DengXian-Regular"/>
          <w:sz w:val="32"/>
          <w:szCs w:val="32"/>
        </w:rPr>
        <w:t>年度决算增加</w:t>
      </w:r>
      <w:r>
        <w:rPr>
          <w:rFonts w:ascii="仿宋_GB2312" w:eastAsia="仿宋_GB2312" w:cs="DengXian-Regular"/>
          <w:sz w:val="32"/>
          <w:szCs w:val="32"/>
        </w:rPr>
        <w:t>2.3</w:t>
      </w:r>
      <w:r>
        <w:rPr>
          <w:rFonts w:hint="eastAsia" w:ascii="仿宋_GB2312" w:eastAsia="仿宋_GB2312" w:cs="DengXian-Regular"/>
          <w:sz w:val="32"/>
          <w:szCs w:val="32"/>
        </w:rPr>
        <w:t>万元，增长</w:t>
      </w:r>
      <w:r>
        <w:rPr>
          <w:rFonts w:ascii="仿宋_GB2312" w:eastAsia="仿宋_GB2312" w:cs="DengXian-Regular"/>
          <w:sz w:val="32"/>
          <w:szCs w:val="32"/>
        </w:rPr>
        <w:t>100%</w:t>
      </w:r>
      <w:r>
        <w:rPr>
          <w:rFonts w:hint="eastAsia" w:ascii="仿宋_GB2312" w:eastAsia="仿宋_GB2312" w:cs="DengXian-Regular"/>
          <w:sz w:val="32"/>
          <w:szCs w:val="32"/>
        </w:rPr>
        <w:t>，主要原因是车辆保养修理费用增加。</w:t>
      </w:r>
    </w:p>
    <w:p>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（三）公务接待费支出</w:t>
      </w:r>
      <w:r>
        <w:rPr>
          <w:rFonts w:eastAsia="楷体_GB2312"/>
          <w:b/>
          <w:bCs/>
          <w:sz w:val="32"/>
          <w:szCs w:val="32"/>
        </w:rPr>
        <w:t>0</w:t>
      </w:r>
      <w:r>
        <w:rPr>
          <w:rFonts w:hint="eastAsia" w:eastAsia="楷体_GB2312"/>
          <w:b/>
          <w:bCs/>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年度公务接待共</w:t>
      </w:r>
      <w:r>
        <w:rPr>
          <w:rFonts w:eastAsia="仿宋_GB2312"/>
          <w:sz w:val="32"/>
          <w:szCs w:val="32"/>
        </w:rPr>
        <w:t>0</w:t>
      </w:r>
      <w:r>
        <w:rPr>
          <w:rFonts w:hint="eastAsia" w:eastAsia="仿宋_GB2312"/>
          <w:sz w:val="32"/>
          <w:szCs w:val="32"/>
        </w:rPr>
        <w:t>批次、</w:t>
      </w:r>
      <w:r>
        <w:rPr>
          <w:rFonts w:eastAsia="仿宋_GB2312"/>
          <w:sz w:val="32"/>
          <w:szCs w:val="32"/>
        </w:rPr>
        <w:t>0</w:t>
      </w:r>
      <w:r>
        <w:rPr>
          <w:rFonts w:hint="eastAsia" w:eastAsia="仿宋_GB2312"/>
          <w:sz w:val="32"/>
          <w:szCs w:val="32"/>
        </w:rPr>
        <w:t>人次。公务接待费支出较年初预算无增减变化，较</w:t>
      </w:r>
      <w:r>
        <w:rPr>
          <w:rFonts w:eastAsia="仿宋_GB2312"/>
          <w:sz w:val="32"/>
          <w:szCs w:val="32"/>
        </w:rPr>
        <w:t>2017</w:t>
      </w:r>
      <w:r>
        <w:rPr>
          <w:rFonts w:hint="eastAsia"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根据绩效预算管理改革要求，本部门认真开展了预算绩效管理改革开展情况自查，对部门全面规范绩效预算编制、严格预算执行管理、推进绩效评价工作、推进预决算信息公开等方面进行了自评，考核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（二）项目绩效自评结果。根据预算绩效管理要求，本部门组织对</w:t>
      </w:r>
      <w:r>
        <w:rPr>
          <w:rFonts w:ascii="仿宋_GB2312" w:eastAsia="仿宋_GB2312" w:cs="DengXian-Regular"/>
          <w:sz w:val="32"/>
          <w:szCs w:val="32"/>
        </w:rPr>
        <w:t xml:space="preserve">2018 </w:t>
      </w:r>
      <w:r>
        <w:rPr>
          <w:rFonts w:hint="eastAsia" w:ascii="仿宋_GB2312" w:eastAsia="仿宋_GB2312" w:cs="DengXian-Regular"/>
          <w:sz w:val="32"/>
          <w:szCs w:val="32"/>
        </w:rPr>
        <w:t>年度专项项目预算支出开展绩效自评。从评价情况看，项目评价结果为优秀。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（三）重点项目绩效评价结果。本单位无重点支出项目。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年度机关运行经费支出</w:t>
      </w:r>
      <w:r>
        <w:rPr>
          <w:rFonts w:ascii="仿宋_GB2312" w:eastAsia="仿宋_GB2312" w:cs="DengXian-Regular"/>
          <w:sz w:val="32"/>
          <w:szCs w:val="32"/>
        </w:rPr>
        <w:t>4.32</w:t>
      </w:r>
      <w:r>
        <w:rPr>
          <w:rFonts w:hint="eastAsia" w:ascii="仿宋_GB2312" w:eastAsia="仿宋_GB2312" w:cs="DengXian-Regular"/>
          <w:sz w:val="32"/>
          <w:szCs w:val="32"/>
        </w:rPr>
        <w:t>万元，比年初预算数增加</w:t>
      </w:r>
      <w:r>
        <w:rPr>
          <w:rFonts w:ascii="仿宋_GB2312" w:eastAsia="仿宋_GB2312" w:cs="DengXian-Regular"/>
          <w:sz w:val="32"/>
          <w:szCs w:val="32"/>
        </w:rPr>
        <w:t>4.32</w:t>
      </w:r>
      <w:r>
        <w:rPr>
          <w:rFonts w:hint="eastAsia" w:ascii="仿宋_GB2312" w:eastAsia="仿宋_GB2312" w:cs="DengXian-Regular"/>
          <w:sz w:val="32"/>
          <w:szCs w:val="32"/>
        </w:rPr>
        <w:t>万元，增长</w:t>
      </w:r>
      <w:r>
        <w:rPr>
          <w:rFonts w:ascii="仿宋_GB2312" w:eastAsia="仿宋_GB2312" w:cs="DengXian-Regular"/>
          <w:sz w:val="32"/>
          <w:szCs w:val="32"/>
        </w:rPr>
        <w:t>100</w:t>
      </w:r>
      <w:r>
        <w:rPr>
          <w:rFonts w:eastAsia="仿宋_GB2312"/>
          <w:sz w:val="32"/>
          <w:szCs w:val="32"/>
        </w:rPr>
        <w:t>%</w:t>
      </w:r>
      <w:r>
        <w:rPr>
          <w:rFonts w:hint="eastAsia" w:ascii="仿宋_GB2312" w:eastAsia="仿宋_GB2312" w:cs="DengXian-Regular"/>
          <w:sz w:val="32"/>
          <w:szCs w:val="32"/>
        </w:rPr>
        <w:t>。主要原因是公务用车运行维护费、办公费和培训费增加。</w:t>
      </w:r>
      <w:r>
        <w:rPr>
          <w:rFonts w:hint="eastAsia" w:eastAsia="仿宋_GB2312"/>
          <w:sz w:val="32"/>
          <w:szCs w:val="32"/>
        </w:rPr>
        <w:t>较</w:t>
      </w:r>
      <w:r>
        <w:rPr>
          <w:rFonts w:eastAsia="仿宋_GB2312"/>
          <w:sz w:val="32"/>
          <w:szCs w:val="32"/>
        </w:rPr>
        <w:t>2017</w:t>
      </w:r>
      <w:r>
        <w:rPr>
          <w:rFonts w:hint="eastAsia" w:eastAsia="仿宋_GB2312"/>
          <w:sz w:val="32"/>
          <w:szCs w:val="32"/>
        </w:rPr>
        <w:t>年度决算增加</w:t>
      </w:r>
      <w:r>
        <w:rPr>
          <w:rFonts w:eastAsia="仿宋_GB2312"/>
          <w:sz w:val="32"/>
          <w:szCs w:val="32"/>
        </w:rPr>
        <w:t>3.06</w:t>
      </w:r>
      <w:r>
        <w:rPr>
          <w:rFonts w:hint="eastAsia" w:eastAsia="仿宋_GB2312"/>
          <w:sz w:val="32"/>
          <w:szCs w:val="32"/>
        </w:rPr>
        <w:t>万元，增长</w:t>
      </w:r>
      <w:r>
        <w:rPr>
          <w:rFonts w:eastAsia="仿宋_GB2312"/>
          <w:sz w:val="32"/>
          <w:szCs w:val="32"/>
        </w:rPr>
        <w:t>243.0%</w:t>
      </w:r>
      <w:r>
        <w:rPr>
          <w:rFonts w:hint="eastAsia" w:eastAsia="仿宋_GB2312"/>
          <w:sz w:val="32"/>
          <w:szCs w:val="32"/>
        </w:rPr>
        <w:t>，</w:t>
      </w:r>
      <w:r>
        <w:rPr>
          <w:rFonts w:hint="eastAsia" w:ascii="仿宋_GB2312" w:eastAsia="仿宋_GB2312" w:cs="DengXian-Regular"/>
          <w:sz w:val="32"/>
          <w:szCs w:val="32"/>
        </w:rPr>
        <w:t>主要原因是公务用车运行维护费、办公费和培训费增加。</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pStyle w:val="4"/>
        <w:spacing w:before="0" w:after="0" w:line="580" w:lineRule="exact"/>
        <w:ind w:firstLine="643" w:firstLineChars="200"/>
        <w:rPr>
          <w:rFonts w:hint="eastAsia" w:ascii="仿宋_GB2312" w:hAnsi="仿宋_GB2312" w:eastAsia="仿宋_GB2312" w:cs="仿宋_GB2312"/>
          <w:color w:val="000000"/>
          <w:kern w:val="0"/>
        </w:rPr>
      </w:pPr>
      <w:r>
        <w:rPr>
          <w:rFonts w:hint="eastAsia" w:ascii="仿宋_GB2312" w:eastAsia="仿宋_GB2312" w:cs="DengXian-Regular"/>
        </w:rPr>
        <w:t>本部门2018年度政府采购支出总额0万元，从采购类型来看，</w:t>
      </w:r>
      <w:r>
        <w:rPr>
          <w:rFonts w:ascii="仿宋_GB2312" w:hAnsi="仿宋_GB2312" w:eastAsia="仿宋_GB2312" w:cs="仿宋_GB2312"/>
          <w:color w:val="000000"/>
          <w:kern w:val="0"/>
        </w:rPr>
        <w:t>政府采购货物支出</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 xml:space="preserve"> 万元、政府采购工程支出</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 xml:space="preserve">万元、政府采购服务支出 </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万元。授予中小企业合同金</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万元，占政府采购支出总额的</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其中授予小微企业合同金额</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 xml:space="preserve">万元，占政府采购支出总额的 </w:t>
      </w:r>
      <w:r>
        <w:rPr>
          <w:rFonts w:hint="eastAsia" w:ascii="仿宋_GB2312" w:hAnsi="仿宋_GB2312" w:eastAsia="仿宋_GB2312" w:cs="仿宋_GB2312"/>
          <w:color w:val="000000"/>
          <w:kern w:val="0"/>
        </w:rPr>
        <w:t>0</w:t>
      </w:r>
      <w:r>
        <w:rPr>
          <w:rFonts w:ascii="仿宋_GB2312" w:hAnsi="仿宋_GB2312" w:eastAsia="仿宋_GB2312" w:cs="仿宋_GB2312"/>
          <w:color w:val="000000"/>
          <w:kern w:val="0"/>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1</w:t>
      </w:r>
      <w:r>
        <w:rPr>
          <w:rFonts w:hint="eastAsia" w:ascii="仿宋_GB2312" w:eastAsia="仿宋_GB2312" w:cs="DengXian-Regular"/>
          <w:sz w:val="32"/>
          <w:szCs w:val="32"/>
        </w:rPr>
        <w:t>辆，较上年无增减变化。其中，副部（省）级及以上领导用车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台（套），较上年无增减变化。，单位价值</w:t>
      </w:r>
      <w:r>
        <w:rPr>
          <w:rFonts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台（套）比较上年无增减变化。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年度政府性基金预算、国有资本经营预算、政府采购无收支及结转结余情况，故</w:t>
      </w:r>
      <w:r>
        <w:rPr>
          <w:rFonts w:hint="eastAsia" w:eastAsia="仿宋_GB2312"/>
          <w:sz w:val="32"/>
          <w:szCs w:val="32"/>
        </w:rPr>
        <w:t>政府性基金预算财政拨款收入支出决算表、国有资本经营预算财政拨款支出决算表、政府采购情况表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ascii="仿宋_GB2312" w:eastAsia="仿宋_GB2312"/>
          <w:b/>
          <w:bCs/>
          <w:color w:val="000000"/>
          <w:kern w:val="0"/>
          <w:sz w:val="32"/>
          <w:szCs w:val="32"/>
        </w:rPr>
        <w:t>:</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Dotum"/>
    <w:panose1 w:val="00000000000000000000"/>
    <w:charset w:val="81"/>
    <w:family w:val="auto"/>
    <w:pitch w:val="default"/>
    <w:sig w:usb0="00000000" w:usb1="00000000" w:usb2="00000010" w:usb3="00000000" w:csb0="00080000" w:csb1="00000000"/>
  </w:font>
  <w:font w:name="MS-UIGothic,Bold">
    <w:altName w:val="Dotum"/>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0"/>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1NzdlZjVkMzhkN2M2NjI3YzkwZjgxYTYwNzY3NWYifQ=="/>
  </w:docVars>
  <w:rsids>
    <w:rsidRoot w:val="00851A24"/>
    <w:rsid w:val="0030225B"/>
    <w:rsid w:val="003D6F75"/>
    <w:rsid w:val="003E5A38"/>
    <w:rsid w:val="00812AFE"/>
    <w:rsid w:val="00851A24"/>
    <w:rsid w:val="00886708"/>
    <w:rsid w:val="009069DA"/>
    <w:rsid w:val="00AA2957"/>
    <w:rsid w:val="00B35C35"/>
    <w:rsid w:val="00B41124"/>
    <w:rsid w:val="00BA3E58"/>
    <w:rsid w:val="00C27EAF"/>
    <w:rsid w:val="00CE6E5C"/>
    <w:rsid w:val="00D171D9"/>
    <w:rsid w:val="64B66B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5" w:lineRule="auto"/>
      <w:outlineLvl w:val="1"/>
    </w:pPr>
    <w:rPr>
      <w:rFonts w:ascii="Calibri" w:hAnsi="Calibri" w:cs="Arial"/>
      <w:b/>
      <w:bCs/>
      <w:sz w:val="32"/>
      <w:szCs w:val="32"/>
    </w:rPr>
  </w:style>
  <w:style w:type="paragraph" w:styleId="4">
    <w:name w:val="heading 3"/>
    <w:basedOn w:val="1"/>
    <w:next w:val="1"/>
    <w:link w:val="19"/>
    <w:qFormat/>
    <w:uiPriority w:val="99"/>
    <w:pPr>
      <w:keepNext/>
      <w:keepLines/>
      <w:spacing w:before="260" w:after="260" w:line="415" w:lineRule="auto"/>
      <w:outlineLvl w:val="2"/>
    </w:pPr>
    <w:rPr>
      <w:b/>
      <w:bCs/>
      <w:sz w:val="32"/>
      <w:szCs w:val="32"/>
    </w:rPr>
  </w:style>
  <w:style w:type="paragraph" w:styleId="5">
    <w:name w:val="heading 4"/>
    <w:basedOn w:val="1"/>
    <w:next w:val="1"/>
    <w:link w:val="20"/>
    <w:qFormat/>
    <w:uiPriority w:val="99"/>
    <w:pPr>
      <w:keepNext/>
      <w:keepLines/>
      <w:spacing w:before="280" w:after="290" w:line="377" w:lineRule="auto"/>
      <w:outlineLvl w:val="3"/>
    </w:pPr>
    <w:rPr>
      <w:rFonts w:ascii="Calibri" w:hAnsi="Calibri" w:cs="Arial"/>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semiHidden/>
    <w:uiPriority w:val="99"/>
    <w:pPr>
      <w:jc w:val="left"/>
    </w:pPr>
  </w:style>
  <w:style w:type="paragraph" w:styleId="7">
    <w:name w:val="Date"/>
    <w:basedOn w:val="1"/>
    <w:next w:val="1"/>
    <w:link w:val="21"/>
    <w:uiPriority w:val="99"/>
    <w:pPr>
      <w:ind w:left="2500" w:leftChars="2500"/>
    </w:pPr>
  </w:style>
  <w:style w:type="paragraph" w:styleId="8">
    <w:name w:val="Balloon Text"/>
    <w:basedOn w:val="1"/>
    <w:link w:val="22"/>
    <w:uiPriority w:val="99"/>
    <w:rPr>
      <w:sz w:val="18"/>
      <w:szCs w:val="18"/>
    </w:rPr>
  </w:style>
  <w:style w:type="paragraph" w:styleId="9">
    <w:name w:val="footer"/>
    <w:basedOn w:val="1"/>
    <w:link w:val="23"/>
    <w:uiPriority w:val="99"/>
    <w:pPr>
      <w:tabs>
        <w:tab w:val="center" w:pos="4153"/>
        <w:tab w:val="right" w:pos="8306"/>
      </w:tabs>
      <w:snapToGrid w:val="0"/>
      <w:jc w:val="left"/>
    </w:pPr>
    <w:rPr>
      <w:rFonts w:ascii="Cambria" w:hAnsi="Cambria" w:eastAsia="黑体"/>
      <w:sz w:val="18"/>
      <w:szCs w:val="18"/>
    </w:rPr>
  </w:style>
  <w:style w:type="paragraph" w:styleId="10">
    <w:name w:val="header"/>
    <w:basedOn w:val="1"/>
    <w:link w:val="24"/>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link w:val="25"/>
    <w:qFormat/>
    <w:uiPriority w:val="99"/>
    <w:pPr>
      <w:widowControl/>
      <w:spacing w:after="200" w:line="276" w:lineRule="auto"/>
      <w:jc w:val="left"/>
    </w:pPr>
    <w:rPr>
      <w:rFonts w:ascii="Calibri" w:hAnsi="Calibri" w:cs="Arial"/>
      <w:i/>
      <w:iCs/>
      <w:color w:val="F0A22E"/>
      <w:spacing w:val="15"/>
      <w:kern w:val="0"/>
      <w:sz w:val="24"/>
    </w:rPr>
  </w:style>
  <w:style w:type="paragraph" w:styleId="12">
    <w:name w:val="Title"/>
    <w:basedOn w:val="1"/>
    <w:next w:val="1"/>
    <w:link w:val="26"/>
    <w:qFormat/>
    <w:uiPriority w:val="99"/>
    <w:pPr>
      <w:widowControl/>
      <w:pBdr>
        <w:bottom w:val="single" w:color="F0A22E" w:sz="8" w:space="4"/>
      </w:pBdr>
      <w:spacing w:after="300"/>
      <w:contextualSpacing/>
      <w:jc w:val="left"/>
    </w:pPr>
    <w:rPr>
      <w:rFonts w:ascii="Calibri" w:hAnsi="Calibri" w:cs="Arial"/>
      <w:color w:val="3A2C24"/>
      <w:spacing w:val="5"/>
      <w:kern w:val="28"/>
      <w:sz w:val="52"/>
      <w:szCs w:val="52"/>
    </w:rPr>
  </w:style>
  <w:style w:type="paragraph" w:styleId="13">
    <w:name w:val="annotation subject"/>
    <w:basedOn w:val="6"/>
    <w:next w:val="6"/>
    <w:link w:val="35"/>
    <w:semiHidden/>
    <w:uiPriority w:val="99"/>
    <w:rPr>
      <w:b/>
      <w:bCs/>
    </w:rPr>
  </w:style>
  <w:style w:type="character" w:styleId="16">
    <w:name w:val="annotation reference"/>
    <w:basedOn w:val="15"/>
    <w:semiHidden/>
    <w:uiPriority w:val="99"/>
    <w:rPr>
      <w:rFonts w:cs="Times New Roman"/>
      <w:sz w:val="21"/>
      <w:szCs w:val="21"/>
    </w:rPr>
  </w:style>
  <w:style w:type="character" w:customStyle="1" w:styleId="17">
    <w:name w:val="标题 1 Char"/>
    <w:basedOn w:val="15"/>
    <w:link w:val="2"/>
    <w:uiPriority w:val="9"/>
    <w:rPr>
      <w:b/>
      <w:bCs/>
      <w:kern w:val="44"/>
      <w:sz w:val="44"/>
      <w:szCs w:val="44"/>
    </w:rPr>
  </w:style>
  <w:style w:type="character" w:customStyle="1" w:styleId="18">
    <w:name w:val="标题 2 Char"/>
    <w:basedOn w:val="15"/>
    <w:link w:val="3"/>
    <w:semiHidden/>
    <w:uiPriority w:val="9"/>
    <w:rPr>
      <w:rFonts w:ascii="Cambria" w:hAnsi="Cambria" w:eastAsia="宋体" w:cs="Times New Roman"/>
      <w:b/>
      <w:bCs/>
      <w:sz w:val="32"/>
      <w:szCs w:val="32"/>
    </w:rPr>
  </w:style>
  <w:style w:type="character" w:customStyle="1" w:styleId="19">
    <w:name w:val="标题 3 Char"/>
    <w:basedOn w:val="15"/>
    <w:link w:val="4"/>
    <w:semiHidden/>
    <w:uiPriority w:val="9"/>
    <w:rPr>
      <w:b/>
      <w:bCs/>
      <w:sz w:val="32"/>
      <w:szCs w:val="32"/>
    </w:rPr>
  </w:style>
  <w:style w:type="character" w:customStyle="1" w:styleId="20">
    <w:name w:val="标题 4 Char"/>
    <w:basedOn w:val="15"/>
    <w:link w:val="5"/>
    <w:semiHidden/>
    <w:uiPriority w:val="9"/>
    <w:rPr>
      <w:rFonts w:ascii="Cambria" w:hAnsi="Cambria" w:eastAsia="宋体" w:cs="Times New Roman"/>
      <w:b/>
      <w:bCs/>
      <w:sz w:val="28"/>
      <w:szCs w:val="28"/>
    </w:rPr>
  </w:style>
  <w:style w:type="character" w:customStyle="1" w:styleId="21">
    <w:name w:val="日期 Char"/>
    <w:basedOn w:val="15"/>
    <w:link w:val="7"/>
    <w:semiHidden/>
    <w:uiPriority w:val="99"/>
    <w:rPr>
      <w:szCs w:val="24"/>
    </w:rPr>
  </w:style>
  <w:style w:type="character" w:customStyle="1" w:styleId="22">
    <w:name w:val="批注框文本 Char"/>
    <w:basedOn w:val="15"/>
    <w:link w:val="8"/>
    <w:semiHidden/>
    <w:uiPriority w:val="99"/>
    <w:rPr>
      <w:sz w:val="0"/>
      <w:szCs w:val="0"/>
    </w:rPr>
  </w:style>
  <w:style w:type="character" w:customStyle="1" w:styleId="23">
    <w:name w:val="页脚 Char"/>
    <w:basedOn w:val="15"/>
    <w:link w:val="9"/>
    <w:semiHidden/>
    <w:uiPriority w:val="99"/>
    <w:rPr>
      <w:sz w:val="18"/>
      <w:szCs w:val="18"/>
    </w:rPr>
  </w:style>
  <w:style w:type="character" w:customStyle="1" w:styleId="24">
    <w:name w:val="页眉 Char"/>
    <w:basedOn w:val="15"/>
    <w:link w:val="10"/>
    <w:semiHidden/>
    <w:uiPriority w:val="99"/>
    <w:rPr>
      <w:sz w:val="18"/>
      <w:szCs w:val="18"/>
    </w:rPr>
  </w:style>
  <w:style w:type="character" w:customStyle="1" w:styleId="25">
    <w:name w:val="副标题 Char"/>
    <w:basedOn w:val="15"/>
    <w:link w:val="11"/>
    <w:uiPriority w:val="11"/>
    <w:rPr>
      <w:rFonts w:ascii="Cambria" w:hAnsi="Cambria" w:cs="Times New Roman"/>
      <w:b/>
      <w:bCs/>
      <w:kern w:val="28"/>
      <w:sz w:val="32"/>
      <w:szCs w:val="32"/>
    </w:rPr>
  </w:style>
  <w:style w:type="character" w:customStyle="1" w:styleId="26">
    <w:name w:val="标题 Char"/>
    <w:basedOn w:val="15"/>
    <w:link w:val="12"/>
    <w:uiPriority w:val="10"/>
    <w:rPr>
      <w:rFonts w:ascii="Cambria" w:hAnsi="Cambria" w:cs="Times New Roman"/>
      <w:b/>
      <w:bCs/>
      <w:sz w:val="32"/>
      <w:szCs w:val="32"/>
    </w:rPr>
  </w:style>
  <w:style w:type="paragraph" w:customStyle="1" w:styleId="27">
    <w:name w:val="无间隔1"/>
    <w:uiPriority w:val="99"/>
    <w:pPr>
      <w:spacing w:after="160" w:line="480" w:lineRule="auto"/>
    </w:pPr>
    <w:rPr>
      <w:rFonts w:ascii="Cambria" w:hAnsi="Cambria" w:eastAsia="黑体" w:cs="Times New Roman"/>
      <w:sz w:val="22"/>
      <w:szCs w:val="22"/>
      <w:lang w:val="en-US" w:eastAsia="zh-CN" w:bidi="ar-SA"/>
    </w:rPr>
  </w:style>
  <w:style w:type="character" w:customStyle="1" w:styleId="28">
    <w:name w:val="Style1"/>
    <w:basedOn w:val="15"/>
    <w:uiPriority w:val="99"/>
    <w:rPr>
      <w:rFonts w:ascii="Cambria" w:hAnsi="Cambria" w:eastAsia="黑体" w:cs="Times New Roman"/>
      <w:sz w:val="22"/>
      <w:szCs w:val="22"/>
      <w:lang w:eastAsia="zh-CN"/>
    </w:rPr>
  </w:style>
  <w:style w:type="character" w:customStyle="1" w:styleId="29">
    <w:name w:val="Style2"/>
    <w:basedOn w:val="15"/>
    <w:uiPriority w:val="99"/>
    <w:rPr>
      <w:rFonts w:ascii="Cambria" w:hAnsi="Cambria" w:eastAsia="黑体" w:cs="Times New Roman"/>
      <w:sz w:val="22"/>
      <w:szCs w:val="22"/>
      <w:lang w:eastAsia="zh-CN"/>
    </w:rPr>
  </w:style>
  <w:style w:type="character" w:customStyle="1" w:styleId="30">
    <w:name w:val="Style3"/>
    <w:basedOn w:val="15"/>
    <w:uiPriority w:val="99"/>
    <w:rPr>
      <w:rFonts w:ascii="Cambria" w:hAnsi="Cambria" w:eastAsia="黑体" w:cs="Times New Roman"/>
      <w:sz w:val="22"/>
      <w:szCs w:val="22"/>
      <w:lang w:eastAsia="zh-CN"/>
    </w:rPr>
  </w:style>
  <w:style w:type="character" w:customStyle="1" w:styleId="31">
    <w:name w:val="Style4"/>
    <w:basedOn w:val="15"/>
    <w:uiPriority w:val="99"/>
    <w:rPr>
      <w:rFonts w:ascii="Cambria" w:hAnsi="Cambria" w:eastAsia="黑体" w:cs="Times New Roman"/>
      <w:sz w:val="22"/>
      <w:szCs w:val="22"/>
      <w:lang w:eastAsia="zh-CN"/>
    </w:rPr>
  </w:style>
  <w:style w:type="character" w:customStyle="1" w:styleId="32">
    <w:name w:val="Style5"/>
    <w:basedOn w:val="15"/>
    <w:uiPriority w:val="99"/>
    <w:rPr>
      <w:rFonts w:ascii="Cambria" w:hAnsi="Cambria" w:eastAsia="黑体" w:cs="Times New Roman"/>
      <w:sz w:val="22"/>
      <w:szCs w:val="22"/>
      <w:lang w:eastAsia="zh-CN"/>
    </w:rPr>
  </w:style>
  <w:style w:type="paragraph" w:customStyle="1" w:styleId="33">
    <w:name w:val="列出段落1"/>
    <w:basedOn w:val="1"/>
    <w:uiPriority w:val="99"/>
    <w:pPr>
      <w:ind w:firstLine="200" w:firstLineChars="200"/>
    </w:pPr>
  </w:style>
  <w:style w:type="character" w:customStyle="1" w:styleId="34">
    <w:name w:val="批注文字 Char"/>
    <w:basedOn w:val="15"/>
    <w:link w:val="6"/>
    <w:semiHidden/>
    <w:uiPriority w:val="99"/>
    <w:rPr>
      <w:szCs w:val="24"/>
    </w:rPr>
  </w:style>
  <w:style w:type="character" w:customStyle="1" w:styleId="35">
    <w:name w:val="批注主题 Char"/>
    <w:basedOn w:val="34"/>
    <w:link w:val="13"/>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4319</Words>
  <Characters>4615</Characters>
  <Lines>33</Lines>
  <Paragraphs>9</Paragraphs>
  <TotalTime>369</TotalTime>
  <ScaleCrop>false</ScaleCrop>
  <LinksUpToDate>false</LinksUpToDate>
  <CharactersWithSpaces>4630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2024-05-21T08:39:54Z</dcterms:modified>
  <dc:subject>石家庄市xxx部门</dc:subject>
  <dc:title>2017年度部门决算</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18077234CC8340B19FD88D689B1D4A6C_12</vt:lpwstr>
  </property>
</Properties>
</file>