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广阳区消防救援大队</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广阳区消防救援大队</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根据《廊坊市广阳区消防救援大队职能配置、内设机构和人员编制规定》，廊坊市广阳区消防救援大队的主要职责是：</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政治工作：负责上传下达政治工作文件；组织各种政治活动；定期组织思想教育、理论学习。</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后勤保障：负责单位的人事、财务、资产和被装管理工作。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防火监督检查：负责上级部门指派的专项检查工作；日常“双随机、一公</w:t>
      </w:r>
      <w:bookmarkStart w:id="3" w:name="_GoBack"/>
      <w:bookmarkEnd w:id="3"/>
      <w:r>
        <w:rPr>
          <w:rFonts w:hint="eastAsia" w:ascii="Times New Roman" w:hAnsi="Times New Roman" w:eastAsia="仿宋_GB2312" w:cs="Times New Roman"/>
          <w:sz w:val="32"/>
          <w:szCs w:val="32"/>
        </w:rPr>
        <w:t>开”监督检查工作；收发公文；负责有关重要会议的组织和各种报告、文件、管理制度的起草；负责单位督办、机要、保密、文印、公文处理、档案管理工作。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火调检查：负责现场勘查、询问工作；调查取证、技术鉴定、损失统计、火灾认定，出具法律文书等工作。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宣传培训：负责对辖区社会单位的消防宣传教育培训。</w:t>
      </w: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1"/>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6"/>
        <w:gridCol w:w="1441"/>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36"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41"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36"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c>
          <w:tcPr>
            <w:tcW w:w="1441"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c>
          <w:tcPr>
            <w:tcW w:w="2902"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3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廊坊市广阳区消防救援队</w:t>
            </w:r>
          </w:p>
        </w:tc>
        <w:tc>
          <w:tcPr>
            <w:tcW w:w="14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广阳区消防救援大队</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广阳区消防救援大队2022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120.82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120.82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消防文员人员经费和消防业务经费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万元；公务用车购置及运维费0万元（其中：公务用车购置费为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万元，公务用车运维费0万元)；公务接待费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14:textFill>
            <w14:solidFill>
              <w14:schemeClr w14:val="tx1"/>
            </w14:solidFill>
          </w14:textFill>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2"/>
        <w:rPr>
          <w:rFonts w:ascii="仿宋_GB2312" w:eastAsia="仿宋_GB2312" w:cs="仿宋_GB2312"/>
          <w:sz w:val="32"/>
          <w:szCs w:val="32"/>
        </w:rPr>
      </w:pPr>
      <w:r>
        <w:rPr>
          <w:rFonts w:hint="eastAsia" w:ascii="仿宋_GB2312" w:eastAsia="仿宋_GB2312" w:cs="仿宋_GB2312"/>
          <w:sz w:val="32"/>
          <w:szCs w:val="32"/>
        </w:rPr>
        <w:t>全力做好改革转隶后“全灾种、大应急”的消防救援工作，确保灭火救援的顺利进行，保障本单位消防文员的工资待遇，满足正常工作需求，</w:t>
      </w:r>
      <w:r>
        <w:rPr>
          <w:rFonts w:hint="eastAsia" w:ascii="仿宋_GB2312" w:eastAsia="仿宋_GB2312" w:cs="仿宋_GB2312"/>
          <w:sz w:val="32"/>
          <w:szCs w:val="32"/>
          <w:lang w:eastAsia="zh-CN"/>
        </w:rPr>
        <w:t>能够更好地</w:t>
      </w:r>
      <w:r>
        <w:rPr>
          <w:rFonts w:hint="eastAsia" w:ascii="仿宋_GB2312" w:eastAsia="仿宋_GB2312" w:cs="仿宋_GB2312"/>
          <w:sz w:val="32"/>
          <w:szCs w:val="32"/>
        </w:rPr>
        <w:t>完成工作任务。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3"/>
        <w:rPr>
          <w:sz w:val="32"/>
          <w:szCs w:val="24"/>
        </w:rPr>
      </w:pPr>
      <w:r>
        <w:rPr>
          <w:rFonts w:hint="eastAsia"/>
          <w:sz w:val="32"/>
          <w:szCs w:val="24"/>
        </w:rPr>
        <w:t>1</w:t>
      </w:r>
      <w:r>
        <w:rPr>
          <w:sz w:val="32"/>
          <w:szCs w:val="24"/>
        </w:rPr>
        <w:t>、</w:t>
      </w:r>
      <w:r>
        <w:rPr>
          <w:rFonts w:hint="eastAsia" w:ascii="仿宋_GB2312" w:eastAsia="仿宋_GB2312" w:cs="仿宋_GB2312"/>
          <w:sz w:val="32"/>
          <w:szCs w:val="24"/>
        </w:rPr>
        <w:t>消防文员人员经费</w:t>
      </w:r>
    </w:p>
    <w:p>
      <w:pPr>
        <w:pStyle w:val="23"/>
        <w:rPr>
          <w:rFonts w:ascii="仿宋_GB2312" w:eastAsia="仿宋_GB2312" w:cs="仿宋_GB2312"/>
          <w:sz w:val="32"/>
          <w:szCs w:val="24"/>
        </w:rPr>
      </w:pPr>
      <w:r>
        <w:rPr>
          <w:rFonts w:hint="eastAsia" w:ascii="仿宋_GB2312" w:eastAsia="仿宋_GB2312" w:cs="仿宋_GB2312"/>
          <w:sz w:val="32"/>
          <w:szCs w:val="24"/>
        </w:rPr>
        <w:t>绩效目标：按时足额发放工资、绩效、被装、保险（缴纳）等，保障这些消防文员的工资待遇，满足正常工作需求，能够更好地完成任务，激发消防队伍工作热情，从而达到社会效益的实现。</w:t>
      </w:r>
    </w:p>
    <w:p>
      <w:pPr>
        <w:pStyle w:val="23"/>
        <w:rPr>
          <w:rFonts w:ascii="仿宋_GB2312" w:eastAsia="仿宋_GB2312" w:cs="仿宋_GB2312"/>
          <w:sz w:val="32"/>
          <w:szCs w:val="24"/>
        </w:rPr>
      </w:pPr>
      <w:r>
        <w:rPr>
          <w:rFonts w:hint="eastAsia" w:ascii="仿宋_GB2312" w:eastAsia="仿宋_GB2312" w:cs="仿宋_GB2312"/>
          <w:sz w:val="32"/>
          <w:szCs w:val="24"/>
        </w:rPr>
        <w:t>绩效指标：包括保障人数；工资发放精准性；工资发放及时性； 工资、社保等发放（缴纳）标准；保持队伍稳定性；服务人员满意度。</w:t>
      </w:r>
    </w:p>
    <w:p>
      <w:pPr>
        <w:pStyle w:val="23"/>
        <w:rPr>
          <w:rFonts w:ascii="仿宋_GB2312" w:eastAsia="仿宋_GB2312" w:cs="仿宋_GB2312"/>
          <w:sz w:val="32"/>
          <w:szCs w:val="24"/>
        </w:rPr>
      </w:pPr>
      <w:r>
        <w:rPr>
          <w:rFonts w:hint="eastAsia" w:ascii="仿宋_GB2312" w:eastAsia="仿宋_GB2312" w:cs="仿宋_GB2312"/>
          <w:sz w:val="32"/>
          <w:szCs w:val="24"/>
        </w:rPr>
        <w:t>2、专项业务经费</w:t>
      </w:r>
    </w:p>
    <w:p>
      <w:pPr>
        <w:pStyle w:val="23"/>
        <w:rPr>
          <w:rFonts w:ascii="仿宋_GB2312" w:eastAsia="仿宋_GB2312" w:cs="仿宋_GB2312"/>
          <w:sz w:val="32"/>
          <w:szCs w:val="24"/>
        </w:rPr>
      </w:pPr>
      <w:r>
        <w:rPr>
          <w:rFonts w:hint="eastAsia" w:ascii="仿宋_GB2312" w:eastAsia="仿宋_GB2312" w:cs="仿宋_GB2312"/>
          <w:sz w:val="32"/>
          <w:szCs w:val="24"/>
        </w:rPr>
        <w:t>绩效目标：做好经费保障工作，保障办公正常运转。</w:t>
      </w:r>
    </w:p>
    <w:p>
      <w:pPr>
        <w:pStyle w:val="23"/>
        <w:rPr>
          <w:rFonts w:ascii="仿宋_GB2312" w:eastAsia="仿宋_GB2312" w:cs="仿宋_GB2312"/>
        </w:rPr>
      </w:pPr>
      <w:r>
        <w:rPr>
          <w:rFonts w:hint="eastAsia" w:ascii="仿宋_GB2312" w:eastAsia="仿宋_GB2312" w:cs="仿宋_GB2312"/>
          <w:sz w:val="32"/>
          <w:szCs w:val="24"/>
        </w:rPr>
        <w:t>绩效指标：包括保障办公人数；运转保障率；经费保障及时性；日  常公用经费开支标准；保障日常办公需求，维持单位正常运转；单位在位人员满意度。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4"/>
        <w:rPr>
          <w:rFonts w:ascii="仿宋_GB2312" w:eastAsia="仿宋_GB2312" w:cs="仿宋_GB2312"/>
          <w:sz w:val="32"/>
          <w:szCs w:val="24"/>
        </w:rPr>
      </w:pPr>
      <w:r>
        <w:rPr>
          <w:rFonts w:hint="eastAsia" w:ascii="仿宋_GB2312" w:eastAsia="仿宋_GB2312" w:cs="仿宋_GB2312"/>
          <w:sz w:val="32"/>
          <w:szCs w:val="24"/>
        </w:rPr>
        <w:t>我单位为实现年度绩效目标，采取各项重要措施。包括以下几方面：</w:t>
      </w:r>
    </w:p>
    <w:p>
      <w:pPr>
        <w:pStyle w:val="24"/>
        <w:rPr>
          <w:rFonts w:ascii="仿宋_GB2312" w:eastAsia="仿宋_GB2312" w:cs="仿宋_GB2312"/>
          <w:sz w:val="32"/>
          <w:szCs w:val="24"/>
        </w:rPr>
      </w:pPr>
      <w:r>
        <w:rPr>
          <w:rFonts w:hint="eastAsia" w:ascii="仿宋_GB2312" w:eastAsia="仿宋_GB2312" w:cs="仿宋_GB2312"/>
          <w:sz w:val="32"/>
          <w:szCs w:val="24"/>
        </w:rPr>
        <w:t>1、完善制度建设：遵照《消防救援队伍基层单位财务管理规定（试行）》应急消【2019】320号执行</w:t>
      </w:r>
    </w:p>
    <w:p>
      <w:pPr>
        <w:pStyle w:val="24"/>
        <w:rPr>
          <w:rFonts w:ascii="仿宋_GB2312" w:eastAsia="仿宋_GB2312" w:cs="仿宋_GB2312"/>
          <w:sz w:val="32"/>
          <w:szCs w:val="24"/>
        </w:rPr>
      </w:pPr>
      <w:r>
        <w:rPr>
          <w:rFonts w:hint="eastAsia" w:ascii="仿宋_GB2312" w:eastAsia="仿宋_GB2312" w:cs="仿宋_GB2312"/>
          <w:sz w:val="32"/>
          <w:szCs w:val="24"/>
        </w:rPr>
        <w:t>2、加强支出管理：根据《河北省消防救援队伍经费资产审批管理规定》加强审批流程；</w:t>
      </w:r>
    </w:p>
    <w:p>
      <w:pPr>
        <w:pStyle w:val="24"/>
        <w:rPr>
          <w:rFonts w:ascii="仿宋_GB2312" w:eastAsia="仿宋_GB2312" w:cs="仿宋_GB2312"/>
          <w:sz w:val="32"/>
          <w:szCs w:val="24"/>
        </w:rPr>
      </w:pPr>
      <w:r>
        <w:rPr>
          <w:rFonts w:hint="eastAsia" w:ascii="仿宋_GB2312" w:eastAsia="仿宋_GB2312" w:cs="仿宋_GB2312"/>
          <w:sz w:val="32"/>
          <w:szCs w:val="24"/>
        </w:rPr>
        <w:t>3、加强绩效运行监控制定绩效运行目标，并严格执行；</w:t>
      </w:r>
    </w:p>
    <w:p>
      <w:pPr>
        <w:pStyle w:val="24"/>
        <w:rPr>
          <w:rFonts w:ascii="仿宋_GB2312" w:eastAsia="仿宋_GB2312" w:cs="仿宋_GB2312"/>
          <w:sz w:val="32"/>
          <w:szCs w:val="24"/>
        </w:rPr>
      </w:pPr>
      <w:r>
        <w:rPr>
          <w:rFonts w:hint="eastAsia" w:ascii="仿宋_GB2312" w:eastAsia="仿宋_GB2312" w:cs="仿宋_GB2312"/>
          <w:sz w:val="32"/>
          <w:szCs w:val="24"/>
        </w:rPr>
        <w:t>4、做好绩效自评工作；</w:t>
      </w:r>
    </w:p>
    <w:p>
      <w:pPr>
        <w:pStyle w:val="24"/>
        <w:rPr>
          <w:rFonts w:ascii="仿宋_GB2312" w:eastAsia="仿宋_GB2312" w:cs="仿宋_GB2312"/>
          <w:sz w:val="32"/>
          <w:szCs w:val="24"/>
        </w:rPr>
      </w:pPr>
      <w:r>
        <w:rPr>
          <w:rFonts w:hint="eastAsia" w:ascii="仿宋_GB2312" w:eastAsia="仿宋_GB2312" w:cs="仿宋_GB2312"/>
          <w:sz w:val="32"/>
          <w:szCs w:val="24"/>
        </w:rPr>
        <w:t>5、规范财务资产管理：制定政府采购内部控制制度；</w:t>
      </w:r>
    </w:p>
    <w:p>
      <w:pPr>
        <w:pStyle w:val="24"/>
        <w:rPr>
          <w:rFonts w:ascii="仿宋_GB2312" w:eastAsia="仿宋_GB2312" w:cs="仿宋_GB2312"/>
          <w:sz w:val="32"/>
          <w:szCs w:val="24"/>
        </w:rPr>
      </w:pPr>
      <w:r>
        <w:rPr>
          <w:rFonts w:hint="eastAsia" w:ascii="仿宋_GB2312" w:eastAsia="仿宋_GB2312" w:cs="仿宋_GB2312"/>
          <w:sz w:val="32"/>
          <w:szCs w:val="24"/>
        </w:rPr>
        <w:t>6、加强内部监督，开展考核工作；</w:t>
      </w:r>
    </w:p>
    <w:p>
      <w:pPr>
        <w:pStyle w:val="24"/>
        <w:rPr>
          <w:rFonts w:ascii="仿宋_GB2312" w:eastAsia="仿宋_GB2312" w:cs="仿宋_GB2312"/>
        </w:rPr>
      </w:pPr>
      <w:r>
        <w:rPr>
          <w:rFonts w:hint="eastAsia" w:ascii="仿宋_GB2312" w:eastAsia="仿宋_GB2312" w:cs="仿宋_GB2312"/>
          <w:sz w:val="32"/>
          <w:szCs w:val="24"/>
        </w:rPr>
        <w:t>7、加强宣传培训调研等。</w:t>
      </w: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99"/>
        <w:gridCol w:w="1072"/>
        <w:gridCol w:w="1111"/>
        <w:gridCol w:w="3942"/>
        <w:gridCol w:w="2637"/>
        <w:gridCol w:w="674"/>
        <w:gridCol w:w="735"/>
        <w:gridCol w:w="109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7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一级指标</w:t>
            </w:r>
          </w:p>
        </w:tc>
        <w:tc>
          <w:tcPr>
            <w:tcW w:w="38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二级</w:t>
            </w:r>
          </w:p>
          <w:p>
            <w:pPr>
              <w:widowControl/>
              <w:adjustRightInd w:val="0"/>
              <w:snapToGrid w:val="0"/>
              <w:spacing w:line="340" w:lineRule="exact"/>
              <w:jc w:val="left"/>
              <w:rPr>
                <w:rFonts w:ascii="方正书宋_GBK" w:eastAsia="方正书宋_GBK"/>
                <w:b/>
              </w:rPr>
            </w:pPr>
            <w:r>
              <w:rPr>
                <w:rFonts w:ascii="方正书宋_GBK" w:eastAsia="方正书宋_GBK"/>
                <w:b/>
              </w:rPr>
              <w:t>指标</w:t>
            </w:r>
          </w:p>
        </w:tc>
        <w:tc>
          <w:tcPr>
            <w:tcW w:w="397"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三级</w:t>
            </w:r>
          </w:p>
          <w:p>
            <w:pPr>
              <w:widowControl/>
              <w:adjustRightInd w:val="0"/>
              <w:snapToGrid w:val="0"/>
              <w:spacing w:line="340" w:lineRule="exact"/>
              <w:jc w:val="left"/>
              <w:rPr>
                <w:rFonts w:ascii="方正书宋_GBK" w:eastAsia="方正书宋_GBK"/>
                <w:b/>
              </w:rPr>
            </w:pPr>
            <w:r>
              <w:rPr>
                <w:rFonts w:ascii="方正书宋_GBK" w:eastAsia="方正书宋_GBK"/>
                <w:b/>
              </w:rPr>
              <w:t>指标</w:t>
            </w:r>
          </w:p>
        </w:tc>
        <w:tc>
          <w:tcPr>
            <w:tcW w:w="1409"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评（扣）分标准</w:t>
            </w:r>
          </w:p>
        </w:tc>
        <w:tc>
          <w:tcPr>
            <w:tcW w:w="94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绩效指标</w:t>
            </w:r>
          </w:p>
          <w:p>
            <w:pPr>
              <w:widowControl/>
              <w:adjustRightInd w:val="0"/>
              <w:snapToGrid w:val="0"/>
              <w:spacing w:line="340" w:lineRule="exact"/>
              <w:jc w:val="left"/>
              <w:rPr>
                <w:rFonts w:ascii="方正书宋_GBK" w:eastAsia="方正书宋_GBK"/>
                <w:b/>
              </w:rPr>
            </w:pPr>
            <w:r>
              <w:rPr>
                <w:rFonts w:ascii="方正书宋_GBK" w:eastAsia="方正书宋_GBK"/>
                <w:b/>
              </w:rPr>
              <w:t>描述</w:t>
            </w:r>
          </w:p>
        </w:tc>
        <w:tc>
          <w:tcPr>
            <w:tcW w:w="89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指标值</w:t>
            </w:r>
          </w:p>
        </w:tc>
        <w:tc>
          <w:tcPr>
            <w:tcW w:w="79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指标值</w:t>
            </w:r>
          </w:p>
          <w:p>
            <w:pPr>
              <w:widowControl/>
              <w:adjustRightInd w:val="0"/>
              <w:snapToGrid w:val="0"/>
              <w:spacing w:line="340" w:lineRule="exact"/>
              <w:jc w:val="left"/>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38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397"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140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94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241"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符号</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值</w:t>
            </w:r>
          </w:p>
        </w:tc>
        <w:tc>
          <w:tcPr>
            <w:tcW w:w="38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单位</w:t>
            </w:r>
          </w:p>
        </w:tc>
        <w:tc>
          <w:tcPr>
            <w:tcW w:w="79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7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ascii="仿宋" w:hAnsi="仿宋" w:eastAsia="仿宋"/>
                <w:szCs w:val="21"/>
              </w:rPr>
              <w:t>部门产出</w:t>
            </w: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ascii="仿宋" w:hAnsi="仿宋" w:eastAsia="仿宋"/>
                <w:szCs w:val="21"/>
              </w:rPr>
              <w:t>数量</w:t>
            </w:r>
          </w:p>
        </w:tc>
        <w:tc>
          <w:tcPr>
            <w:tcW w:w="397"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保障执行人数</w:t>
            </w:r>
          </w:p>
        </w:tc>
        <w:tc>
          <w:tcPr>
            <w:tcW w:w="140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按目标人数发放得10分，未达标扣5分</w:t>
            </w:r>
          </w:p>
        </w:tc>
        <w:tc>
          <w:tcPr>
            <w:tcW w:w="94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保障执行经费人数</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112</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人</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ascii="仿宋" w:hAnsi="仿宋" w:eastAsia="仿宋"/>
                <w:szCs w:val="21"/>
              </w:rPr>
              <w:t>质量</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项目绩效目标显示需求相符性</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保障发放人员和数据的精准得20分，否则扣5分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项目所设定的绩效是否符合客观实际、现实需求</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实现</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时效</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项目资金支出进度</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按规定发放得10分，未及时发放扣1分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项目资金拨付支出是否及时</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及时</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成本</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项目资金到位率</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按规定发放、缴纳得20分，否则扣5分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实际到达单位的项目资金额与计划投入资金的比率</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100</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百分比</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部门效果</w:t>
            </w: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社会</w:t>
            </w:r>
          </w:p>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效益</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保存队伍稳定性</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按绩效目标得10分，未完成的，按完成情况酌情递减。</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保持队伍相对稳定性，保证办公正常运转</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保持队伍相对稳定性</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《廊坊市人民政府责任书》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生态</w:t>
            </w:r>
          </w:p>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效益</w:t>
            </w:r>
          </w:p>
        </w:tc>
        <w:tc>
          <w:tcPr>
            <w:tcW w:w="397"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对生态环境的保护作用</w:t>
            </w:r>
          </w:p>
        </w:tc>
        <w:tc>
          <w:tcPr>
            <w:tcW w:w="140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根据天气等其他外部原因提前做好防控</w:t>
            </w:r>
          </w:p>
        </w:tc>
        <w:tc>
          <w:tcPr>
            <w:tcW w:w="94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达到预期保护得10分，未达到酌情扣减</w:t>
            </w:r>
          </w:p>
        </w:tc>
        <w:tc>
          <w:tcPr>
            <w:tcW w:w="241"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较好保护</w:t>
            </w:r>
          </w:p>
        </w:tc>
        <w:tc>
          <w:tcPr>
            <w:tcW w:w="79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自然火灾的减少率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可持续影响</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全区防火防控比率</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按计划完成90%（含）以上，得10分；计划完成80%（含）以上</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计划完成全区防火防控占实际完成率</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80</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百分比</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自然火灾的减少率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满意度</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社会群众满意度</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按满意率达90%（含）以上，得10分；满意度率达80%（含）以上得9分。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调查对象满意人数占全部调查对象比例</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80</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百分比</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调查问卷</w:t>
            </w:r>
          </w:p>
        </w:tc>
      </w:tr>
    </w:tbl>
    <w:p>
      <w:pPr>
        <w:widowControl/>
        <w:adjustRightInd w:val="0"/>
        <w:snapToGrid w:val="0"/>
        <w:jc w:val="center"/>
        <w:rPr>
          <w:rFonts w:ascii="方正书宋_GBK" w:eastAsia="方正书宋_GBK"/>
        </w:rPr>
      </w:pPr>
    </w:p>
    <w:p>
      <w:pPr>
        <w:rPr>
          <w:rFonts w:ascii="黑体" w:hAnsi="黑体" w:eastAsia="黑体"/>
          <w:sz w:val="32"/>
          <w:szCs w:val="36"/>
        </w:rPr>
      </w:pPr>
      <w:r>
        <w:rPr>
          <w:rFonts w:hint="eastAsia" w:ascii="黑体" w:hAnsi="黑体" w:eastAsia="黑体"/>
          <w:sz w:val="32"/>
          <w:szCs w:val="36"/>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消防文员人员经费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11"/>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shd w:val="clear" w:color="auto" w:fill="auto"/>
            <w:noWrap/>
            <w:vAlign w:val="center"/>
          </w:tcPr>
          <w:p>
            <w:pPr>
              <w:pStyle w:val="17"/>
              <w:spacing w:line="440" w:lineRule="exact"/>
              <w:rPr>
                <w:rFonts w:ascii="仿宋_GB2312" w:eastAsia="仿宋_GB2312" w:cs="仿宋_GB2312"/>
              </w:rPr>
            </w:pPr>
            <w:r>
              <w:rPr>
                <w:rFonts w:hint="eastAsia" w:ascii="仿宋_GB2312" w:eastAsia="仿宋_GB2312" w:cs="仿宋_GB2312"/>
              </w:rPr>
              <w:t>1.目标内容1按时足额发放（缴纳）工资、保险、被装等，保障消防文员的工资待遇，从而达到社会效益的实现。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保障人数</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消防文员保障人数情况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39人</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《廊坊市人民政府责任书》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工资发放精准性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工资发放人员范围和数据的精准性</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100百分比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《廊坊市专职消防队伍建设管理办法》［2017］22号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工资发放及时性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工资发放的时效情况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按规定时间发放</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按规定时间发放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成本指标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工资、社保等发放（缴纳）标准</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工资、社保等发放（缴纳）标准情况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按规定执行</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保持队伍稳定</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保持队伍稳定性，保证办公正常运转</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保持队伍相对稳定性</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《廊坊市人民政府责任书》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单位人员满意度</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单位人员满意度情况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≥95百分比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走访调查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消防业务经费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11"/>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shd w:val="clear" w:color="auto" w:fill="auto"/>
            <w:noWrap/>
            <w:vAlign w:val="center"/>
          </w:tcPr>
          <w:p>
            <w:pPr>
              <w:pStyle w:val="17"/>
              <w:spacing w:line="440" w:lineRule="exact"/>
              <w:rPr>
                <w:rFonts w:ascii="Times New Roman" w:hAnsi="Times New Roman" w:cs="Times New Roman"/>
                <w:b/>
                <w:lang w:eastAsia="zh-CN"/>
              </w:rPr>
            </w:pPr>
            <w:r>
              <w:rPr>
                <w:rFonts w:hint="eastAsia" w:ascii="仿宋_GB2312" w:eastAsia="仿宋_GB2312" w:cs="仿宋_GB2312"/>
              </w:rPr>
              <w:t>1.做好保障工作，保障办公正常运转。2.保障日常办公需要，维持单位正常运转。3.做好保障工作，完成上级下达任务</w:t>
            </w:r>
            <w:r>
              <w:rPr>
                <w:rFonts w:hint="eastAsia" w:ascii="仿宋_GB2312" w:eastAsia="仿宋_GB2312" w:cs="仿宋_GB231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保障办公人数</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保障办公人数</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≤112人</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实际在位人数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运转保障率</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各项日常工作保障率</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100百分比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支队、总队、政府下发的任务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经费保障及时性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及时保障各项办公需要</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及时保障</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财政资金及时到位保障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保障单位日常办公需要</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保障单位日常办公需要情况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维持单位正常运转</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支队、总队、政府下达任务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单位在位人员满意度</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单位在位人员满意度情况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≥80百分比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调查问卷</w:t>
            </w:r>
          </w:p>
        </w:tc>
      </w:tr>
    </w:tbl>
    <w:p>
      <w:pPr>
        <w:autoSpaceDE w:val="0"/>
        <w:autoSpaceDN w:val="0"/>
        <w:adjustRightInd w:val="0"/>
        <w:spacing w:line="584" w:lineRule="exact"/>
        <w:ind w:firstLine="880" w:firstLineChars="200"/>
        <w:jc w:val="center"/>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rPr>
        <w:t>[</w:t>
      </w:r>
      <w:r>
        <w:t>335001]廊坊市</w:t>
      </w:r>
      <w:r>
        <w:rPr>
          <w:rFonts w:hint="eastAsia"/>
        </w:rPr>
        <w:t>广阳区消防救援大队</w:t>
      </w:r>
      <w:r>
        <w:t xml:space="preserve">                                                                                         单位：万元</w:t>
      </w:r>
    </w:p>
    <w:tbl>
      <w:tblPr>
        <w:tblStyle w:val="11"/>
        <w:tblW w:w="506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755"/>
        <w:gridCol w:w="815"/>
        <w:gridCol w:w="1013"/>
        <w:gridCol w:w="715"/>
        <w:gridCol w:w="413"/>
        <w:gridCol w:w="413"/>
        <w:gridCol w:w="413"/>
        <w:gridCol w:w="1013"/>
        <w:gridCol w:w="815"/>
        <w:gridCol w:w="1211"/>
        <w:gridCol w:w="815"/>
        <w:gridCol w:w="815"/>
        <w:gridCol w:w="1013"/>
        <w:gridCol w:w="1507"/>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559" w:type="pct"/>
            <w:gridSpan w:val="2"/>
            <w:tcBorders>
              <w:top w:val="single" w:color="000000" w:sz="6" w:space="0"/>
              <w:left w:val="single" w:color="000000" w:sz="6" w:space="0"/>
              <w:bottom w:val="single" w:color="000000" w:sz="6" w:space="0"/>
              <w:right w:val="single" w:color="000000" w:sz="6" w:space="0"/>
            </w:tcBorders>
            <w:noWrap/>
            <w:vAlign w:val="center"/>
          </w:tcPr>
          <w:p>
            <w:pPr>
              <w:pStyle w:val="15"/>
            </w:pPr>
            <w:r>
              <w:t>政府采购项目来源</w:t>
            </w:r>
          </w:p>
        </w:tc>
        <w:tc>
          <w:tcPr>
            <w:tcW w:w="284"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采购物品名称</w:t>
            </w:r>
          </w:p>
        </w:tc>
        <w:tc>
          <w:tcPr>
            <w:tcW w:w="353"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政府采购目录序号</w:t>
            </w:r>
          </w:p>
        </w:tc>
        <w:tc>
          <w:tcPr>
            <w:tcW w:w="249"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计量  单位</w:t>
            </w:r>
          </w:p>
        </w:tc>
        <w:tc>
          <w:tcPr>
            <w:tcW w:w="144"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数量</w:t>
            </w:r>
          </w:p>
        </w:tc>
        <w:tc>
          <w:tcPr>
            <w:tcW w:w="144"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单价</w:t>
            </w:r>
          </w:p>
        </w:tc>
        <w:tc>
          <w:tcPr>
            <w:tcW w:w="2647" w:type="pct"/>
            <w:gridSpan w:val="8"/>
            <w:tcBorders>
              <w:top w:val="single" w:color="000000" w:sz="6" w:space="0"/>
              <w:left w:val="single" w:color="000000" w:sz="6" w:space="0"/>
              <w:bottom w:val="single" w:color="000000" w:sz="6" w:space="0"/>
              <w:right w:val="single" w:color="000000" w:sz="6" w:space="0"/>
            </w:tcBorders>
            <w:noWrap/>
            <w:vAlign w:val="center"/>
          </w:tcPr>
          <w:p>
            <w:pPr>
              <w:pStyle w:val="15"/>
            </w:pPr>
            <w:r>
              <w:t>政府采购金额（当年部门预算安排资金）</w:t>
            </w:r>
          </w:p>
        </w:tc>
        <w:tc>
          <w:tcPr>
            <w:tcW w:w="620"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6" w:type="pct"/>
            <w:tcBorders>
              <w:top w:val="single" w:color="000000" w:sz="6" w:space="0"/>
              <w:left w:val="single" w:color="000000" w:sz="6" w:space="0"/>
              <w:bottom w:val="single" w:color="000000" w:sz="6" w:space="0"/>
              <w:right w:val="single" w:color="000000" w:sz="6" w:space="0"/>
            </w:tcBorders>
            <w:noWrap/>
            <w:vAlign w:val="center"/>
          </w:tcPr>
          <w:p>
            <w:pPr>
              <w:pStyle w:val="15"/>
            </w:pPr>
            <w:r>
              <w:t>项目名称</w:t>
            </w:r>
          </w:p>
        </w:tc>
        <w:tc>
          <w:tcPr>
            <w:tcW w:w="263" w:type="pct"/>
            <w:tcBorders>
              <w:top w:val="single" w:color="000000" w:sz="6" w:space="0"/>
              <w:left w:val="single" w:color="000000" w:sz="6" w:space="0"/>
              <w:bottom w:val="single" w:color="000000" w:sz="6" w:space="0"/>
              <w:right w:val="single" w:color="000000" w:sz="6" w:space="0"/>
            </w:tcBorders>
            <w:noWrap/>
            <w:vAlign w:val="center"/>
          </w:tcPr>
          <w:p>
            <w:pPr>
              <w:pStyle w:val="15"/>
            </w:pPr>
            <w:r>
              <w:t>预算    资金</w:t>
            </w:r>
          </w:p>
        </w:tc>
        <w:tc>
          <w:tcPr>
            <w:tcW w:w="284" w:type="pct"/>
            <w:vMerge w:val="continue"/>
            <w:tcBorders>
              <w:top w:val="single" w:color="000000" w:sz="6" w:space="0"/>
              <w:left w:val="single" w:color="000000" w:sz="6" w:space="0"/>
              <w:bottom w:val="single" w:color="000000" w:sz="6" w:space="0"/>
              <w:right w:val="single" w:color="000000" w:sz="6" w:space="0"/>
            </w:tcBorders>
            <w:noWrap/>
          </w:tcPr>
          <w:p/>
        </w:tc>
        <w:tc>
          <w:tcPr>
            <w:tcW w:w="353" w:type="pct"/>
            <w:vMerge w:val="continue"/>
            <w:tcBorders>
              <w:top w:val="single" w:color="000000" w:sz="6" w:space="0"/>
              <w:left w:val="single" w:color="000000" w:sz="6" w:space="0"/>
              <w:bottom w:val="single" w:color="000000" w:sz="6" w:space="0"/>
              <w:right w:val="single" w:color="000000" w:sz="6" w:space="0"/>
            </w:tcBorders>
            <w:noWrap/>
          </w:tcPr>
          <w:p/>
        </w:tc>
        <w:tc>
          <w:tcPr>
            <w:tcW w:w="249" w:type="pct"/>
            <w:vMerge w:val="continue"/>
            <w:tcBorders>
              <w:top w:val="single" w:color="000000" w:sz="6" w:space="0"/>
              <w:left w:val="single" w:color="000000" w:sz="6" w:space="0"/>
              <w:bottom w:val="single" w:color="000000" w:sz="6" w:space="0"/>
              <w:right w:val="single" w:color="000000" w:sz="6" w:space="0"/>
            </w:tcBorders>
            <w:noWrap/>
          </w:tcPr>
          <w:p/>
        </w:tc>
        <w:tc>
          <w:tcPr>
            <w:tcW w:w="144" w:type="pct"/>
            <w:vMerge w:val="continue"/>
            <w:tcBorders>
              <w:top w:val="single" w:color="000000" w:sz="6" w:space="0"/>
              <w:left w:val="single" w:color="000000" w:sz="6" w:space="0"/>
              <w:bottom w:val="single" w:color="000000" w:sz="6" w:space="0"/>
              <w:right w:val="single" w:color="000000" w:sz="6" w:space="0"/>
            </w:tcBorders>
            <w:noWrap/>
          </w:tcPr>
          <w:p/>
        </w:tc>
        <w:tc>
          <w:tcPr>
            <w:tcW w:w="144" w:type="pct"/>
            <w:vMerge w:val="continue"/>
            <w:tcBorders>
              <w:top w:val="single" w:color="000000" w:sz="6" w:space="0"/>
              <w:left w:val="single" w:color="000000" w:sz="6" w:space="0"/>
              <w:bottom w:val="single" w:color="000000" w:sz="6" w:space="0"/>
              <w:right w:val="single" w:color="000000" w:sz="6" w:space="0"/>
            </w:tcBorders>
            <w:noWrap/>
          </w:tc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15"/>
            </w:pPr>
            <w:r>
              <w:t>合计</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15"/>
            </w:pPr>
            <w:r>
              <w:t>一般公共预算拨款</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15"/>
            </w:pPr>
            <w:r>
              <w:t>基金预算拨款</w:t>
            </w:r>
          </w:p>
        </w:tc>
        <w:tc>
          <w:tcPr>
            <w:tcW w:w="422" w:type="pct"/>
            <w:tcBorders>
              <w:top w:val="single" w:color="000000" w:sz="6" w:space="0"/>
              <w:left w:val="single" w:color="000000" w:sz="6" w:space="0"/>
              <w:bottom w:val="single" w:color="000000" w:sz="6" w:space="0"/>
              <w:right w:val="single" w:color="000000" w:sz="6" w:space="0"/>
            </w:tcBorders>
            <w:noWrap/>
            <w:vAlign w:val="center"/>
          </w:tcPr>
          <w:p>
            <w:pPr>
              <w:pStyle w:val="15"/>
            </w:pPr>
            <w:r>
              <w:t>国有资本经营预算拨款</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15"/>
            </w:pPr>
            <w:r>
              <w:t>财政专户核拨</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15"/>
            </w:pPr>
            <w:r>
              <w:t>单位    资金</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15"/>
            </w:pPr>
            <w:r>
              <w:t>财政拨    款结转</w:t>
            </w:r>
          </w:p>
        </w:tc>
        <w:tc>
          <w:tcPr>
            <w:tcW w:w="525" w:type="pct"/>
            <w:tcBorders>
              <w:top w:val="single" w:color="000000" w:sz="6" w:space="0"/>
              <w:left w:val="single" w:color="000000" w:sz="6" w:space="0"/>
              <w:bottom w:val="single" w:color="000000" w:sz="6" w:space="0"/>
              <w:right w:val="single" w:color="000000" w:sz="6" w:space="0"/>
            </w:tcBorders>
            <w:noWrap/>
            <w:vAlign w:val="center"/>
          </w:tcPr>
          <w:p>
            <w:pPr>
              <w:pStyle w:val="15"/>
            </w:pPr>
            <w:r>
              <w:t>非财政    拨款结    转结余</w:t>
            </w:r>
          </w:p>
        </w:tc>
        <w:tc>
          <w:tcPr>
            <w:tcW w:w="620" w:type="pct"/>
            <w:vMerge w:val="continue"/>
            <w:tcBorders>
              <w:top w:val="single" w:color="000000" w:sz="6" w:space="0"/>
              <w:left w:val="single" w:color="000000" w:sz="6" w:space="0"/>
              <w:bottom w:val="single" w:color="000000" w:sz="6" w:space="0"/>
              <w:right w:val="single" w:color="000000" w:sz="6" w:space="0"/>
            </w:tcBorders>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6" w:type="pct"/>
            <w:tcBorders>
              <w:top w:val="single" w:color="000000" w:sz="6" w:space="0"/>
              <w:left w:val="single" w:color="000000" w:sz="6" w:space="0"/>
              <w:bottom w:val="single" w:color="000000" w:sz="6" w:space="0"/>
              <w:right w:val="single" w:color="000000" w:sz="6" w:space="0"/>
            </w:tcBorders>
            <w:noWrap/>
            <w:vAlign w:val="center"/>
          </w:tcPr>
          <w:p>
            <w:pPr>
              <w:pStyle w:val="19"/>
            </w:pPr>
            <w:r>
              <w:t>合  计</w:t>
            </w:r>
          </w:p>
        </w:tc>
        <w:tc>
          <w:tcPr>
            <w:tcW w:w="263"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249" w:type="pct"/>
            <w:tcBorders>
              <w:top w:val="single" w:color="000000" w:sz="6" w:space="0"/>
              <w:left w:val="single" w:color="000000" w:sz="6" w:space="0"/>
              <w:bottom w:val="single" w:color="000000" w:sz="6" w:space="0"/>
              <w:right w:val="single" w:color="000000" w:sz="6" w:space="0"/>
            </w:tcBorders>
            <w:noWrap/>
            <w:vAlign w:val="center"/>
          </w:tcPr>
          <w:p>
            <w:pPr>
              <w:pStyle w:val="19"/>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422"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525"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620" w:type="pct"/>
            <w:tcBorders>
              <w:top w:val="single" w:color="000000" w:sz="6" w:space="0"/>
              <w:left w:val="single" w:color="000000" w:sz="6" w:space="0"/>
              <w:bottom w:val="single" w:color="000000" w:sz="6" w:space="0"/>
              <w:right w:val="single" w:color="000000" w:sz="6" w:space="0"/>
            </w:tcBorders>
            <w:noWrap/>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6" w:type="pct"/>
            <w:tcBorders>
              <w:top w:val="single" w:color="000000" w:sz="6" w:space="0"/>
              <w:left w:val="single" w:color="000000" w:sz="6" w:space="0"/>
              <w:bottom w:val="single" w:color="000000" w:sz="6" w:space="0"/>
              <w:right w:val="single" w:color="000000" w:sz="6" w:space="0"/>
            </w:tcBorders>
            <w:noWrap/>
            <w:vAlign w:val="center"/>
          </w:tcPr>
          <w:p>
            <w:pPr>
              <w:pStyle w:val="19"/>
            </w:pPr>
          </w:p>
        </w:tc>
        <w:tc>
          <w:tcPr>
            <w:tcW w:w="263"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249" w:type="pct"/>
            <w:tcBorders>
              <w:top w:val="single" w:color="000000" w:sz="6" w:space="0"/>
              <w:left w:val="single" w:color="000000" w:sz="6" w:space="0"/>
              <w:bottom w:val="single" w:color="000000" w:sz="6" w:space="0"/>
              <w:right w:val="single" w:color="000000" w:sz="6" w:space="0"/>
            </w:tcBorders>
            <w:noWrap/>
            <w:vAlign w:val="center"/>
          </w:tcPr>
          <w:p>
            <w:pPr>
              <w:pStyle w:val="19"/>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422"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525"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620" w:type="pct"/>
            <w:tcBorders>
              <w:top w:val="single" w:color="000000" w:sz="6" w:space="0"/>
              <w:left w:val="single" w:color="000000" w:sz="6" w:space="0"/>
              <w:bottom w:val="single" w:color="000000" w:sz="6" w:space="0"/>
              <w:right w:val="single" w:color="000000" w:sz="6" w:space="0"/>
            </w:tcBorders>
            <w:noWrap/>
            <w:vAlign w:val="center"/>
          </w:tcPr>
          <w:p>
            <w:pPr>
              <w:pStyle w:val="20"/>
            </w:pPr>
          </w:p>
        </w:tc>
      </w:tr>
    </w:tbl>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广阳区消防救援大队</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118.21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11"/>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广阳区消防救援大队</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广阳区消防救援大队</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18.21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w:t>
            </w:r>
            <w:r>
              <w:rPr>
                <w:rFonts w:ascii="Times New Roman" w:hAnsi="Times New Roman" w:eastAsia="仿宋_GB2312" w:cs="Times New Roman"/>
                <w:sz w:val="22"/>
              </w:rPr>
              <w:t>3.42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DCAB8"/>
    <w:multiLevelType w:val="singleLevel"/>
    <w:tmpl w:val="FC0DCAB8"/>
    <w:lvl w:ilvl="0" w:tentative="0">
      <w:start w:val="1"/>
      <w:numFmt w:val="decimal"/>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CF7BA4"/>
    <w:rsid w:val="00095556"/>
    <w:rsid w:val="005B0CA0"/>
    <w:rsid w:val="0071688E"/>
    <w:rsid w:val="0090171B"/>
    <w:rsid w:val="00972D60"/>
    <w:rsid w:val="00CF7BA4"/>
    <w:rsid w:val="00D1365D"/>
    <w:rsid w:val="00E124B7"/>
    <w:rsid w:val="00E90E3F"/>
    <w:rsid w:val="00EA111E"/>
    <w:rsid w:val="00EE7113"/>
    <w:rsid w:val="031C03DF"/>
    <w:rsid w:val="1B9F46EB"/>
    <w:rsid w:val="2F45422C"/>
    <w:rsid w:val="30FE121B"/>
    <w:rsid w:val="5968305E"/>
    <w:rsid w:val="5B82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0"/>
    <w:rPr>
      <w:rFonts w:ascii="Times New Roman" w:hAnsi="Times New Roman" w:cs="Times New Roman"/>
      <w:szCs w:val="24"/>
    </w:rPr>
  </w:style>
  <w:style w:type="paragraph" w:styleId="9">
    <w:name w:val="footnote text"/>
    <w:basedOn w:val="1"/>
    <w:qFormat/>
    <w:uiPriority w:val="0"/>
    <w:pPr>
      <w:snapToGrid w:val="0"/>
      <w:jc w:val="left"/>
    </w:pPr>
    <w:rPr>
      <w:rFonts w:cs="Times New Roman"/>
      <w:sz w:val="18"/>
      <w:szCs w:val="18"/>
    </w:rPr>
  </w:style>
  <w:style w:type="paragraph" w:styleId="10">
    <w:name w:val="toc 2"/>
    <w:basedOn w:val="1"/>
    <w:next w:val="1"/>
    <w:qFormat/>
    <w:uiPriority w:val="0"/>
    <w:pPr>
      <w:ind w:left="200" w:leftChars="200"/>
    </w:pPr>
    <w:rPr>
      <w:rFonts w:ascii="Times New Roman" w:hAnsi="Times New Roman" w:cs="Times New Roman"/>
      <w:szCs w:val="24"/>
    </w:rPr>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单元格样式1"/>
    <w:basedOn w:val="1"/>
    <w:qFormat/>
    <w:uiPriority w:val="0"/>
    <w:pPr>
      <w:widowControl/>
      <w:jc w:val="center"/>
    </w:pPr>
    <w:rPr>
      <w:rFonts w:ascii="方正书宋_GBK" w:eastAsia="方正书宋_GBK" w:cs="方正书宋_GBK"/>
      <w:b/>
      <w:kern w:val="0"/>
      <w:szCs w:val="24"/>
      <w:lang w:eastAsia="uk-UA"/>
    </w:rPr>
  </w:style>
  <w:style w:type="paragraph" w:customStyle="1" w:styleId="16">
    <w:name w:val="单元格样式4"/>
    <w:basedOn w:val="1"/>
    <w:qFormat/>
    <w:uiPriority w:val="0"/>
    <w:pPr>
      <w:widowControl/>
      <w:jc w:val="right"/>
    </w:pPr>
    <w:rPr>
      <w:rFonts w:ascii="方正书宋_GBK" w:eastAsia="方正书宋_GBK" w:cs="方正书宋_GBK"/>
      <w:kern w:val="0"/>
      <w:szCs w:val="24"/>
      <w:lang w:eastAsia="uk-UA"/>
    </w:rPr>
  </w:style>
  <w:style w:type="paragraph" w:customStyle="1" w:styleId="17">
    <w:name w:val="单元格样式2"/>
    <w:basedOn w:val="1"/>
    <w:qFormat/>
    <w:uiPriority w:val="0"/>
    <w:pPr>
      <w:widowControl/>
      <w:jc w:val="left"/>
    </w:pPr>
    <w:rPr>
      <w:rFonts w:ascii="方正书宋_GBK" w:eastAsia="方正书宋_GBK" w:cs="方正书宋_GBK"/>
      <w:kern w:val="0"/>
      <w:szCs w:val="24"/>
      <w:lang w:eastAsia="uk-UA"/>
    </w:rPr>
  </w:style>
  <w:style w:type="paragraph" w:customStyle="1" w:styleId="18">
    <w:name w:val="单元格样式3"/>
    <w:basedOn w:val="1"/>
    <w:qFormat/>
    <w:uiPriority w:val="0"/>
    <w:pPr>
      <w:widowControl/>
      <w:jc w:val="center"/>
    </w:pPr>
    <w:rPr>
      <w:rFonts w:ascii="方正书宋_GBK" w:eastAsia="方正书宋_GBK" w:cs="方正书宋_GBK"/>
      <w:kern w:val="0"/>
      <w:szCs w:val="24"/>
      <w:lang w:eastAsia="uk-UA"/>
    </w:rPr>
  </w:style>
  <w:style w:type="paragraph" w:customStyle="1" w:styleId="19">
    <w:name w:val="单元格样式6"/>
    <w:basedOn w:val="1"/>
    <w:qFormat/>
    <w:uiPriority w:val="0"/>
    <w:pPr>
      <w:widowControl/>
      <w:jc w:val="center"/>
    </w:pPr>
    <w:rPr>
      <w:rFonts w:ascii="方正书宋_GBK" w:eastAsia="方正书宋_GBK" w:cs="方正书宋_GBK"/>
      <w:b/>
      <w:kern w:val="0"/>
      <w:szCs w:val="24"/>
      <w:lang w:eastAsia="uk-UA"/>
    </w:rPr>
  </w:style>
  <w:style w:type="paragraph" w:customStyle="1" w:styleId="20">
    <w:name w:val="单元格样式7"/>
    <w:basedOn w:val="1"/>
    <w:qFormat/>
    <w:uiPriority w:val="0"/>
    <w:pPr>
      <w:widowControl/>
      <w:jc w:val="right"/>
    </w:pPr>
    <w:rPr>
      <w:rFonts w:ascii="方正书宋_GBK" w:eastAsia="方正书宋_GBK" w:cs="方正书宋_GBK"/>
      <w:b/>
      <w:kern w:val="0"/>
      <w:szCs w:val="24"/>
      <w:lang w:eastAsia="uk-UA"/>
    </w:rPr>
  </w:style>
  <w:style w:type="paragraph" w:customStyle="1" w:styleId="21">
    <w:name w:val="单元格样式5"/>
    <w:basedOn w:val="1"/>
    <w:qFormat/>
    <w:uiPriority w:val="0"/>
    <w:pPr>
      <w:widowControl/>
      <w:jc w:val="left"/>
    </w:pPr>
    <w:rPr>
      <w:rFonts w:ascii="方正书宋_GBK" w:eastAsia="方正书宋_GBK" w:cs="方正书宋_GBK"/>
      <w:b/>
      <w:kern w:val="0"/>
      <w:szCs w:val="24"/>
      <w:lang w:eastAsia="uk-UA"/>
    </w:rPr>
  </w:style>
  <w:style w:type="paragraph" w:customStyle="1" w:styleId="22">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699</Words>
  <Characters>3988</Characters>
  <Lines>33</Lines>
  <Paragraphs>9</Paragraphs>
  <TotalTime>106</TotalTime>
  <ScaleCrop>false</ScaleCrop>
  <LinksUpToDate>false</LinksUpToDate>
  <CharactersWithSpaces>4678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2024-05-10T07:58:38Z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2C519061198941758A6DE09CFA4F4EFE</vt:lpwstr>
  </property>
</Properties>
</file>