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textAlignment w:val="baseline"/>
        <w:rPr>
          <w:rFonts w:ascii="Times New Roman" w:hAnsi="Times New Roman" w:eastAsia="仿宋_GB2312" w:cs="Times New Roman"/>
          <w:sz w:val="44"/>
          <w:szCs w:val="44"/>
        </w:rPr>
      </w:pPr>
    </w:p>
    <w:p>
      <w:pPr>
        <w:spacing w:line="584" w:lineRule="exact"/>
        <w:ind w:firstLine="880" w:firstLineChars="200"/>
        <w:jc w:val="center"/>
        <w:textAlignment w:val="baseline"/>
        <w:rPr>
          <w:rFonts w:ascii="Times New Roman" w:hAnsi="Times New Roman" w:eastAsia="仿宋_GB2312" w:cs="Times New Roman"/>
          <w:sz w:val="44"/>
          <w:szCs w:val="44"/>
        </w:rPr>
      </w:pPr>
    </w:p>
    <w:p>
      <w:pPr>
        <w:spacing w:line="584" w:lineRule="exact"/>
        <w:ind w:firstLine="880" w:firstLineChars="200"/>
        <w:jc w:val="center"/>
        <w:textAlignment w:val="baseline"/>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8"/>
    <w:p>
      <w:pPr>
        <w:spacing w:line="584" w:lineRule="exact"/>
        <w:ind w:firstLine="880" w:firstLineChars="200"/>
        <w:jc w:val="center"/>
        <w:textAlignment w:val="baseline"/>
        <w:rPr>
          <w:rFonts w:ascii="Times New Roman" w:hAnsi="Times New Roman" w:eastAsia="仿宋_GB2312" w:cs="Times New Roman"/>
          <w:sz w:val="44"/>
          <w:szCs w:val="44"/>
        </w:rPr>
      </w:pP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textAlignment w:val="baseline"/>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textAlignment w:val="baseline"/>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廊坊市第九中学于2000年建校，为教育部允许建立的一所义务教育学校。现有在编在岗教师116人，在校学生一千多人。为促进教育公平和学生素质提高，国家完善政策，对我校学生进行初中学历及学生综合素质的培养，促进义务教育发展。</w:t>
      </w: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textAlignment w:val="baseline"/>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textAlignment w:val="baseline"/>
              <w:rPr>
                <w:b/>
                <w:i/>
                <w:caps/>
              </w:rPr>
            </w:pPr>
          </w:p>
        </w:tc>
        <w:tc>
          <w:tcPr>
            <w:tcW w:w="1134" w:type="dxa"/>
            <w:vMerge w:val="continue"/>
            <w:shd w:val="clear" w:color="auto" w:fill="auto"/>
            <w:vAlign w:val="center"/>
          </w:tcPr>
          <w:p>
            <w:pPr>
              <w:textAlignment w:val="baseline"/>
              <w:rPr>
                <w:b/>
                <w:i/>
                <w:caps/>
              </w:rPr>
            </w:pPr>
          </w:p>
        </w:tc>
        <w:tc>
          <w:tcPr>
            <w:tcW w:w="1276" w:type="dxa"/>
            <w:vMerge w:val="continue"/>
            <w:shd w:val="clear" w:color="auto" w:fill="auto"/>
            <w:vAlign w:val="center"/>
          </w:tcPr>
          <w:p>
            <w:pPr>
              <w:textAlignment w:val="baseline"/>
              <w:rPr>
                <w:b/>
                <w:i/>
                <w:caps/>
              </w:rPr>
            </w:pPr>
          </w:p>
        </w:tc>
        <w:tc>
          <w:tcPr>
            <w:tcW w:w="2902" w:type="dxa"/>
            <w:vMerge w:val="continue"/>
            <w:shd w:val="clear" w:color="auto" w:fill="auto"/>
            <w:vAlign w:val="center"/>
          </w:tcPr>
          <w:p>
            <w:pPr>
              <w:textAlignment w:val="baseline"/>
              <w:rPr>
                <w:b/>
                <w:i/>
                <w:cap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廊坊市第九中学</w:t>
            </w:r>
          </w:p>
        </w:tc>
        <w:tc>
          <w:tcPr>
            <w:tcW w:w="1134"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财政性资金基本保证</w:t>
            </w:r>
          </w:p>
        </w:tc>
      </w:tr>
    </w:tbl>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的收支包含在部门预算中。</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2692.38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0.33万元</w:t>
      </w:r>
      <w:r>
        <w:rPr>
          <w:rFonts w:ascii="Times New Roman" w:hAnsi="Times New Roman" w:eastAsia="仿宋_GB2312" w:cs="Times New Roman"/>
          <w:sz w:val="32"/>
          <w:szCs w:val="32"/>
        </w:rPr>
        <w:t>。</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1978.02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1952.19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25.83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714.69</w:t>
      </w:r>
      <w:r>
        <w:rPr>
          <w:rFonts w:ascii="Times New Roman" w:hAnsi="Times New Roman" w:eastAsia="仿宋_GB2312" w:cs="Times New Roman"/>
          <w:sz w:val="32"/>
          <w:szCs w:val="32"/>
        </w:rPr>
        <w:t>万元。</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305.96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277.58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583.54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生均经费和工程款</w:t>
      </w:r>
      <w:r>
        <w:rPr>
          <w:rFonts w:ascii="Times New Roman" w:hAnsi="Times New Roman" w:eastAsia="仿宋_GB2312" w:cs="Times New Roman"/>
          <w:sz w:val="32"/>
          <w:szCs w:val="32"/>
        </w:rPr>
        <w:t>支出。</w:t>
      </w:r>
    </w:p>
    <w:p>
      <w:pPr>
        <w:spacing w:line="584" w:lineRule="exact"/>
        <w:ind w:left="198"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27" w:firstLineChars="196"/>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left="197" w:leftChars="94" w:firstLine="640"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napToGrid w:val="0"/>
        <w:spacing w:after="156" w:line="580" w:lineRule="exact"/>
        <w:ind w:firstLine="630" w:firstLineChars="196"/>
        <w:jc w:val="left"/>
        <w:textAlignment w:val="baseline"/>
        <w:rPr>
          <w:rFonts w:ascii="楷体_GB2312" w:eastAsia="楷体_GB2312" w:cs="Times New Roman"/>
          <w:b/>
          <w:sz w:val="32"/>
          <w:szCs w:val="32"/>
        </w:rPr>
      </w:pPr>
      <w:bookmarkStart w:id="0" w:name="_Toc_2_2_0000000001"/>
      <w:r>
        <w:rPr>
          <w:rFonts w:hint="eastAsia" w:ascii="楷体_GB2312" w:eastAsia="楷体_GB2312" w:cs="Times New Roman"/>
          <w:b/>
          <w:sz w:val="32"/>
          <w:szCs w:val="32"/>
          <w:lang w:eastAsia="zh-CN"/>
        </w:rPr>
        <w:t>（一）</w:t>
      </w:r>
      <w:r>
        <w:rPr>
          <w:rFonts w:ascii="楷体_GB2312" w:eastAsia="楷体_GB2312" w:cs="Times New Roman"/>
          <w:b/>
          <w:sz w:val="32"/>
          <w:szCs w:val="32"/>
        </w:rPr>
        <w:t>总体绩效目标</w:t>
      </w:r>
      <w:bookmarkEnd w:id="0"/>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推进义务教育均衡发展，建立中小学校舍安全保障机制，改善薄弱学校办学条件，提高素质教育水平，开展丰富多彩的教学活动。促进公共教育资源向农村和经济欠发达地区倾斜。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 xml:space="preserve">、发展城市义务教育  </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免除城市区中小学生学杂费，提高公用经费保障水平，为贫困中小学生免费提供教科书，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对接收进城务工农民工子女的学校进行补助。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改善城区中小学办学条件。</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保障中小学公用经费水平逐年提高，解决大班额问题及入学难问题。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保障小学入学率。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、改善学校办学条件</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保障义务教育阶段学校基本教学条件，改善学校生活设施，保障后勤社会化服务，解决学校大班额问题。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开展学生社会实践活动，建立学生实践教育基地，推进学校教育信息化。</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使义务教育学校教学设施和生活设施满足基本教学需要，保障后勤社会化服务资金充足，使学校能够正常运转，超大班额现象消除，教师数量、素质、结构基本适应教学需要。</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、提升特殊教育保障水平</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保证教学设备设施配备齐全，保障学生校园安全，支持贫困学生和爱心家园学生完成学业。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改善办学条件，配置基础教育资源</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、开展教师教研及学生德育活动</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开展各类课题研究、校本研究，加强教师培训和教学交流，加强德育培训与研究，举办各类教育教学活动。</w:t>
      </w:r>
    </w:p>
    <w:p>
      <w:pPr>
        <w:snapToGrid w:val="0"/>
        <w:spacing w:after="156" w:line="580" w:lineRule="exact"/>
        <w:ind w:firstLine="627" w:firstLineChars="196"/>
        <w:jc w:val="left"/>
        <w:textAlignment w:val="baseline"/>
        <w:rPr>
          <w:rFonts w:ascii="楷体_GB2312" w:eastAsia="楷体_GB2312" w:cs="Times New Roman"/>
          <w:b/>
          <w:sz w:val="32"/>
          <w:szCs w:val="32"/>
        </w:rPr>
      </w:pPr>
      <w:r>
        <w:rPr>
          <w:rFonts w:hint="eastAsia" w:ascii="仿宋_GB2312" w:hAnsi="仿宋_GB2312" w:eastAsia="仿宋_GB2312" w:cs="仿宋_GB2312"/>
          <w:b w:val="0"/>
          <w:bCs/>
          <w:sz w:val="32"/>
          <w:szCs w:val="32"/>
        </w:rPr>
        <w:t>提高教师教学水平，调动教师积极性，培养专家型教师人才，提高学生的综合素质。</w:t>
      </w:r>
    </w:p>
    <w:p>
      <w:pPr>
        <w:snapToGrid w:val="0"/>
        <w:spacing w:after="156" w:line="580" w:lineRule="exact"/>
        <w:ind w:firstLine="630" w:firstLineChars="196"/>
        <w:jc w:val="left"/>
        <w:textAlignment w:val="baseline"/>
        <w:rPr>
          <w:rFonts w:ascii="楷体_GB2312" w:eastAsia="楷体_GB2312" w:cs="Times New Roman"/>
          <w:b/>
          <w:sz w:val="32"/>
          <w:szCs w:val="32"/>
        </w:rPr>
      </w:pPr>
      <w:bookmarkStart w:id="1" w:name="_Toc_2_2_0000000002"/>
      <w:r>
        <w:rPr>
          <w:rFonts w:hint="eastAsia" w:ascii="楷体_GB2312" w:eastAsia="楷体_GB2312" w:cs="Times New Roman"/>
          <w:b/>
          <w:sz w:val="32"/>
          <w:szCs w:val="32"/>
          <w:lang w:eastAsia="zh-CN"/>
        </w:rPr>
        <w:t>（二）</w:t>
      </w:r>
      <w:r>
        <w:rPr>
          <w:rFonts w:ascii="楷体_GB2312" w:eastAsia="楷体_GB2312" w:cs="Times New Roman"/>
          <w:b/>
          <w:sz w:val="32"/>
          <w:szCs w:val="32"/>
        </w:rPr>
        <w:t>分项绩效目标</w:t>
      </w:r>
      <w:bookmarkEnd w:id="1"/>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新建化学实验室项目资金</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绩效目标：增加学校教育资源，丰富学生的学习内容，为学生提供更好的学习环境和学习条件，提高学生对学习化学的兴趣，为学生提供更加优质的教育。</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装修房间数量</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购买安装设施种类</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验收合格率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招投标及时性</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完工及时性</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经费支出成本</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可持续影响指标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化学实验室设备持续使用时间</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教育经费</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绩效目标：保障义务教育学校运转，改善学校基本办学条件，促进义务教育均衡发展及学生素质提高。</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保12个月教学正常运转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保障教学正常运转时长</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物资采购合格率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保障日常教学器材及物资充裕</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上级下达学校的各项工作任务完成率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保证完成上级下达学校的各项工作任务</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及时提供的教学用品、保障教学设施、设备正常运行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经费各项支出不高于项目资金总额</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推动义务教育从数量扩张向质量提高转变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城乡义务教育生均公用经费[省级]</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申请生均公用经费的学生人数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按文件要求申请生均公用经费的学生人数</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生均公用经费使用的合规率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生均公用经费使用符合文件中的相关规定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使用生均公用经费，用于保障学校正常运转的项目完成情况</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使用生均公用经费，用于保障学校正常运转的项目支出成本等于XXX元/生</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该资金用于学校正常运转，改善办学条件，促进义务教育均衡发展及学生素质提高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合同制教师人员经费</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绩效目标：保障合同制教师工资福利待遇，并及时发放。</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合同制教师在校人数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保障2022合同制教师 46人工资福利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合同制教师完成岗位目标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不同学科合同制教师岗位目标明确，并得以执行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合同制教师的考核合格率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合格率达到100%</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资金支出率（%）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按月支付合同制教师工资及缴纳社会保障及住房公积金</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保障项目正常运行</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合同制教师薪酬测算标准</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缓解师资供需矛盾</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缓解教师短缺，保障教育教学正常的进行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学生满意度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所教班级学生满意度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学校满意度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在校教师满意度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所教班级家长满意度</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城乡义务教育生均公用经费[区级]</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绩效目标：保障义务教育教学正常的进行，改善办公条件，提升教育环境。</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申请生均公用经费的学生人数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按文件要求申请生均公用经费的学生人数</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生均公用经费使用的合规率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生均公用经费使用符合文件中的相关规定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使用生均公用经费，用于保障学校正常运转的项目完成情况</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使用生均公用经费，用于保障学校正常运转的项目支出成本等于935元/生</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义务教育/学前教育高质量发展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该资金用于学校正常运转，改善办学条件，促进义务教育/学前教育均衡发展及学生素质提高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bookmarkStart w:id="2" w:name="_Toc_2_2_0000000003"/>
    </w:p>
    <w:p>
      <w:pPr>
        <w:snapToGrid w:val="0"/>
        <w:spacing w:after="156" w:line="580" w:lineRule="exact"/>
        <w:ind w:firstLine="630" w:firstLineChars="196"/>
        <w:jc w:val="left"/>
        <w:textAlignment w:val="baseline"/>
        <w:rPr>
          <w:rFonts w:hint="eastAsia" w:ascii="楷体" w:hAnsi="楷体" w:eastAsia="楷体" w:cs="楷体"/>
          <w:b/>
          <w:bCs w:val="0"/>
          <w:i w:val="0"/>
          <w:iCs w:val="0"/>
          <w:sz w:val="32"/>
          <w:szCs w:val="32"/>
        </w:rPr>
      </w:pPr>
      <w:r>
        <w:rPr>
          <w:rFonts w:hint="eastAsia" w:ascii="楷体" w:hAnsi="楷体" w:eastAsia="楷体" w:cs="楷体"/>
          <w:b/>
          <w:bCs w:val="0"/>
          <w:i w:val="0"/>
          <w:iCs w:val="0"/>
          <w:sz w:val="32"/>
          <w:szCs w:val="32"/>
          <w:lang w:eastAsia="zh-CN"/>
        </w:rPr>
        <w:t>（三）</w:t>
      </w:r>
      <w:r>
        <w:rPr>
          <w:rFonts w:hint="eastAsia" w:ascii="楷体" w:hAnsi="楷体" w:eastAsia="楷体" w:cs="楷体"/>
          <w:b/>
          <w:bCs w:val="0"/>
          <w:i w:val="0"/>
          <w:iCs w:val="0"/>
          <w:sz w:val="32"/>
          <w:szCs w:val="32"/>
        </w:rPr>
        <w:t>工作保障措施</w:t>
      </w:r>
      <w:bookmarkEnd w:id="2"/>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廊坊市第九中学主要职责是：</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、贯彻执行党和国家的教育方针、政策、法律法规，制</w:t>
      </w:r>
      <w:r>
        <w:rPr>
          <w:rFonts w:hint="eastAsia" w:ascii="仿宋_GB2312" w:hAnsi="仿宋_GB2312" w:eastAsia="仿宋_GB2312" w:cs="仿宋_GB2312"/>
          <w:b w:val="0"/>
          <w:bCs/>
          <w:sz w:val="32"/>
          <w:szCs w:val="32"/>
          <w:lang w:eastAsia="zh-CN"/>
        </w:rPr>
        <w:t>订</w:t>
      </w:r>
      <w:r>
        <w:rPr>
          <w:rFonts w:hint="eastAsia" w:ascii="仿宋_GB2312" w:hAnsi="仿宋_GB2312" w:eastAsia="仿宋_GB2312" w:cs="仿宋_GB2312"/>
          <w:b w:val="0"/>
          <w:bCs/>
          <w:sz w:val="32"/>
          <w:szCs w:val="32"/>
        </w:rPr>
        <w:t>我校的长远规划和年度计划，并组织实施。</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、负责教育基本信息的统计、分析。</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、做好上级部门交办的其他事项。</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、负责学校教师队伍的建设和管理，推进教育系统人事制度改革。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负责本部门教育经费的统筹管理，教育经费预决算工作，教育经费的管理和使用；负责统筹规划和管理学校基本建设和设施的配置及计划统计工作。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、管理学校的党建、思想政治、宣传统战和维护稳定以及德育、体育、卫生防疫与艺术教育、国防教育工作；负责学校的安全监督管理。</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、加强绩效运行监控，做好绩效自评。</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、负责组织开展学校教育的督导评估、检查验收、质量监测等工作。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、负责学校党的政治建设、思想建设、组织建设、作风建设、纪律建设和制度建设。</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、负责学校学生和教师的思想政治工作，学校思想政治队伍建设和德育课程教育教学。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、加强宣传培训调研。</w:t>
      </w:r>
    </w:p>
    <w:p>
      <w:pPr>
        <w:snapToGrid w:val="0"/>
        <w:spacing w:after="156" w:line="580" w:lineRule="exact"/>
        <w:ind w:firstLine="643" w:firstLineChars="200"/>
        <w:jc w:val="left"/>
        <w:textAlignment w:val="baseline"/>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1406"/>
        <w:gridCol w:w="54"/>
        <w:gridCol w:w="2322"/>
        <w:gridCol w:w="2413"/>
        <w:gridCol w:w="904"/>
        <w:gridCol w:w="650"/>
        <w:gridCol w:w="83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一级指标</w:t>
            </w:r>
          </w:p>
        </w:tc>
        <w:tc>
          <w:tcPr>
            <w:tcW w:w="992"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二级</w:t>
            </w:r>
          </w:p>
          <w:p>
            <w:pPr>
              <w:widowControl/>
              <w:snapToGrid w:val="0"/>
              <w:jc w:val="center"/>
              <w:textAlignment w:val="baseline"/>
              <w:rPr>
                <w:rFonts w:ascii="方正书宋_GBK" w:eastAsia="方正书宋_GBK"/>
                <w:b/>
                <w:sz w:val="20"/>
              </w:rPr>
            </w:pPr>
            <w:r>
              <w:rPr>
                <w:rFonts w:ascii="方正书宋_GBK" w:eastAsia="方正书宋_GBK"/>
                <w:b/>
              </w:rPr>
              <w:t>指标</w:t>
            </w:r>
          </w:p>
        </w:tc>
        <w:tc>
          <w:tcPr>
            <w:tcW w:w="1406"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三级</w:t>
            </w:r>
          </w:p>
          <w:p>
            <w:pPr>
              <w:widowControl/>
              <w:snapToGrid w:val="0"/>
              <w:jc w:val="center"/>
              <w:textAlignment w:val="baseline"/>
              <w:rPr>
                <w:rFonts w:ascii="方正书宋_GBK" w:eastAsia="方正书宋_GBK"/>
                <w:b/>
                <w:sz w:val="20"/>
              </w:rPr>
            </w:pPr>
            <w:r>
              <w:rPr>
                <w:rFonts w:ascii="方正书宋_GBK" w:eastAsia="方正书宋_GBK"/>
                <w:b/>
              </w:rPr>
              <w:t>指标</w:t>
            </w:r>
          </w:p>
        </w:tc>
        <w:tc>
          <w:tcPr>
            <w:tcW w:w="2376" w:type="dxa"/>
            <w:gridSpan w:val="2"/>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评（扣）分标准</w:t>
            </w:r>
          </w:p>
        </w:tc>
        <w:tc>
          <w:tcPr>
            <w:tcW w:w="2413"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绩效指标</w:t>
            </w:r>
          </w:p>
          <w:p>
            <w:pPr>
              <w:widowControl/>
              <w:snapToGrid w:val="0"/>
              <w:jc w:val="center"/>
              <w:textAlignment w:val="baseline"/>
              <w:rPr>
                <w:rFonts w:ascii="方正书宋_GBK" w:eastAsia="方正书宋_GBK"/>
                <w:b/>
                <w:sz w:val="20"/>
              </w:rPr>
            </w:pPr>
            <w:r>
              <w:rPr>
                <w:rFonts w:ascii="方正书宋_GBK" w:eastAsia="方正书宋_GBK"/>
                <w:b/>
              </w:rPr>
              <w:t>描述</w:t>
            </w:r>
          </w:p>
        </w:tc>
        <w:tc>
          <w:tcPr>
            <w:tcW w:w="2386" w:type="dxa"/>
            <w:gridSpan w:val="3"/>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指标值</w:t>
            </w:r>
          </w:p>
        </w:tc>
        <w:tc>
          <w:tcPr>
            <w:tcW w:w="2975"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指标值</w:t>
            </w:r>
          </w:p>
          <w:p>
            <w:pPr>
              <w:widowControl/>
              <w:snapToGrid w:val="0"/>
              <w:jc w:val="center"/>
              <w:textAlignment w:val="baseline"/>
              <w:rPr>
                <w:rFonts w:ascii="方正书宋_GBK" w:eastAsia="方正书宋_GBK"/>
                <w:b/>
                <w:sz w:val="20"/>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pPr>
              <w:textAlignment w:val="baseline"/>
              <w:rPr>
                <w:b/>
                <w:i/>
                <w:caps/>
              </w:rPr>
            </w:pPr>
          </w:p>
        </w:tc>
        <w:tc>
          <w:tcPr>
            <w:tcW w:w="992" w:type="dxa"/>
            <w:vMerge w:val="continue"/>
            <w:tcBorders>
              <w:tl2br w:val="nil"/>
              <w:tr2bl w:val="nil"/>
            </w:tcBorders>
            <w:vAlign w:val="center"/>
          </w:tcPr>
          <w:p>
            <w:pPr>
              <w:textAlignment w:val="baseline"/>
              <w:rPr>
                <w:b/>
                <w:i/>
                <w:caps/>
              </w:rPr>
            </w:pPr>
          </w:p>
        </w:tc>
        <w:tc>
          <w:tcPr>
            <w:tcW w:w="1406" w:type="dxa"/>
            <w:vMerge w:val="continue"/>
            <w:tcBorders>
              <w:tl2br w:val="nil"/>
              <w:tr2bl w:val="nil"/>
            </w:tcBorders>
            <w:vAlign w:val="center"/>
          </w:tcPr>
          <w:p>
            <w:pPr>
              <w:textAlignment w:val="baseline"/>
              <w:rPr>
                <w:b/>
                <w:i/>
                <w:caps/>
              </w:rPr>
            </w:pPr>
          </w:p>
        </w:tc>
        <w:tc>
          <w:tcPr>
            <w:tcW w:w="2376" w:type="dxa"/>
            <w:gridSpan w:val="2"/>
            <w:vMerge w:val="continue"/>
            <w:tcBorders>
              <w:tl2br w:val="nil"/>
              <w:tr2bl w:val="nil"/>
            </w:tcBorders>
            <w:vAlign w:val="center"/>
          </w:tcPr>
          <w:p>
            <w:pPr>
              <w:textAlignment w:val="baseline"/>
              <w:rPr>
                <w:b/>
                <w:i/>
                <w:caps/>
              </w:rPr>
            </w:pPr>
          </w:p>
        </w:tc>
        <w:tc>
          <w:tcPr>
            <w:tcW w:w="2413" w:type="dxa"/>
            <w:vMerge w:val="continue"/>
            <w:tcBorders>
              <w:tl2br w:val="nil"/>
              <w:tr2bl w:val="nil"/>
            </w:tcBorders>
            <w:vAlign w:val="center"/>
          </w:tcPr>
          <w:p>
            <w:pPr>
              <w:textAlignment w:val="baseline"/>
              <w:rPr>
                <w:b/>
                <w:i/>
                <w:caps/>
              </w:rPr>
            </w:pPr>
          </w:p>
        </w:tc>
        <w:tc>
          <w:tcPr>
            <w:tcW w:w="904"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符号</w:t>
            </w:r>
          </w:p>
        </w:tc>
        <w:tc>
          <w:tcPr>
            <w:tcW w:w="650"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值</w:t>
            </w:r>
          </w:p>
        </w:tc>
        <w:tc>
          <w:tcPr>
            <w:tcW w:w="832"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单位</w:t>
            </w:r>
          </w:p>
        </w:tc>
        <w:tc>
          <w:tcPr>
            <w:tcW w:w="2975" w:type="dxa"/>
            <w:vMerge w:val="continue"/>
            <w:tcBorders>
              <w:tl2br w:val="nil"/>
              <w:tr2bl w:val="nil"/>
            </w:tcBorders>
            <w:vAlign w:val="center"/>
          </w:tcPr>
          <w:p>
            <w:pPr>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部门产出</w:t>
            </w: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数量</w:t>
            </w:r>
          </w:p>
        </w:tc>
        <w:tc>
          <w:tcPr>
            <w:tcW w:w="1460"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物资采购合格率</w:t>
            </w:r>
          </w:p>
        </w:tc>
        <w:tc>
          <w:tcPr>
            <w:tcW w:w="2322"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按文件要求使用经费</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1</w:t>
            </w: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质量</w:t>
            </w:r>
          </w:p>
        </w:tc>
        <w:tc>
          <w:tcPr>
            <w:tcW w:w="1460"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保证教学工作正常运转</w:t>
            </w:r>
          </w:p>
        </w:tc>
        <w:tc>
          <w:tcPr>
            <w:tcW w:w="2322"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经费使用符合文件中的相关规定</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时效</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是否按时保质保量的完成</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经费用于保障学校正常运转的项目完成情况</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成本</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是否在项目预算的控制范围内</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经费用于保障学校正常运转的项目</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snapToGrid w:val="0"/>
              <w:jc w:val="center"/>
              <w:textAlignment w:val="baseline"/>
              <w:rPr>
                <w:rFonts w:ascii="方正书宋_GBK" w:eastAsia="方正书宋_GBK"/>
                <w:sz w:val="20"/>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社会</w:t>
            </w:r>
          </w:p>
          <w:p>
            <w:pPr>
              <w:widowControl/>
              <w:snapToGrid w:val="0"/>
              <w:jc w:val="center"/>
              <w:textAlignment w:val="baseline"/>
              <w:rPr>
                <w:rFonts w:ascii="方正书宋_GBK" w:eastAsia="方正书宋_GBK"/>
                <w:sz w:val="20"/>
              </w:rPr>
            </w:pPr>
            <w:r>
              <w:rPr>
                <w:rFonts w:ascii="方正书宋_GBK" w:eastAsia="方正书宋_GBK"/>
              </w:rPr>
              <w:t>效益</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促进在校生德智体美劳全面发展</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冀财教【2019】66号文件</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资金用于学校正常运转，改善办学条件，促进义务教育/学前教育均衡发展及学生素质提高</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冀财教【2019】66号文件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snapToGrid w:val="0"/>
              <w:jc w:val="center"/>
              <w:textAlignment w:val="baseline"/>
              <w:rPr>
                <w:rFonts w:hint="eastAsia" w:ascii="方正书宋_GBK" w:eastAsia="方正书宋_GBK"/>
                <w:lang w:eastAsia="zh-CN"/>
              </w:rPr>
            </w:pPr>
            <w:r>
              <w:rPr>
                <w:rFonts w:hint="eastAsia" w:ascii="方正书宋_GBK" w:eastAsia="方正书宋_GBK"/>
                <w:lang w:eastAsia="zh-CN"/>
              </w:rPr>
              <w:t>可持续影响</w:t>
            </w:r>
          </w:p>
        </w:tc>
        <w:tc>
          <w:tcPr>
            <w:tcW w:w="1406"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2376" w:type="dxa"/>
            <w:gridSpan w:val="2"/>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经费支出得满分，否则不得分</w:t>
            </w:r>
          </w:p>
        </w:tc>
        <w:tc>
          <w:tcPr>
            <w:tcW w:w="2413"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资金用于学校正常运转，改善办学条件，促进义务教育/学前教育均衡发展及学生素质提高</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冀财教【2019】66号文件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snapToGrid w:val="0"/>
              <w:jc w:val="center"/>
              <w:textAlignment w:val="baseline"/>
              <w:rPr>
                <w:rFonts w:ascii="方正书宋_GBK" w:eastAsia="方正书宋_GBK"/>
                <w:sz w:val="20"/>
              </w:rPr>
            </w:pPr>
            <w:r>
              <w:rPr>
                <w:rFonts w:hint="eastAsia" w:ascii="方正书宋_GBK" w:eastAsia="方正书宋_GBK"/>
              </w:rPr>
              <w:t>满意度</w:t>
            </w:r>
          </w:p>
        </w:tc>
        <w:tc>
          <w:tcPr>
            <w:tcW w:w="1406"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教师、学生对学校的满意度</w:t>
            </w:r>
          </w:p>
        </w:tc>
        <w:tc>
          <w:tcPr>
            <w:tcW w:w="2376" w:type="dxa"/>
            <w:gridSpan w:val="2"/>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10分。调查问卷满意度≥90%得满分，每减少1%扣1分，扣完为止。</w:t>
            </w:r>
          </w:p>
        </w:tc>
        <w:tc>
          <w:tcPr>
            <w:tcW w:w="2413"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9</w:t>
            </w:r>
            <w:r>
              <w:rPr>
                <w:rFonts w:hint="eastAsia" w:ascii="仿宋_GB2312" w:hAnsi="仿宋_GB2312" w:eastAsia="仿宋_GB2312" w:cs="仿宋_GB2312"/>
                <w:color w:val="000000"/>
                <w:sz w:val="22"/>
                <w:lang w:val="en-US" w:eastAsia="zh-CN"/>
              </w:rPr>
              <w:t>8</w:t>
            </w: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napToGrid w:val="0"/>
        <w:spacing w:after="156" w:line="580" w:lineRule="exact"/>
        <w:ind w:firstLine="630" w:firstLineChars="196"/>
        <w:jc w:val="left"/>
        <w:textAlignment w:val="baseline"/>
        <w:rPr>
          <w:rFonts w:ascii="楷体_GB2312" w:eastAsia="楷体_GB2312" w:cs="Times New Roman"/>
          <w:b/>
          <w:sz w:val="32"/>
          <w:szCs w:val="32"/>
        </w:rPr>
      </w:pPr>
    </w:p>
    <w:p>
      <w:pPr>
        <w:spacing w:line="584"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1.城乡义务教育生均公用经费[区级]绩效目标表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337"/>
        <w:gridCol w:w="1488"/>
        <w:gridCol w:w="2427"/>
        <w:gridCol w:w="1110"/>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8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7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1215人</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w:t>
            </w:r>
          </w:p>
          <w:p>
            <w:pPr>
              <w:pStyle w:val="14"/>
              <w:rPr>
                <w:rFonts w:hint="eastAsia" w:ascii="仿宋_GB2312" w:hAnsi="仿宋_GB2312" w:eastAsia="仿宋_GB2312" w:cs="仿宋_GB2312"/>
              </w:rPr>
            </w:pP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2.城乡义务教育生均公用经费[省级]绩效目标表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06"/>
        <w:gridCol w:w="1470"/>
        <w:gridCol w:w="2385"/>
        <w:gridCol w:w="960"/>
        <w:gridCol w:w="2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0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4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3.合同制教师人员经费绩效目标表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61"/>
        <w:gridCol w:w="1620"/>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46人工资福利</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4.教育经费绩效目标表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324"/>
        <w:gridCol w:w="2724"/>
        <w:gridCol w:w="2476"/>
        <w:gridCol w:w="1048"/>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7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≤57.32万元</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textAlignment w:val="baseline"/>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textAlignment w:val="baseline"/>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p>
      <w:pPr>
        <w:textAlignment w:val="baseline"/>
        <w:rPr>
          <w:rFonts w:ascii="方正小标宋_GBK" w:eastAsia="方正小标宋_GBK" w:cs="Times New Roman"/>
          <w:sz w:val="32"/>
        </w:rPr>
      </w:pPr>
      <w:r>
        <w:rPr>
          <w:rFonts w:hint="eastAsia"/>
        </w:rPr>
        <w:t>[</w:t>
      </w:r>
      <w:r>
        <w:t>484001]</w:t>
      </w:r>
      <w:r>
        <w:rPr>
          <w:rFonts w:hint="eastAsia"/>
        </w:rPr>
        <w:t>廊坊市第九中学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textAlignment w:val="baseline"/>
            </w:pPr>
            <w:r>
              <w:t>政府采购项目来源</w:t>
            </w:r>
          </w:p>
        </w:tc>
        <w:tc>
          <w:tcPr>
            <w:tcW w:w="368" w:type="pct"/>
            <w:vMerge w:val="restart"/>
            <w:vAlign w:val="center"/>
          </w:tcPr>
          <w:p>
            <w:pPr>
              <w:pStyle w:val="12"/>
              <w:textAlignment w:val="baseline"/>
            </w:pPr>
            <w:r>
              <w:t>采购物品名称</w:t>
            </w:r>
          </w:p>
        </w:tc>
        <w:tc>
          <w:tcPr>
            <w:tcW w:w="368" w:type="pct"/>
            <w:vMerge w:val="restart"/>
            <w:vAlign w:val="center"/>
          </w:tcPr>
          <w:p>
            <w:pPr>
              <w:pStyle w:val="12"/>
              <w:textAlignment w:val="baseline"/>
            </w:pPr>
            <w:r>
              <w:t>政府采购目录序号</w:t>
            </w:r>
          </w:p>
        </w:tc>
        <w:tc>
          <w:tcPr>
            <w:tcW w:w="230" w:type="pct"/>
            <w:vMerge w:val="restart"/>
            <w:vAlign w:val="center"/>
          </w:tcPr>
          <w:p>
            <w:pPr>
              <w:pStyle w:val="12"/>
              <w:textAlignment w:val="baseline"/>
            </w:pPr>
            <w:r>
              <w:t>计量  单位</w:t>
            </w:r>
          </w:p>
        </w:tc>
        <w:tc>
          <w:tcPr>
            <w:tcW w:w="276" w:type="pct"/>
            <w:vMerge w:val="restart"/>
            <w:vAlign w:val="center"/>
          </w:tcPr>
          <w:p>
            <w:pPr>
              <w:pStyle w:val="12"/>
              <w:textAlignment w:val="baseline"/>
            </w:pPr>
            <w:r>
              <w:t>数量</w:t>
            </w:r>
          </w:p>
        </w:tc>
        <w:tc>
          <w:tcPr>
            <w:tcW w:w="276" w:type="pct"/>
            <w:vMerge w:val="restart"/>
            <w:vAlign w:val="center"/>
          </w:tcPr>
          <w:p>
            <w:pPr>
              <w:pStyle w:val="12"/>
              <w:textAlignment w:val="baseline"/>
            </w:pPr>
            <w:r>
              <w:t>单价</w:t>
            </w:r>
          </w:p>
        </w:tc>
        <w:tc>
          <w:tcPr>
            <w:tcW w:w="2503" w:type="pct"/>
            <w:gridSpan w:val="8"/>
            <w:vAlign w:val="center"/>
          </w:tcPr>
          <w:p>
            <w:pPr>
              <w:pStyle w:val="12"/>
              <w:textAlignment w:val="baseline"/>
            </w:pPr>
            <w:r>
              <w:t>政府采购金额（当年部门预算安排资金）</w:t>
            </w:r>
          </w:p>
        </w:tc>
        <w:tc>
          <w:tcPr>
            <w:tcW w:w="309" w:type="pct"/>
            <w:vMerge w:val="restart"/>
            <w:vAlign w:val="center"/>
          </w:tcPr>
          <w:p>
            <w:pPr>
              <w:pStyle w:val="12"/>
              <w:textAlignment w:val="baseline"/>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textAlignment w:val="baseline"/>
            </w:pPr>
            <w:r>
              <w:t>项目名称</w:t>
            </w:r>
          </w:p>
        </w:tc>
        <w:tc>
          <w:tcPr>
            <w:tcW w:w="313" w:type="pct"/>
            <w:vAlign w:val="center"/>
          </w:tcPr>
          <w:p>
            <w:pPr>
              <w:pStyle w:val="12"/>
              <w:textAlignment w:val="baseline"/>
            </w:pPr>
            <w:r>
              <w:t>预算    资金</w:t>
            </w:r>
          </w:p>
        </w:tc>
        <w:tc>
          <w:tcPr>
            <w:tcW w:w="368" w:type="pct"/>
            <w:vMerge w:val="continue"/>
          </w:tcPr>
          <w:p>
            <w:pPr>
              <w:textAlignment w:val="baseline"/>
              <w:rPr>
                <w:sz w:val="20"/>
              </w:rPr>
            </w:pPr>
          </w:p>
        </w:tc>
        <w:tc>
          <w:tcPr>
            <w:tcW w:w="368" w:type="pct"/>
            <w:vMerge w:val="continue"/>
          </w:tcPr>
          <w:p>
            <w:pPr>
              <w:textAlignment w:val="baseline"/>
              <w:rPr>
                <w:sz w:val="20"/>
              </w:rPr>
            </w:pPr>
          </w:p>
        </w:tc>
        <w:tc>
          <w:tcPr>
            <w:tcW w:w="230" w:type="pct"/>
            <w:vMerge w:val="continue"/>
          </w:tcPr>
          <w:p>
            <w:pPr>
              <w:textAlignment w:val="baseline"/>
              <w:rPr>
                <w:sz w:val="20"/>
              </w:rPr>
            </w:pPr>
          </w:p>
        </w:tc>
        <w:tc>
          <w:tcPr>
            <w:tcW w:w="276" w:type="pct"/>
            <w:vMerge w:val="continue"/>
          </w:tcPr>
          <w:p>
            <w:pPr>
              <w:textAlignment w:val="baseline"/>
              <w:rPr>
                <w:sz w:val="20"/>
              </w:rPr>
            </w:pPr>
          </w:p>
        </w:tc>
        <w:tc>
          <w:tcPr>
            <w:tcW w:w="276" w:type="pct"/>
            <w:vMerge w:val="continue"/>
          </w:tcPr>
          <w:p>
            <w:pPr>
              <w:textAlignment w:val="baseline"/>
              <w:rPr>
                <w:sz w:val="20"/>
              </w:rPr>
            </w:pPr>
          </w:p>
        </w:tc>
        <w:tc>
          <w:tcPr>
            <w:tcW w:w="313" w:type="pct"/>
            <w:vAlign w:val="center"/>
          </w:tcPr>
          <w:p>
            <w:pPr>
              <w:pStyle w:val="12"/>
              <w:textAlignment w:val="baseline"/>
            </w:pPr>
            <w:r>
              <w:t>合计</w:t>
            </w:r>
          </w:p>
        </w:tc>
        <w:tc>
          <w:tcPr>
            <w:tcW w:w="313" w:type="pct"/>
            <w:vAlign w:val="center"/>
          </w:tcPr>
          <w:p>
            <w:pPr>
              <w:pStyle w:val="12"/>
              <w:textAlignment w:val="baseline"/>
            </w:pPr>
            <w:r>
              <w:t>一般公共预算拨款</w:t>
            </w:r>
          </w:p>
        </w:tc>
        <w:tc>
          <w:tcPr>
            <w:tcW w:w="313" w:type="pct"/>
            <w:vAlign w:val="center"/>
          </w:tcPr>
          <w:p>
            <w:pPr>
              <w:pStyle w:val="12"/>
              <w:textAlignment w:val="baseline"/>
            </w:pPr>
            <w:r>
              <w:t>基金预算拨款</w:t>
            </w:r>
          </w:p>
        </w:tc>
        <w:tc>
          <w:tcPr>
            <w:tcW w:w="313" w:type="pct"/>
            <w:vAlign w:val="center"/>
          </w:tcPr>
          <w:p>
            <w:pPr>
              <w:pStyle w:val="12"/>
              <w:textAlignment w:val="baseline"/>
            </w:pPr>
            <w:r>
              <w:t>国有资本经营预算拨款</w:t>
            </w:r>
          </w:p>
        </w:tc>
        <w:tc>
          <w:tcPr>
            <w:tcW w:w="313" w:type="pct"/>
            <w:vAlign w:val="center"/>
          </w:tcPr>
          <w:p>
            <w:pPr>
              <w:pStyle w:val="12"/>
              <w:textAlignment w:val="baseline"/>
            </w:pPr>
            <w:r>
              <w:t>财政专户核拨</w:t>
            </w:r>
          </w:p>
        </w:tc>
        <w:tc>
          <w:tcPr>
            <w:tcW w:w="313" w:type="pct"/>
            <w:vAlign w:val="center"/>
          </w:tcPr>
          <w:p>
            <w:pPr>
              <w:pStyle w:val="12"/>
              <w:textAlignment w:val="baseline"/>
            </w:pPr>
            <w:r>
              <w:t>单位    资金</w:t>
            </w:r>
          </w:p>
        </w:tc>
        <w:tc>
          <w:tcPr>
            <w:tcW w:w="313" w:type="pct"/>
            <w:vAlign w:val="center"/>
          </w:tcPr>
          <w:p>
            <w:pPr>
              <w:pStyle w:val="12"/>
              <w:textAlignment w:val="baseline"/>
            </w:pPr>
            <w:r>
              <w:t>财政拨    款结转</w:t>
            </w:r>
          </w:p>
        </w:tc>
        <w:tc>
          <w:tcPr>
            <w:tcW w:w="313" w:type="pct"/>
            <w:vAlign w:val="center"/>
          </w:tcPr>
          <w:p>
            <w:pPr>
              <w:pStyle w:val="12"/>
              <w:textAlignment w:val="baseline"/>
            </w:pPr>
            <w:r>
              <w:t>非财政    拨款结    转结余</w:t>
            </w:r>
          </w:p>
        </w:tc>
        <w:tc>
          <w:tcPr>
            <w:tcW w:w="309" w:type="pct"/>
            <w:vMerge w:val="continue"/>
          </w:tcPr>
          <w:p>
            <w:pPr>
              <w:textAlignment w:val="baseline"/>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textAlignment w:val="baseline"/>
            </w:pPr>
            <w:r>
              <w:t>合  计</w:t>
            </w:r>
          </w:p>
        </w:tc>
        <w:tc>
          <w:tcPr>
            <w:tcW w:w="313" w:type="pct"/>
            <w:vAlign w:val="center"/>
          </w:tcPr>
          <w:p>
            <w:pPr>
              <w:pStyle w:val="17"/>
              <w:textAlignment w:val="baseline"/>
            </w:pPr>
          </w:p>
        </w:tc>
        <w:tc>
          <w:tcPr>
            <w:tcW w:w="368" w:type="pct"/>
            <w:vAlign w:val="center"/>
          </w:tcPr>
          <w:p>
            <w:pPr>
              <w:pStyle w:val="18"/>
              <w:textAlignment w:val="baseline"/>
            </w:pPr>
          </w:p>
        </w:tc>
        <w:tc>
          <w:tcPr>
            <w:tcW w:w="368" w:type="pct"/>
            <w:vAlign w:val="center"/>
          </w:tcPr>
          <w:p>
            <w:pPr>
              <w:pStyle w:val="18"/>
              <w:textAlignment w:val="baseline"/>
            </w:pPr>
          </w:p>
        </w:tc>
        <w:tc>
          <w:tcPr>
            <w:tcW w:w="230" w:type="pct"/>
            <w:vAlign w:val="center"/>
          </w:tcPr>
          <w:p>
            <w:pPr>
              <w:pStyle w:val="16"/>
              <w:textAlignment w:val="baseline"/>
            </w:pPr>
          </w:p>
        </w:tc>
        <w:tc>
          <w:tcPr>
            <w:tcW w:w="276" w:type="pct"/>
            <w:vAlign w:val="center"/>
          </w:tcPr>
          <w:p>
            <w:pPr>
              <w:pStyle w:val="17"/>
              <w:textAlignment w:val="baseline"/>
            </w:pPr>
          </w:p>
        </w:tc>
        <w:tc>
          <w:tcPr>
            <w:tcW w:w="276"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09" w:type="pct"/>
            <w:vAlign w:val="center"/>
          </w:tcPr>
          <w:p>
            <w:pPr>
              <w:pStyle w:val="17"/>
              <w:textAlignment w:val="baseline"/>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textAlignment w:val="baseline"/>
            </w:pPr>
          </w:p>
        </w:tc>
        <w:tc>
          <w:tcPr>
            <w:tcW w:w="313" w:type="pct"/>
            <w:vAlign w:val="center"/>
          </w:tcPr>
          <w:p>
            <w:pPr>
              <w:pStyle w:val="17"/>
              <w:textAlignment w:val="baseline"/>
            </w:pPr>
          </w:p>
        </w:tc>
        <w:tc>
          <w:tcPr>
            <w:tcW w:w="368" w:type="pct"/>
            <w:vAlign w:val="center"/>
          </w:tcPr>
          <w:p>
            <w:pPr>
              <w:pStyle w:val="18"/>
              <w:textAlignment w:val="baseline"/>
            </w:pPr>
          </w:p>
        </w:tc>
        <w:tc>
          <w:tcPr>
            <w:tcW w:w="368" w:type="pct"/>
            <w:vAlign w:val="center"/>
          </w:tcPr>
          <w:p>
            <w:pPr>
              <w:pStyle w:val="18"/>
              <w:textAlignment w:val="baseline"/>
            </w:pPr>
          </w:p>
        </w:tc>
        <w:tc>
          <w:tcPr>
            <w:tcW w:w="230" w:type="pct"/>
            <w:vAlign w:val="center"/>
          </w:tcPr>
          <w:p>
            <w:pPr>
              <w:pStyle w:val="16"/>
              <w:textAlignment w:val="baseline"/>
            </w:pPr>
          </w:p>
        </w:tc>
        <w:tc>
          <w:tcPr>
            <w:tcW w:w="276" w:type="pct"/>
            <w:vAlign w:val="center"/>
          </w:tcPr>
          <w:p>
            <w:pPr>
              <w:pStyle w:val="17"/>
              <w:textAlignment w:val="baseline"/>
            </w:pPr>
          </w:p>
        </w:tc>
        <w:tc>
          <w:tcPr>
            <w:tcW w:w="276"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09" w:type="pct"/>
            <w:vAlign w:val="center"/>
          </w:tcPr>
          <w:p>
            <w:pPr>
              <w:pStyle w:val="17"/>
              <w:textAlignment w:val="baseline"/>
            </w:pPr>
          </w:p>
        </w:tc>
      </w:tr>
    </w:tbl>
    <w:p>
      <w:pPr>
        <w:spacing w:line="500" w:lineRule="exact"/>
        <w:ind w:firstLine="420"/>
        <w:textAlignment w:val="baseline"/>
        <w:rPr>
          <w:rFonts w:ascii="方正仿宋_GBK" w:hAnsi="方正仿宋_GBK" w:eastAsia="方正仿宋_GBK" w:cs="方正仿宋_GBK"/>
          <w:color w:val="000000"/>
          <w:sz w:val="2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textAlignment w:val="baseline"/>
        <w:rPr>
          <w:rFonts w:ascii="方正仿宋_GBK" w:hAnsi="方正仿宋_GBK" w:eastAsia="方正仿宋_GBK" w:cs="方正仿宋_GBK"/>
          <w:color w:val="000000"/>
          <w:sz w:val="20"/>
        </w:rPr>
      </w:pPr>
    </w:p>
    <w:p>
      <w:pPr>
        <w:spacing w:line="500" w:lineRule="exact"/>
        <w:ind w:firstLine="42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上年末固定资产金额为1938.64万元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textAlignment w:val="baseline"/>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第九中学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第九中学</w:t>
            </w:r>
          </w:p>
        </w:tc>
        <w:tc>
          <w:tcPr>
            <w:tcW w:w="5103" w:type="dxa"/>
            <w:tcBorders>
              <w:top w:val="nil"/>
              <w:left w:val="nil"/>
              <w:bottom w:val="nil"/>
              <w:right w:val="nil"/>
            </w:tcBorders>
            <w:shd w:val="clear" w:color="auto" w:fill="auto"/>
            <w:noWrap/>
            <w:vAlign w:val="center"/>
          </w:tcPr>
          <w:p>
            <w:pPr>
              <w:widowControl/>
              <w:spacing w:line="584" w:lineRule="exact"/>
              <w:jc w:val="left"/>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1938.64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14085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1195.30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14085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1195.30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743.34</w:t>
            </w:r>
          </w:p>
        </w:tc>
      </w:tr>
    </w:tbl>
    <w:p>
      <w:pPr>
        <w:spacing w:line="584" w:lineRule="exact"/>
        <w:ind w:firstLine="640" w:firstLineChars="200"/>
        <w:jc w:val="left"/>
        <w:textAlignment w:val="baseline"/>
        <w:rPr>
          <w:rFonts w:ascii="Times New Roman" w:hAnsi="Times New Roman" w:eastAsia="黑体" w:cs="Times New Roman"/>
          <w:sz w:val="32"/>
          <w:szCs w:val="32"/>
        </w:rPr>
      </w:pPr>
    </w:p>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55E1E"/>
    <w:rsid w:val="0025632D"/>
    <w:rsid w:val="00275ECB"/>
    <w:rsid w:val="0029157E"/>
    <w:rsid w:val="002A655B"/>
    <w:rsid w:val="002D686C"/>
    <w:rsid w:val="003059E0"/>
    <w:rsid w:val="00322505"/>
    <w:rsid w:val="003C2073"/>
    <w:rsid w:val="00477827"/>
    <w:rsid w:val="004A54AA"/>
    <w:rsid w:val="00633867"/>
    <w:rsid w:val="006728ED"/>
    <w:rsid w:val="00777E1A"/>
    <w:rsid w:val="00944233"/>
    <w:rsid w:val="00947248"/>
    <w:rsid w:val="00B40732"/>
    <w:rsid w:val="00B80935"/>
    <w:rsid w:val="00B84D39"/>
    <w:rsid w:val="00C31C96"/>
    <w:rsid w:val="00C95EE0"/>
    <w:rsid w:val="00CA6A92"/>
    <w:rsid w:val="00D347CC"/>
    <w:rsid w:val="00D445BE"/>
    <w:rsid w:val="00D95CF2"/>
    <w:rsid w:val="00DC72B4"/>
    <w:rsid w:val="00DE0654"/>
    <w:rsid w:val="00E6111E"/>
    <w:rsid w:val="00F93DD2"/>
    <w:rsid w:val="0CEC1180"/>
    <w:rsid w:val="2B754B09"/>
    <w:rsid w:val="392D180B"/>
    <w:rsid w:val="3C3410C9"/>
    <w:rsid w:val="74C668FD"/>
    <w:rsid w:val="7C245C93"/>
    <w:rsid w:val="7F71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1002</Words>
  <Characters>5718</Characters>
  <Lines>47</Lines>
  <Paragraphs>13</Paragraphs>
  <TotalTime>3</TotalTime>
  <ScaleCrop>false</ScaleCrop>
  <LinksUpToDate>false</LinksUpToDate>
  <CharactersWithSpaces>6707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2024-07-18T03:07:36Z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CDBB46A30F104A1E89B5B07171A2D0A2</vt:lpwstr>
  </property>
</Properties>
</file>