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11</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16</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25</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25</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26</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27</w:t>
      </w:r>
      <w:r>
        <w:rPr>
          <w:rStyle w:val="10"/>
        </w:rPr>
        <w:fldChar w:fldCharType="end"/>
      </w:r>
    </w:p>
    <w:p>
      <w:r>
        <w:fldChar w:fldCharType="end"/>
      </w:r>
    </w:p>
    <w:p>
      <w:pPr>
        <w:jc w:val="both"/>
      </w:pPr>
      <w:r>
        <w:rPr>
          <w:rFonts w:ascii="方正小标宋_GBK" w:hAnsi="方正小标宋_GBK" w:eastAsia="方正小标宋_GBK" w:cs="方正小标宋_GBK"/>
          <w:color w:val="000000"/>
          <w:sz w:val="44"/>
        </w:rPr>
        <w:t xml:space="preserve"> </w:t>
      </w:r>
    </w:p>
    <w:p>
      <w:pPr>
        <w:jc w:val="center"/>
        <w:outlineLvl w:val="1"/>
      </w:pPr>
      <w:bookmarkStart w:id="1" w:name="_Toc_2_2_0000000001"/>
      <w:r>
        <w:rPr>
          <w:rFonts w:hint="eastAsia" w:ascii="方正小标宋_GBK" w:hAnsi="方正小标宋_GBK" w:eastAsia="方正小标宋_GBK" w:cs="方正小标宋_GBK"/>
          <w:color w:val="000000"/>
          <w:sz w:val="36"/>
          <w:lang w:val="uk" w:eastAsia="zh-CN" w:bidi="ar"/>
        </w:rPr>
        <w:t>部门预算收支总表</w:t>
      </w:r>
      <w:bookmarkEnd w:id="1"/>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432001廊坊市广阳区第二幼儿园</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1149.15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1149.15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1149.15</w:t>
            </w:r>
          </w:p>
        </w:tc>
        <w:tc>
          <w:tcPr>
            <w:tcW w:w="4535" w:type="dxa"/>
            <w:vAlign w:val="center"/>
          </w:tcPr>
          <w:p>
            <w:pPr>
              <w:pStyle w:val="18"/>
            </w:pPr>
            <w:r>
              <w:t>本年支出合计</w:t>
            </w:r>
          </w:p>
        </w:tc>
        <w:tc>
          <w:tcPr>
            <w:tcW w:w="2126" w:type="dxa"/>
            <w:vAlign w:val="center"/>
          </w:tcPr>
          <w:p>
            <w:pPr>
              <w:pStyle w:val="19"/>
            </w:pPr>
            <w:r>
              <w:t>1149.15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1149.15</w:t>
            </w:r>
          </w:p>
        </w:tc>
        <w:tc>
          <w:tcPr>
            <w:tcW w:w="4535" w:type="dxa"/>
            <w:vAlign w:val="center"/>
          </w:tcPr>
          <w:p>
            <w:pPr>
              <w:pStyle w:val="18"/>
            </w:pPr>
            <w:r>
              <w:t>支出总计</w:t>
            </w:r>
          </w:p>
        </w:tc>
        <w:tc>
          <w:tcPr>
            <w:tcW w:w="2126" w:type="dxa"/>
            <w:vAlign w:val="center"/>
          </w:tcPr>
          <w:p>
            <w:pPr>
              <w:pStyle w:val="19"/>
            </w:pPr>
            <w:r>
              <w:t>1149.15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432001廊坊市广阳区第二幼儿园</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1149.15</w:t>
            </w:r>
          </w:p>
        </w:tc>
        <w:tc>
          <w:tcPr>
            <w:tcW w:w="384" w:type="pct"/>
            <w:vAlign w:val="center"/>
          </w:tcPr>
          <w:p>
            <w:pPr>
              <w:pStyle w:val="19"/>
            </w:pPr>
            <w:r>
              <w:t>1149.15</w:t>
            </w:r>
          </w:p>
        </w:tc>
        <w:tc>
          <w:tcPr>
            <w:tcW w:w="384" w:type="pct"/>
            <w:vAlign w:val="center"/>
          </w:tcPr>
          <w:p>
            <w:pPr>
              <w:pStyle w:val="19"/>
            </w:pPr>
            <w:r>
              <w:t>1149.15</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205</w:t>
            </w:r>
          </w:p>
        </w:tc>
        <w:tc>
          <w:tcPr>
            <w:tcW w:w="384" w:type="pct"/>
            <w:vAlign w:val="center"/>
          </w:tcPr>
          <w:p>
            <w:pPr>
              <w:pStyle w:val="16"/>
            </w:pPr>
            <w:r>
              <w:t>教育支出</w:t>
            </w:r>
          </w:p>
        </w:tc>
        <w:tc>
          <w:tcPr>
            <w:tcW w:w="384" w:type="pct"/>
            <w:vAlign w:val="center"/>
          </w:tcPr>
          <w:p>
            <w:pPr>
              <w:pStyle w:val="15"/>
            </w:pPr>
            <w:r>
              <w:t>1149.15</w:t>
            </w:r>
          </w:p>
        </w:tc>
        <w:tc>
          <w:tcPr>
            <w:tcW w:w="384" w:type="pct"/>
            <w:vAlign w:val="center"/>
          </w:tcPr>
          <w:p>
            <w:pPr>
              <w:pStyle w:val="15"/>
            </w:pPr>
            <w:r>
              <w:t>1149.15</w:t>
            </w:r>
          </w:p>
        </w:tc>
        <w:tc>
          <w:tcPr>
            <w:tcW w:w="384" w:type="pct"/>
            <w:vAlign w:val="center"/>
          </w:tcPr>
          <w:p>
            <w:pPr>
              <w:pStyle w:val="15"/>
            </w:pPr>
            <w:r>
              <w:t>1149.15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20502</w:t>
            </w:r>
          </w:p>
        </w:tc>
        <w:tc>
          <w:tcPr>
            <w:tcW w:w="384" w:type="pct"/>
            <w:vAlign w:val="center"/>
          </w:tcPr>
          <w:p>
            <w:pPr>
              <w:pStyle w:val="16"/>
            </w:pPr>
            <w:r>
              <w:t>普通教育</w:t>
            </w:r>
          </w:p>
        </w:tc>
        <w:tc>
          <w:tcPr>
            <w:tcW w:w="384" w:type="pct"/>
            <w:vAlign w:val="center"/>
          </w:tcPr>
          <w:p>
            <w:pPr>
              <w:pStyle w:val="15"/>
            </w:pPr>
            <w:r>
              <w:t>1149.15</w:t>
            </w:r>
          </w:p>
        </w:tc>
        <w:tc>
          <w:tcPr>
            <w:tcW w:w="384" w:type="pct"/>
            <w:vAlign w:val="center"/>
          </w:tcPr>
          <w:p>
            <w:pPr>
              <w:pStyle w:val="15"/>
            </w:pPr>
            <w:r>
              <w:t>1149.15</w:t>
            </w:r>
          </w:p>
        </w:tc>
        <w:tc>
          <w:tcPr>
            <w:tcW w:w="384" w:type="pct"/>
            <w:vAlign w:val="center"/>
          </w:tcPr>
          <w:p>
            <w:pPr>
              <w:pStyle w:val="15"/>
            </w:pPr>
            <w:r>
              <w:t>1149.15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2050201</w:t>
            </w:r>
          </w:p>
        </w:tc>
        <w:tc>
          <w:tcPr>
            <w:tcW w:w="384" w:type="pct"/>
            <w:vAlign w:val="center"/>
          </w:tcPr>
          <w:p>
            <w:pPr>
              <w:pStyle w:val="16"/>
            </w:pPr>
            <w:r>
              <w:t>学前教育</w:t>
            </w:r>
          </w:p>
        </w:tc>
        <w:tc>
          <w:tcPr>
            <w:tcW w:w="384" w:type="pct"/>
            <w:vAlign w:val="center"/>
          </w:tcPr>
          <w:p>
            <w:pPr>
              <w:pStyle w:val="15"/>
            </w:pPr>
            <w:r>
              <w:t>1149.15</w:t>
            </w:r>
          </w:p>
        </w:tc>
        <w:tc>
          <w:tcPr>
            <w:tcW w:w="384" w:type="pct"/>
            <w:vAlign w:val="center"/>
          </w:tcPr>
          <w:p>
            <w:pPr>
              <w:pStyle w:val="15"/>
            </w:pPr>
            <w:r>
              <w:t>1149.15</w:t>
            </w:r>
          </w:p>
        </w:tc>
        <w:tc>
          <w:tcPr>
            <w:tcW w:w="384" w:type="pct"/>
            <w:vAlign w:val="center"/>
          </w:tcPr>
          <w:p>
            <w:pPr>
              <w:pStyle w:val="15"/>
            </w:pPr>
            <w:r>
              <w:t>1149.15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432001廊坊市广阳区第二幼儿园</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1149.15</w:t>
            </w:r>
          </w:p>
        </w:tc>
        <w:tc>
          <w:tcPr>
            <w:tcW w:w="555" w:type="pct"/>
            <w:vAlign w:val="center"/>
          </w:tcPr>
          <w:p>
            <w:pPr>
              <w:pStyle w:val="19"/>
            </w:pPr>
            <w:r>
              <w:t>1132.91</w:t>
            </w:r>
          </w:p>
        </w:tc>
        <w:tc>
          <w:tcPr>
            <w:tcW w:w="555" w:type="pct"/>
            <w:vAlign w:val="center"/>
          </w:tcPr>
          <w:p>
            <w:pPr>
              <w:pStyle w:val="19"/>
            </w:pPr>
            <w:r>
              <w:t>16.24</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205</w:t>
            </w:r>
          </w:p>
        </w:tc>
        <w:tc>
          <w:tcPr>
            <w:tcW w:w="555" w:type="pct"/>
            <w:vAlign w:val="center"/>
          </w:tcPr>
          <w:p>
            <w:pPr>
              <w:pStyle w:val="16"/>
            </w:pPr>
            <w:r>
              <w:t>教育支出</w:t>
            </w:r>
          </w:p>
        </w:tc>
        <w:tc>
          <w:tcPr>
            <w:tcW w:w="555" w:type="pct"/>
            <w:vAlign w:val="center"/>
          </w:tcPr>
          <w:p>
            <w:pPr>
              <w:pStyle w:val="15"/>
            </w:pPr>
            <w:r>
              <w:t>1149.15</w:t>
            </w:r>
          </w:p>
        </w:tc>
        <w:tc>
          <w:tcPr>
            <w:tcW w:w="555" w:type="pct"/>
            <w:vAlign w:val="center"/>
          </w:tcPr>
          <w:p>
            <w:pPr>
              <w:pStyle w:val="15"/>
            </w:pPr>
            <w:r>
              <w:t>1132.91</w:t>
            </w:r>
          </w:p>
        </w:tc>
        <w:tc>
          <w:tcPr>
            <w:tcW w:w="555" w:type="pct"/>
            <w:vAlign w:val="center"/>
          </w:tcPr>
          <w:p>
            <w:pPr>
              <w:pStyle w:val="15"/>
            </w:pPr>
            <w:r>
              <w:t>16.24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20502</w:t>
            </w:r>
          </w:p>
        </w:tc>
        <w:tc>
          <w:tcPr>
            <w:tcW w:w="555" w:type="pct"/>
            <w:vAlign w:val="center"/>
          </w:tcPr>
          <w:p>
            <w:pPr>
              <w:pStyle w:val="16"/>
            </w:pPr>
            <w:r>
              <w:t>普通教育</w:t>
            </w:r>
          </w:p>
        </w:tc>
        <w:tc>
          <w:tcPr>
            <w:tcW w:w="555" w:type="pct"/>
            <w:vAlign w:val="center"/>
          </w:tcPr>
          <w:p>
            <w:pPr>
              <w:pStyle w:val="15"/>
            </w:pPr>
            <w:r>
              <w:t>1149.15</w:t>
            </w:r>
          </w:p>
        </w:tc>
        <w:tc>
          <w:tcPr>
            <w:tcW w:w="555" w:type="pct"/>
            <w:vAlign w:val="center"/>
          </w:tcPr>
          <w:p>
            <w:pPr>
              <w:pStyle w:val="15"/>
            </w:pPr>
            <w:r>
              <w:t>1132.91</w:t>
            </w:r>
          </w:p>
        </w:tc>
        <w:tc>
          <w:tcPr>
            <w:tcW w:w="555" w:type="pct"/>
            <w:vAlign w:val="center"/>
          </w:tcPr>
          <w:p>
            <w:pPr>
              <w:pStyle w:val="15"/>
            </w:pPr>
            <w:r>
              <w:t>16.24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2050201</w:t>
            </w:r>
          </w:p>
        </w:tc>
        <w:tc>
          <w:tcPr>
            <w:tcW w:w="555" w:type="pct"/>
            <w:vAlign w:val="center"/>
          </w:tcPr>
          <w:p>
            <w:pPr>
              <w:pStyle w:val="16"/>
            </w:pPr>
            <w:r>
              <w:t>学前教育</w:t>
            </w:r>
          </w:p>
        </w:tc>
        <w:tc>
          <w:tcPr>
            <w:tcW w:w="555" w:type="pct"/>
            <w:vAlign w:val="center"/>
          </w:tcPr>
          <w:p>
            <w:pPr>
              <w:pStyle w:val="15"/>
            </w:pPr>
            <w:r>
              <w:t>1149.15</w:t>
            </w:r>
          </w:p>
        </w:tc>
        <w:tc>
          <w:tcPr>
            <w:tcW w:w="555" w:type="pct"/>
            <w:vAlign w:val="center"/>
          </w:tcPr>
          <w:p>
            <w:pPr>
              <w:pStyle w:val="15"/>
            </w:pPr>
            <w:r>
              <w:t>1132.91</w:t>
            </w:r>
          </w:p>
        </w:tc>
        <w:tc>
          <w:tcPr>
            <w:tcW w:w="555" w:type="pct"/>
            <w:vAlign w:val="center"/>
          </w:tcPr>
          <w:p>
            <w:pPr>
              <w:pStyle w:val="15"/>
            </w:pPr>
            <w:r>
              <w:t>16.24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432001廊坊市广阳区第二幼儿园</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1149.15</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r>
              <w:t>1149.15</w:t>
            </w:r>
          </w:p>
        </w:tc>
        <w:tc>
          <w:tcPr>
            <w:tcW w:w="625" w:type="pct"/>
            <w:vAlign w:val="center"/>
          </w:tcPr>
          <w:p>
            <w:pPr>
              <w:pStyle w:val="15"/>
            </w:pPr>
            <w:r>
              <w:t>1149.15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1149.15</w:t>
            </w:r>
          </w:p>
        </w:tc>
        <w:tc>
          <w:tcPr>
            <w:tcW w:w="625" w:type="pct"/>
            <w:vAlign w:val="center"/>
          </w:tcPr>
          <w:p>
            <w:pPr>
              <w:pStyle w:val="18"/>
            </w:pPr>
            <w:r>
              <w:t>本年支出合计</w:t>
            </w:r>
          </w:p>
        </w:tc>
        <w:tc>
          <w:tcPr>
            <w:tcW w:w="625" w:type="pct"/>
            <w:vAlign w:val="center"/>
          </w:tcPr>
          <w:p>
            <w:pPr>
              <w:pStyle w:val="19"/>
            </w:pPr>
            <w:r>
              <w:t>1149.15</w:t>
            </w:r>
          </w:p>
        </w:tc>
        <w:tc>
          <w:tcPr>
            <w:tcW w:w="625" w:type="pct"/>
            <w:vAlign w:val="center"/>
          </w:tcPr>
          <w:p>
            <w:pPr>
              <w:pStyle w:val="19"/>
            </w:pPr>
            <w:r>
              <w:t>1149.15</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1149.15</w:t>
            </w:r>
          </w:p>
        </w:tc>
        <w:tc>
          <w:tcPr>
            <w:tcW w:w="625" w:type="pct"/>
            <w:vAlign w:val="center"/>
          </w:tcPr>
          <w:p>
            <w:pPr>
              <w:pStyle w:val="18"/>
            </w:pPr>
            <w:r>
              <w:t>支出总计</w:t>
            </w:r>
          </w:p>
        </w:tc>
        <w:tc>
          <w:tcPr>
            <w:tcW w:w="625" w:type="pct"/>
            <w:vAlign w:val="center"/>
          </w:tcPr>
          <w:p>
            <w:pPr>
              <w:pStyle w:val="19"/>
            </w:pPr>
            <w:r>
              <w:t>1149.15</w:t>
            </w:r>
          </w:p>
        </w:tc>
        <w:tc>
          <w:tcPr>
            <w:tcW w:w="625" w:type="pct"/>
            <w:vAlign w:val="center"/>
          </w:tcPr>
          <w:p>
            <w:pPr>
              <w:pStyle w:val="19"/>
            </w:pPr>
            <w:r>
              <w:t>1149.15</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432001廊坊市广阳区第二幼儿园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1149.15</w:t>
            </w:r>
          </w:p>
        </w:tc>
        <w:tc>
          <w:tcPr>
            <w:tcW w:w="833" w:type="pct"/>
            <w:vAlign w:val="center"/>
          </w:tcPr>
          <w:p>
            <w:pPr>
              <w:pStyle w:val="19"/>
            </w:pPr>
            <w:r>
              <w:t>1132.91</w:t>
            </w:r>
          </w:p>
        </w:tc>
        <w:tc>
          <w:tcPr>
            <w:tcW w:w="833" w:type="pct"/>
            <w:vAlign w:val="center"/>
          </w:tcPr>
          <w:p>
            <w:pPr>
              <w:pStyle w:val="19"/>
            </w:pPr>
            <w:r>
              <w:t>16.24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205</w:t>
            </w:r>
          </w:p>
        </w:tc>
        <w:tc>
          <w:tcPr>
            <w:tcW w:w="833" w:type="pct"/>
            <w:vAlign w:val="center"/>
          </w:tcPr>
          <w:p>
            <w:pPr>
              <w:pStyle w:val="16"/>
            </w:pPr>
            <w:r>
              <w:t>教育支出</w:t>
            </w:r>
          </w:p>
        </w:tc>
        <w:tc>
          <w:tcPr>
            <w:tcW w:w="833" w:type="pct"/>
            <w:vAlign w:val="center"/>
          </w:tcPr>
          <w:p>
            <w:pPr>
              <w:pStyle w:val="15"/>
            </w:pPr>
            <w:r>
              <w:t>1149.15</w:t>
            </w:r>
          </w:p>
        </w:tc>
        <w:tc>
          <w:tcPr>
            <w:tcW w:w="833" w:type="pct"/>
            <w:vAlign w:val="center"/>
          </w:tcPr>
          <w:p>
            <w:pPr>
              <w:pStyle w:val="15"/>
            </w:pPr>
            <w:r>
              <w:t>1132.91</w:t>
            </w:r>
          </w:p>
        </w:tc>
        <w:tc>
          <w:tcPr>
            <w:tcW w:w="833" w:type="pct"/>
            <w:vAlign w:val="center"/>
          </w:tcPr>
          <w:p>
            <w:pPr>
              <w:pStyle w:val="15"/>
            </w:pPr>
            <w:r>
              <w:t>16.24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20502</w:t>
            </w:r>
          </w:p>
        </w:tc>
        <w:tc>
          <w:tcPr>
            <w:tcW w:w="833" w:type="pct"/>
            <w:vAlign w:val="center"/>
          </w:tcPr>
          <w:p>
            <w:pPr>
              <w:pStyle w:val="16"/>
            </w:pPr>
            <w:r>
              <w:t>普通教育</w:t>
            </w:r>
          </w:p>
        </w:tc>
        <w:tc>
          <w:tcPr>
            <w:tcW w:w="833" w:type="pct"/>
            <w:vAlign w:val="center"/>
          </w:tcPr>
          <w:p>
            <w:pPr>
              <w:pStyle w:val="15"/>
            </w:pPr>
            <w:r>
              <w:t>1149.15</w:t>
            </w:r>
          </w:p>
        </w:tc>
        <w:tc>
          <w:tcPr>
            <w:tcW w:w="833" w:type="pct"/>
            <w:vAlign w:val="center"/>
          </w:tcPr>
          <w:p>
            <w:pPr>
              <w:pStyle w:val="15"/>
            </w:pPr>
            <w:r>
              <w:t>1132.91</w:t>
            </w:r>
          </w:p>
        </w:tc>
        <w:tc>
          <w:tcPr>
            <w:tcW w:w="833" w:type="pct"/>
            <w:vAlign w:val="center"/>
          </w:tcPr>
          <w:p>
            <w:pPr>
              <w:pStyle w:val="15"/>
            </w:pPr>
            <w:r>
              <w:t>16.24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2050201</w:t>
            </w:r>
          </w:p>
        </w:tc>
        <w:tc>
          <w:tcPr>
            <w:tcW w:w="833" w:type="pct"/>
            <w:vAlign w:val="center"/>
          </w:tcPr>
          <w:p>
            <w:pPr>
              <w:pStyle w:val="16"/>
            </w:pPr>
            <w:r>
              <w:t>学前教育</w:t>
            </w:r>
          </w:p>
        </w:tc>
        <w:tc>
          <w:tcPr>
            <w:tcW w:w="833" w:type="pct"/>
            <w:vAlign w:val="center"/>
          </w:tcPr>
          <w:p>
            <w:pPr>
              <w:pStyle w:val="15"/>
            </w:pPr>
            <w:r>
              <w:t>1149.15</w:t>
            </w:r>
          </w:p>
        </w:tc>
        <w:tc>
          <w:tcPr>
            <w:tcW w:w="833" w:type="pct"/>
            <w:vAlign w:val="center"/>
          </w:tcPr>
          <w:p>
            <w:pPr>
              <w:pStyle w:val="15"/>
            </w:pPr>
            <w:r>
              <w:t>1132.91</w:t>
            </w:r>
          </w:p>
        </w:tc>
        <w:tc>
          <w:tcPr>
            <w:tcW w:w="833" w:type="pct"/>
            <w:vAlign w:val="center"/>
          </w:tcPr>
          <w:p>
            <w:pPr>
              <w:pStyle w:val="15"/>
            </w:pPr>
            <w:r>
              <w:t>16.24</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432001廊坊市广阳区第二幼儿园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1132.91</w:t>
            </w:r>
          </w:p>
        </w:tc>
        <w:tc>
          <w:tcPr>
            <w:tcW w:w="833" w:type="pct"/>
            <w:vAlign w:val="center"/>
          </w:tcPr>
          <w:p>
            <w:pPr>
              <w:pStyle w:val="19"/>
            </w:pPr>
            <w:r>
              <w:t>1125.13</w:t>
            </w:r>
          </w:p>
        </w:tc>
        <w:tc>
          <w:tcPr>
            <w:tcW w:w="833" w:type="pct"/>
            <w:vAlign w:val="center"/>
          </w:tcPr>
          <w:p>
            <w:pPr>
              <w:pStyle w:val="19"/>
            </w:pPr>
            <w:r>
              <w:t>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1003.24</w:t>
            </w:r>
          </w:p>
        </w:tc>
        <w:tc>
          <w:tcPr>
            <w:tcW w:w="833" w:type="pct"/>
            <w:vAlign w:val="center"/>
          </w:tcPr>
          <w:p>
            <w:pPr>
              <w:pStyle w:val="15"/>
            </w:pPr>
            <w:r>
              <w:t>1003.24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281.43</w:t>
            </w:r>
          </w:p>
        </w:tc>
        <w:tc>
          <w:tcPr>
            <w:tcW w:w="833" w:type="pct"/>
            <w:vAlign w:val="center"/>
          </w:tcPr>
          <w:p>
            <w:pPr>
              <w:pStyle w:val="15"/>
            </w:pPr>
            <w:r>
              <w:t>281.43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109.38</w:t>
            </w:r>
          </w:p>
        </w:tc>
        <w:tc>
          <w:tcPr>
            <w:tcW w:w="833" w:type="pct"/>
            <w:vAlign w:val="center"/>
          </w:tcPr>
          <w:p>
            <w:pPr>
              <w:pStyle w:val="15"/>
            </w:pPr>
            <w:r>
              <w:t>109.38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182.64</w:t>
            </w:r>
          </w:p>
        </w:tc>
        <w:tc>
          <w:tcPr>
            <w:tcW w:w="833" w:type="pct"/>
            <w:vAlign w:val="center"/>
          </w:tcPr>
          <w:p>
            <w:pPr>
              <w:pStyle w:val="15"/>
            </w:pPr>
            <w:r>
              <w:t>182.64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219.05</w:t>
            </w:r>
          </w:p>
        </w:tc>
        <w:tc>
          <w:tcPr>
            <w:tcW w:w="833" w:type="pct"/>
            <w:vAlign w:val="center"/>
          </w:tcPr>
          <w:p>
            <w:pPr>
              <w:pStyle w:val="15"/>
            </w:pPr>
            <w:r>
              <w:t>219.05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95.61</w:t>
            </w:r>
          </w:p>
        </w:tc>
        <w:tc>
          <w:tcPr>
            <w:tcW w:w="833" w:type="pct"/>
            <w:vAlign w:val="center"/>
          </w:tcPr>
          <w:p>
            <w:pPr>
              <w:pStyle w:val="15"/>
            </w:pPr>
            <w:r>
              <w:t>95.61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30.92</w:t>
            </w:r>
          </w:p>
        </w:tc>
        <w:tc>
          <w:tcPr>
            <w:tcW w:w="833" w:type="pct"/>
            <w:vAlign w:val="center"/>
          </w:tcPr>
          <w:p>
            <w:pPr>
              <w:pStyle w:val="15"/>
            </w:pPr>
            <w:r>
              <w:t>30.92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2.78</w:t>
            </w:r>
          </w:p>
        </w:tc>
        <w:tc>
          <w:tcPr>
            <w:tcW w:w="833" w:type="pct"/>
            <w:vAlign w:val="center"/>
          </w:tcPr>
          <w:p>
            <w:pPr>
              <w:pStyle w:val="15"/>
            </w:pPr>
            <w:r>
              <w:t>2.78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79.20</w:t>
            </w:r>
          </w:p>
        </w:tc>
        <w:tc>
          <w:tcPr>
            <w:tcW w:w="833" w:type="pct"/>
            <w:vAlign w:val="center"/>
          </w:tcPr>
          <w:p>
            <w:pPr>
              <w:pStyle w:val="15"/>
            </w:pPr>
            <w:r>
              <w:t>79.20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2.23</w:t>
            </w:r>
          </w:p>
        </w:tc>
        <w:tc>
          <w:tcPr>
            <w:tcW w:w="833" w:type="pct"/>
            <w:vAlign w:val="center"/>
          </w:tcPr>
          <w:p>
            <w:pPr>
              <w:pStyle w:val="15"/>
            </w:pPr>
            <w:r>
              <w:t>2.23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7.78</w:t>
            </w:r>
          </w:p>
        </w:tc>
        <w:tc>
          <w:tcPr>
            <w:tcW w:w="833" w:type="pct"/>
            <w:vAlign w:val="center"/>
          </w:tcPr>
          <w:p>
            <w:pPr>
              <w:pStyle w:val="15"/>
            </w:pPr>
          </w:p>
        </w:tc>
        <w:tc>
          <w:tcPr>
            <w:tcW w:w="833" w:type="pct"/>
            <w:vAlign w:val="center"/>
          </w:tcPr>
          <w:p>
            <w:pPr>
              <w:pStyle w:val="15"/>
            </w:pPr>
            <w:r>
              <w:t>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4.03</w:t>
            </w:r>
          </w:p>
        </w:tc>
        <w:tc>
          <w:tcPr>
            <w:tcW w:w="833" w:type="pct"/>
            <w:vAlign w:val="center"/>
          </w:tcPr>
          <w:p>
            <w:pPr>
              <w:pStyle w:val="15"/>
            </w:pPr>
          </w:p>
        </w:tc>
        <w:tc>
          <w:tcPr>
            <w:tcW w:w="833" w:type="pct"/>
            <w:vAlign w:val="center"/>
          </w:tcPr>
          <w:p>
            <w:pPr>
              <w:pStyle w:val="15"/>
            </w:pPr>
            <w:r>
              <w:t>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3.75</w:t>
            </w:r>
          </w:p>
        </w:tc>
        <w:tc>
          <w:tcPr>
            <w:tcW w:w="833" w:type="pct"/>
            <w:vAlign w:val="center"/>
          </w:tcPr>
          <w:p>
            <w:pPr>
              <w:pStyle w:val="15"/>
            </w:pPr>
          </w:p>
        </w:tc>
        <w:tc>
          <w:tcPr>
            <w:tcW w:w="833" w:type="pct"/>
            <w:vAlign w:val="center"/>
          </w:tcPr>
          <w:p>
            <w:pPr>
              <w:pStyle w:val="15"/>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121.88</w:t>
            </w:r>
          </w:p>
        </w:tc>
        <w:tc>
          <w:tcPr>
            <w:tcW w:w="833" w:type="pct"/>
            <w:vAlign w:val="center"/>
          </w:tcPr>
          <w:p>
            <w:pPr>
              <w:pStyle w:val="15"/>
            </w:pPr>
            <w:r>
              <w:t>121.88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121.03</w:t>
            </w:r>
          </w:p>
        </w:tc>
        <w:tc>
          <w:tcPr>
            <w:tcW w:w="833" w:type="pct"/>
            <w:vAlign w:val="center"/>
          </w:tcPr>
          <w:p>
            <w:pPr>
              <w:pStyle w:val="15"/>
            </w:pPr>
            <w:r>
              <w:t>121.03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0.82</w:t>
            </w:r>
          </w:p>
        </w:tc>
        <w:tc>
          <w:tcPr>
            <w:tcW w:w="833" w:type="pct"/>
            <w:vAlign w:val="center"/>
          </w:tcPr>
          <w:p>
            <w:pPr>
              <w:pStyle w:val="15"/>
            </w:pPr>
            <w:r>
              <w:t>0.82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0.04</w:t>
            </w:r>
          </w:p>
        </w:tc>
        <w:tc>
          <w:tcPr>
            <w:tcW w:w="833" w:type="pct"/>
            <w:vAlign w:val="center"/>
          </w:tcPr>
          <w:p>
            <w:pPr>
              <w:pStyle w:val="15"/>
            </w:pPr>
            <w:r>
              <w:t>0.04</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432001廊坊市广阳区第二幼儿园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432001廊坊市广阳区第二幼儿园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432001廊坊市广阳区第二幼儿园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廊坊市广阳区第二幼儿园2023年单位预算信息公开情况说明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预算法》、《地方预决算公开操作规程》和《关于进一步推进预算公开工作的实施意见》规定，现将廊坊市广阳区第二幼儿园2023年单位预算公开如下：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(一)贯彻执行党和国家的教育方针、政策、法律法规，</w:t>
      </w:r>
      <w:r>
        <w:rPr>
          <w:rFonts w:hint="eastAsia"/>
          <w:lang w:eastAsia="zh-CN"/>
        </w:rPr>
        <w:t>制订</w:t>
      </w:r>
      <w:r>
        <w:t>我校的长远规划和年度计划，并组织实施。</w:t>
      </w:r>
    </w:p>
    <w:p>
      <w:pPr>
        <w:pStyle w:val="29"/>
      </w:pPr>
      <w:r>
        <w:t>(二)负责教育基本信息的统计、分析。</w:t>
      </w:r>
    </w:p>
    <w:p>
      <w:pPr>
        <w:pStyle w:val="29"/>
      </w:pPr>
      <w:r>
        <w:t>(三)负责基础教育的管理。推进义务教育均衡发展和促进教育公平，全面实施素质教育。</w:t>
      </w:r>
    </w:p>
    <w:p>
      <w:pPr>
        <w:pStyle w:val="29"/>
      </w:pPr>
      <w:r>
        <w:t>(四)负责学校教师队伍的建设和管理，提高教师队伍素质。</w:t>
      </w:r>
    </w:p>
    <w:p>
      <w:pPr>
        <w:pStyle w:val="29"/>
      </w:pPr>
      <w:r>
        <w:t>(五)负责本部门教育经费的统筹管理，教育经费预决算工作，教育经费的管理和使用；统筹规划和管理学校基本建设和设施的配置及计划统计工作。</w:t>
      </w:r>
    </w:p>
    <w:p>
      <w:pPr>
        <w:pStyle w:val="29"/>
      </w:pPr>
      <w:r>
        <w:t>(六)管理学校的党建、思想政治、宣传统战和维护稳定以及德育、体育、卫生防疫与艺术教育、国防教育工作；负责学校的安全监督管理。</w:t>
      </w:r>
    </w:p>
    <w:p>
      <w:pPr>
        <w:pStyle w:val="29"/>
      </w:pPr>
      <w:r>
        <w:t>(七)负责做好学校的招生、考试工作；负责管理本校教师学历教育及考试工作。</w:t>
      </w:r>
    </w:p>
    <w:p>
      <w:pPr>
        <w:pStyle w:val="29"/>
      </w:pPr>
      <w:r>
        <w:t>(八)负责组织开展学校教育的督导评估、检查验收、质量监测等工作。</w:t>
      </w:r>
    </w:p>
    <w:p>
      <w:pPr>
        <w:pStyle w:val="29"/>
      </w:pPr>
      <w:r>
        <w:t>(九)负责学校党的政治建设、思想建设、组织建设、作风建设、纪律建设和制度建设。</w:t>
      </w:r>
    </w:p>
    <w:p>
      <w:pPr>
        <w:pStyle w:val="29"/>
      </w:pPr>
      <w:r>
        <w:t>(十)负责学校学生和教师的思想政治工作，学校思想政治队伍建设和学校校本课程教育教学。</w:t>
      </w:r>
    </w:p>
    <w:p>
      <w:pPr>
        <w:pStyle w:val="29"/>
      </w:pPr>
      <w:r>
        <w:t>(十一)负责学校安全稳定工作。</w:t>
      </w:r>
    </w:p>
    <w:p>
      <w:pPr>
        <w:pStyle w:val="29"/>
      </w:pPr>
      <w:r>
        <w:t>(十二)做好本校体育事业发展规划、全民健身计划，开展群众性体育活动。</w:t>
      </w:r>
    </w:p>
    <w:p>
      <w:pPr>
        <w:pStyle w:val="29"/>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廊坊市广阳区第二幼儿园</w:t>
            </w:r>
          </w:p>
        </w:tc>
        <w:tc>
          <w:tcPr>
            <w:tcW w:w="1250" w:type="pct"/>
            <w:vAlign w:val="center"/>
          </w:tcPr>
          <w:p>
            <w:pPr>
              <w:pStyle w:val="17"/>
            </w:pPr>
            <w:r>
              <w:t>事业</w:t>
            </w:r>
          </w:p>
        </w:tc>
        <w:tc>
          <w:tcPr>
            <w:tcW w:w="1250" w:type="pct"/>
            <w:vAlign w:val="center"/>
          </w:tcPr>
          <w:p>
            <w:pPr>
              <w:pStyle w:val="17"/>
            </w:pPr>
            <w:r>
              <w:t>股级</w:t>
            </w:r>
          </w:p>
        </w:tc>
        <w:tc>
          <w:tcPr>
            <w:tcW w:w="1250" w:type="pct"/>
            <w:vAlign w:val="center"/>
          </w:tcPr>
          <w:p>
            <w:pPr>
              <w:pStyle w:val="17"/>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反映本部门当年全部收入。2023年预算收入1149.15万元，其中：一般公共预算收入1149.15万元，基金预算收入0万元，财政专户核拨收入0万元，其他来源收入0万元，上年结转0万元。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第二幼儿园2023年度部门预算中支出预算的总体情况。2023年支出预算1149.15万元，其中：基本支出1132.91万元，包括人员经费1125.13万元和日常公用经费7.78万元；项目支出16.24万元，全部为本级支出，主要为学前阶段生均公用经费项目。</w:t>
      </w:r>
    </w:p>
    <w:p>
      <w:pPr>
        <w:pStyle w:val="30"/>
      </w:pPr>
      <w:r>
        <w:t>3、比上年增减情况</w:t>
      </w:r>
    </w:p>
    <w:p>
      <w:pPr>
        <w:pStyle w:val="30"/>
      </w:pPr>
      <w:r>
        <w:t>2023年预算收支安排1149.15万元，较2022年预算增加138.52万元，其中：基本支出增加385.56万元，增加原因主要为人员经费支出增加；项目支出减少247.04万元，减少原因主要为2023年无合同制人员经费项目，合同制人员经费并入基本支出人员经费。</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2023年，我单位运行经费共计安排7.78万元，主要用于办公区的日常维修、办公费用、办公用房水电费、办公用房取暖费、邮电费、差旅费等日常运行支出。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ind w:firstLine="640"/>
      </w:pPr>
      <w:bookmarkStart w:id="14" w:name="tz_0002_0005"/>
      <w:bookmarkEnd w:id="14"/>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、教育教学绩效</w:t>
      </w:r>
    </w:p>
    <w:p>
      <w:pPr>
        <w:pStyle w:val="6"/>
        <w:spacing w:line="500" w:lineRule="exact"/>
        <w:ind w:firstLine="560"/>
      </w:pPr>
      <w:r>
        <w:rPr>
          <w:rFonts w:hint="eastAsia" w:hAnsi="方正仿宋_GBK" w:eastAsia="方正仿宋_GBK" w:cs="方正仿宋_GBK"/>
          <w:sz w:val="28"/>
          <w:lang w:val="uk" w:eastAsia="zh-CN" w:bidi="ar"/>
        </w:rPr>
        <w:t>绩效目标</w:t>
      </w:r>
      <w:r>
        <w:rPr>
          <w:rFonts w:eastAsia="方正仿宋_GBK" w:cs="Times New Roman"/>
          <w:sz w:val="28"/>
          <w:lang w:eastAsia="zh-CN" w:bidi="ar"/>
        </w:rPr>
        <w:t xml:space="preserve">: </w:t>
      </w:r>
      <w:r>
        <w:rPr>
          <w:rFonts w:hint="eastAsia" w:hAnsi="方正仿宋_GBK" w:eastAsia="方正仿宋_GBK" w:cs="方正仿宋_GBK"/>
          <w:sz w:val="28"/>
          <w:lang w:val="uk" w:eastAsia="zh-CN" w:bidi="ar"/>
        </w:rPr>
        <w:t>按质按量完成教育教学方面的各项任务，稳步提升学校的教育教学质量绩效指标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学生综合素质评价优秀率达到</w:t>
      </w:r>
      <w:r>
        <w:rPr>
          <w:rFonts w:eastAsia="方正仿宋_GBK" w:cs="Times New Roman"/>
          <w:sz w:val="28"/>
          <w:lang w:eastAsia="zh-CN" w:bidi="ar"/>
        </w:rPr>
        <w:t>85%,</w:t>
      </w:r>
      <w:r>
        <w:rPr>
          <w:rFonts w:hint="eastAsia" w:hAnsi="方正仿宋_GBK" w:eastAsia="方正仿宋_GBK" w:cs="方正仿宋_GBK"/>
          <w:sz w:val="28"/>
          <w:lang w:val="uk" w:eastAsia="zh-CN" w:bidi="ar"/>
        </w:rPr>
        <w:t>合格率达到</w:t>
      </w:r>
      <w:r>
        <w:rPr>
          <w:rFonts w:eastAsia="方正仿宋_GBK" w:cs="Times New Roman"/>
          <w:sz w:val="28"/>
          <w:lang w:eastAsia="zh-CN" w:bidi="ar"/>
        </w:rPr>
        <w:t>100%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、培养高素质的教师队伤</w:t>
      </w:r>
    </w:p>
    <w:p>
      <w:pPr>
        <w:pStyle w:val="6"/>
        <w:spacing w:line="500" w:lineRule="exact"/>
        <w:ind w:firstLine="560"/>
      </w:pPr>
      <w:r>
        <w:rPr>
          <w:rFonts w:hint="eastAsia" w:hAnsi="方正仿宋_GBK" w:eastAsia="方正仿宋_GBK" w:cs="方正仿宋_GBK"/>
          <w:sz w:val="28"/>
          <w:lang w:val="uk" w:eastAsia="zh-CN" w:bidi="ar"/>
        </w:rPr>
        <w:t>绩效目标</w:t>
      </w:r>
      <w:r>
        <w:rPr>
          <w:rFonts w:eastAsia="方正仿宋_GBK" w:cs="Times New Roman"/>
          <w:sz w:val="28"/>
          <w:lang w:eastAsia="zh-CN" w:bidi="ar"/>
        </w:rPr>
        <w:t>:</w:t>
      </w:r>
      <w:r>
        <w:rPr>
          <w:rFonts w:hint="eastAsia" w:hAnsi="方正仿宋_GBK" w:eastAsia="方正仿宋_GBK" w:cs="方正仿宋_GBK"/>
          <w:sz w:val="28"/>
          <w:lang w:val="uk" w:eastAsia="zh-CN" w:bidi="ar"/>
        </w:rPr>
        <w:t>开展制度化的教研组活动</w:t>
      </w:r>
      <w:r>
        <w:rPr>
          <w:rFonts w:eastAsia="方正仿宋_GBK" w:cs="Times New Roman"/>
          <w:sz w:val="28"/>
          <w:lang w:eastAsia="zh-CN" w:bidi="ar"/>
        </w:rPr>
        <w:t>,</w:t>
      </w:r>
      <w:r>
        <w:rPr>
          <w:rFonts w:hint="eastAsia" w:hAnsi="方正仿宋_GBK" w:eastAsia="方正仿宋_GBK" w:cs="方正仿宋_GBK"/>
          <w:sz w:val="28"/>
          <w:lang w:val="uk" w:eastAsia="zh-CN" w:bidi="ar"/>
        </w:rPr>
        <w:t>培训学习活动</w:t>
      </w:r>
      <w:r>
        <w:rPr>
          <w:rFonts w:eastAsia="方正仿宋_GBK" w:cs="Times New Roman"/>
          <w:sz w:val="28"/>
          <w:lang w:eastAsia="zh-CN" w:bidi="ar"/>
        </w:rPr>
        <w:t>,</w:t>
      </w:r>
      <w:r>
        <w:rPr>
          <w:rFonts w:hint="eastAsia" w:hAnsi="方正仿宋_GBK" w:eastAsia="方正仿宋_GBK" w:cs="方正仿宋_GBK"/>
          <w:sz w:val="28"/>
          <w:lang w:val="uk" w:eastAsia="zh-CN" w:bidi="ar"/>
        </w:rPr>
        <w:t>青年教师比赛课</w:t>
      </w:r>
      <w:r>
        <w:rPr>
          <w:rFonts w:eastAsia="方正仿宋_GBK" w:cs="Times New Roman"/>
          <w:sz w:val="28"/>
          <w:lang w:eastAsia="zh-CN" w:bidi="ar"/>
        </w:rPr>
        <w:t>,</w:t>
      </w:r>
      <w:r>
        <w:rPr>
          <w:rFonts w:hint="eastAsia" w:hAnsi="方正仿宋_GBK" w:eastAsia="方正仿宋_GBK" w:cs="方正仿宋_GBK"/>
          <w:sz w:val="28"/>
          <w:lang w:val="uk" w:eastAsia="zh-CN" w:bidi="ar"/>
        </w:rPr>
        <w:t>网络继续教育培训等各类活动</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确保年度教师队伤培训率达到</w:t>
      </w:r>
      <w:r>
        <w:rPr>
          <w:rFonts w:eastAsia="方正仿宋_GBK" w:cs="Times New Roman"/>
          <w:sz w:val="28"/>
          <w:lang w:eastAsia="zh-CN" w:bidi="ar"/>
        </w:rPr>
        <w:t>95%</w:t>
      </w:r>
      <w:r>
        <w:rPr>
          <w:rFonts w:hint="eastAsia" w:hAnsi="方正仿宋_GBK" w:eastAsia="方正仿宋_GBK" w:cs="方正仿宋_GBK"/>
          <w:sz w:val="28"/>
          <w:lang w:val="uk" w:eastAsia="zh-CN" w:bidi="ar"/>
        </w:rPr>
        <w:t>以上</w:t>
      </w:r>
      <w:r>
        <w:rPr>
          <w:rFonts w:eastAsia="方正仿宋_GBK" w:cs="Times New Roman"/>
          <w:sz w:val="28"/>
          <w:lang w:eastAsia="zh-CN" w:bidi="ar"/>
        </w:rPr>
        <w:t>,</w:t>
      </w:r>
      <w:r>
        <w:rPr>
          <w:rFonts w:hint="eastAsia" w:hAnsi="方正仿宋_GBK" w:eastAsia="方正仿宋_GBK" w:cs="方正仿宋_GBK"/>
          <w:sz w:val="28"/>
          <w:lang w:val="uk" w:eastAsia="zh-CN" w:bidi="ar"/>
        </w:rPr>
        <w:t>有效促进教师教育教学水平的提升</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、学校办学条件的发展建设</w:t>
      </w:r>
    </w:p>
    <w:p>
      <w:pPr>
        <w:pStyle w:val="6"/>
        <w:spacing w:line="500" w:lineRule="exact"/>
        <w:ind w:firstLine="560"/>
      </w:pPr>
      <w:r>
        <w:rPr>
          <w:rFonts w:hint="eastAsia" w:hAnsi="方正仿宋_GBK" w:eastAsia="方正仿宋_GBK" w:cs="方正仿宋_GBK"/>
          <w:sz w:val="28"/>
          <w:lang w:val="uk" w:eastAsia="zh-CN" w:bidi="ar"/>
        </w:rPr>
        <w:t>结效目标</w:t>
      </w:r>
      <w:r>
        <w:rPr>
          <w:rFonts w:eastAsia="方正仿宋_GBK" w:cs="Times New Roman"/>
          <w:sz w:val="28"/>
          <w:lang w:eastAsia="zh-CN" w:bidi="ar"/>
        </w:rPr>
        <w:t>:</w:t>
      </w:r>
      <w:r>
        <w:rPr>
          <w:rFonts w:hint="eastAsia" w:hAnsi="方正仿宋_GBK" w:eastAsia="方正仿宋_GBK" w:cs="方正仿宋_GBK"/>
          <w:sz w:val="28"/>
          <w:lang w:val="uk" w:eastAsia="zh-CN" w:bidi="ar"/>
        </w:rPr>
        <w:t>不断改善办学条件，提升学校基础设施设备的整体水平。加强学校基础设施设备的维护</w:t>
      </w:r>
      <w:r>
        <w:rPr>
          <w:rFonts w:eastAsia="方正仿宋_GBK" w:cs="Times New Roman"/>
          <w:sz w:val="28"/>
          <w:lang w:eastAsia="zh-CN" w:bidi="ar"/>
        </w:rPr>
        <w:t>,</w:t>
      </w:r>
      <w:r>
        <w:rPr>
          <w:rFonts w:hint="eastAsia" w:hAnsi="方正仿宋_GBK" w:eastAsia="方正仿宋_GBK" w:cs="方正仿宋_GBK"/>
          <w:sz w:val="28"/>
          <w:lang w:val="uk" w:eastAsia="zh-CN" w:bidi="ar"/>
        </w:rPr>
        <w:t>确保校园安全</w:t>
      </w:r>
      <w:r>
        <w:rPr>
          <w:rFonts w:eastAsia="方正仿宋_GBK" w:cs="Times New Roman"/>
          <w:sz w:val="28"/>
          <w:lang w:eastAsia="zh-CN" w:bidi="ar"/>
        </w:rPr>
        <w:t>,</w:t>
      </w:r>
      <w:r>
        <w:rPr>
          <w:rFonts w:hint="eastAsia" w:hAnsi="方正仿宋_GBK" w:eastAsia="方正仿宋_GBK" w:cs="方正仿宋_GBK"/>
          <w:sz w:val="28"/>
          <w:lang w:val="uk" w:eastAsia="zh-CN" w:bidi="ar"/>
        </w:rPr>
        <w:t>落实校园防火及其他安全隐患的预防工作。绩效指标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确保校园各设施设备的正常运行。</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、推动学校思想文化建设工作</w:t>
      </w:r>
    </w:p>
    <w:p>
      <w:pPr>
        <w:pStyle w:val="6"/>
        <w:spacing w:line="500" w:lineRule="exact"/>
        <w:ind w:firstLine="560"/>
      </w:pPr>
      <w:r>
        <w:rPr>
          <w:rFonts w:hint="eastAsia" w:hAnsi="方正仿宋_GBK" w:eastAsia="方正仿宋_GBK" w:cs="方正仿宋_GBK"/>
          <w:sz w:val="28"/>
          <w:lang w:val="uk" w:eastAsia="zh-CN" w:bidi="ar"/>
        </w:rPr>
        <w:t>绩效目标</w:t>
      </w:r>
      <w:r>
        <w:rPr>
          <w:rFonts w:eastAsia="方正仿宋_GBK" w:cs="Times New Roman"/>
          <w:sz w:val="28"/>
          <w:lang w:eastAsia="zh-CN" w:bidi="ar"/>
        </w:rPr>
        <w:t>:</w:t>
      </w:r>
      <w:r>
        <w:rPr>
          <w:rFonts w:hint="eastAsia" w:hAnsi="方正仿宋_GBK" w:eastAsia="方正仿宋_GBK" w:cs="方正仿宋_GBK"/>
          <w:sz w:val="28"/>
          <w:lang w:val="uk" w:eastAsia="zh-CN" w:bidi="ar"/>
        </w:rPr>
        <w:t>完善拓展德育队伍建设，树立全员育人观念，并取得一定成绩，形成学校、家庭，社会三位一体的教育格局。强化德育评比体制。</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完善心理咨询室的建设，寓心理健康教育于教育教学工作中，开展好理论学习和个案分析。</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、促进学校社会影响力</w:t>
      </w:r>
    </w:p>
    <w:p>
      <w:pPr>
        <w:pStyle w:val="6"/>
        <w:spacing w:line="500" w:lineRule="exact"/>
        <w:ind w:firstLine="560"/>
      </w:pPr>
      <w:r>
        <w:rPr>
          <w:rFonts w:hint="eastAsia" w:hAnsi="方正仿宋_GBK" w:eastAsia="方正仿宋_GBK" w:cs="方正仿宋_GBK"/>
          <w:sz w:val="28"/>
          <w:lang w:val="uk" w:eastAsia="zh-CN" w:bidi="ar"/>
        </w:rPr>
        <w:t>绩效目标</w:t>
      </w:r>
      <w:r>
        <w:rPr>
          <w:rFonts w:eastAsia="方正仿宋_GBK" w:cs="Times New Roman"/>
          <w:sz w:val="28"/>
          <w:lang w:eastAsia="zh-CN" w:bidi="ar"/>
        </w:rPr>
        <w:t>:</w:t>
      </w:r>
      <w:r>
        <w:rPr>
          <w:rFonts w:hint="eastAsia" w:hAnsi="方正仿宋_GBK" w:eastAsia="方正仿宋_GBK" w:cs="方正仿宋_GBK"/>
          <w:sz w:val="28"/>
          <w:lang w:val="uk" w:eastAsia="zh-CN" w:bidi="ar"/>
        </w:rPr>
        <w:t>办人民满意的学校</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教师、学生、家长整体满意度达到</w:t>
      </w:r>
      <w:r>
        <w:rPr>
          <w:rFonts w:eastAsia="方正仿宋_GBK" w:cs="Times New Roman"/>
          <w:sz w:val="28"/>
          <w:lang w:eastAsia="zh-CN" w:bidi="ar"/>
        </w:rPr>
        <w:t>95%</w:t>
      </w:r>
      <w:r>
        <w:rPr>
          <w:rFonts w:hint="eastAsia" w:hAnsi="方正仿宋_GBK" w:eastAsia="方正仿宋_GBK" w:cs="方正仿宋_GBK"/>
          <w:sz w:val="28"/>
          <w:lang w:val="uk" w:eastAsia="zh-CN" w:bidi="ar"/>
        </w:rPr>
        <w:t>以上。</w:t>
      </w:r>
    </w:p>
    <w:p>
      <w:pPr>
        <w:pStyle w:val="6"/>
        <w:spacing w:line="500" w:lineRule="exact"/>
        <w:ind w:firstLine="560"/>
      </w:pP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、成立学校监督小组，监督学校工作，强化工作落实。</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、学校体育、卫生工作。根据《幼儿园健康体检管理办法》要求，对在校学生每年进行</w:t>
      </w:r>
      <w:r>
        <w:rPr>
          <w:rFonts w:eastAsia="方正仿宋_GBK" w:cs="Times New Roman"/>
          <w:sz w:val="28"/>
          <w:lang w:eastAsia="zh-CN" w:bidi="ar"/>
        </w:rPr>
        <w:t>1</w:t>
      </w:r>
      <w:r>
        <w:rPr>
          <w:rFonts w:hint="eastAsia" w:hAnsi="方正仿宋_GBK" w:eastAsia="方正仿宋_GBK" w:cs="方正仿宋_GBK"/>
          <w:sz w:val="28"/>
          <w:lang w:val="uk" w:eastAsia="zh-CN" w:bidi="ar"/>
        </w:rPr>
        <w:t>次常规健康体检。</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、加强政治理论学习，强化党风廉政建设。做好师德传承活动，落实老中青传帮带。弘扬办学精神。加强师德宣传与学习活动。开展形式多样、扎实有效的师德教育活动。</w:t>
      </w:r>
    </w:p>
    <w:p>
      <w:pPr>
        <w:pStyle w:val="6"/>
        <w:spacing w:line="500" w:lineRule="exact"/>
        <w:ind w:firstLine="560"/>
      </w:pPr>
      <w:r>
        <w:rPr>
          <w:rFonts w:hint="eastAsia" w:hAnsi="方正仿宋_GBK" w:eastAsia="方正仿宋_GBK" w:cs="方正仿宋_GBK"/>
          <w:sz w:val="28"/>
          <w:lang w:val="uk" w:eastAsia="zh-CN" w:bidi="ar"/>
        </w:rPr>
        <w:t>逐步制订、完善相关制度，规范教师师德。加强校本培训和继续教育工作，提升教师能力。落实教师评价工作，完善考核机制。搭建教师发展平台。</w:t>
      </w:r>
    </w:p>
    <w:p>
      <w:pPr>
        <w:pStyle w:val="6"/>
        <w:spacing w:line="500" w:lineRule="exact"/>
        <w:ind w:firstLine="560"/>
      </w:pP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991"/>
        <w:gridCol w:w="1418"/>
        <w:gridCol w:w="3118"/>
        <w:gridCol w:w="3261"/>
        <w:gridCol w:w="1294"/>
        <w:gridCol w:w="1258"/>
        <w:gridCol w:w="992"/>
        <w:gridCol w:w="177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99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141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3118"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326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3544"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774"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41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118"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26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774"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9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保障幼儿人数</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每未完成</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人，扣减分值</w:t>
            </w:r>
            <w:r>
              <w:rPr>
                <w:rFonts w:cs="Times New Roman"/>
                <w:color w:val="000000"/>
                <w:sz w:val="22"/>
                <w:szCs w:val="22"/>
                <w:lang w:eastAsia="zh-CN" w:bidi="ar"/>
              </w:rPr>
              <w:t>1%</w:t>
            </w:r>
          </w:p>
        </w:tc>
        <w:tc>
          <w:tcPr>
            <w:tcW w:w="326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保障人数</w:t>
            </w: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cs="Times New Roman"/>
                <w:color w:val="000000"/>
                <w:lang w:eastAsia="zh-CN" w:bidi="ar"/>
              </w:rPr>
              <w:t>≤</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406</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人</w:t>
            </w:r>
          </w:p>
        </w:tc>
        <w:tc>
          <w:tcPr>
            <w:tcW w:w="177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实际招生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数量</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保障教学天数</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每减少</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天，减数量分值的</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w:t>
            </w:r>
          </w:p>
        </w:tc>
        <w:tc>
          <w:tcPr>
            <w:tcW w:w="326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教育教学活动开展次数</w:t>
            </w: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280</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天</w:t>
            </w:r>
          </w:p>
        </w:tc>
        <w:tc>
          <w:tcPr>
            <w:tcW w:w="177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运转保障率</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每降低</w:t>
            </w:r>
            <w:r>
              <w:rPr>
                <w:rFonts w:cs="Times New Roman"/>
                <w:color w:val="000000"/>
                <w:sz w:val="22"/>
                <w:szCs w:val="22"/>
                <w:lang w:eastAsia="zh-CN" w:bidi="ar"/>
              </w:rPr>
              <w:t>5%</w:t>
            </w:r>
            <w:r>
              <w:rPr>
                <w:rFonts w:hint="eastAsia" w:ascii="宋体" w:hAnsi="宋体" w:eastAsia="宋体" w:cs="宋体"/>
                <w:color w:val="000000"/>
                <w:sz w:val="22"/>
                <w:szCs w:val="22"/>
                <w:lang w:val="uk" w:eastAsia="zh-CN" w:bidi="ar"/>
              </w:rPr>
              <w:t>，扣标准分值的</w:t>
            </w:r>
            <w:r>
              <w:rPr>
                <w:rFonts w:cs="Times New Roman"/>
                <w:color w:val="000000"/>
                <w:sz w:val="22"/>
                <w:szCs w:val="22"/>
                <w:lang w:eastAsia="zh-CN" w:bidi="ar"/>
              </w:rPr>
              <w:t>5%</w:t>
            </w:r>
            <w:r>
              <w:rPr>
                <w:rFonts w:hint="eastAsia" w:ascii="宋体" w:hAnsi="宋体" w:eastAsia="宋体" w:cs="宋体"/>
                <w:color w:val="000000"/>
                <w:sz w:val="22"/>
                <w:szCs w:val="22"/>
                <w:lang w:val="uk" w:eastAsia="zh-CN" w:bidi="ar"/>
              </w:rPr>
              <w:t>。</w:t>
            </w:r>
          </w:p>
        </w:tc>
        <w:tc>
          <w:tcPr>
            <w:tcW w:w="326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各项日常工作保障率</w:t>
            </w: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100</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77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教育教学活动考核合格率</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达到指标目标值得满分，达到</w:t>
            </w:r>
            <w:r>
              <w:rPr>
                <w:rFonts w:cs="Times New Roman"/>
                <w:color w:val="000000"/>
                <w:sz w:val="22"/>
                <w:szCs w:val="22"/>
                <w:lang w:eastAsia="zh-CN" w:bidi="ar"/>
              </w:rPr>
              <w:t>80%</w:t>
            </w:r>
            <w:r>
              <w:rPr>
                <w:rFonts w:hint="eastAsia" w:ascii="宋体" w:hAnsi="宋体" w:eastAsia="宋体" w:cs="宋体"/>
                <w:color w:val="000000"/>
                <w:sz w:val="22"/>
                <w:szCs w:val="22"/>
                <w:lang w:val="uk" w:eastAsia="zh-CN" w:bidi="ar"/>
              </w:rPr>
              <w:t>目标值得权重分的</w:t>
            </w:r>
            <w:r>
              <w:rPr>
                <w:rFonts w:cs="Times New Roman"/>
                <w:color w:val="000000"/>
                <w:sz w:val="22"/>
                <w:szCs w:val="22"/>
                <w:lang w:eastAsia="zh-CN" w:bidi="ar"/>
              </w:rPr>
              <w:t>50%</w:t>
            </w:r>
            <w:r>
              <w:rPr>
                <w:rFonts w:hint="eastAsia" w:ascii="宋体" w:hAnsi="宋体" w:eastAsia="宋体" w:cs="宋体"/>
                <w:color w:val="000000"/>
                <w:sz w:val="22"/>
                <w:szCs w:val="22"/>
                <w:lang w:val="uk" w:eastAsia="zh-CN" w:bidi="ar"/>
              </w:rPr>
              <w:t>，低于</w:t>
            </w:r>
            <w:r>
              <w:rPr>
                <w:rFonts w:cs="Times New Roman"/>
                <w:color w:val="000000"/>
                <w:sz w:val="22"/>
                <w:szCs w:val="22"/>
                <w:lang w:eastAsia="zh-CN" w:bidi="ar"/>
              </w:rPr>
              <w:t>80%</w:t>
            </w:r>
            <w:r>
              <w:rPr>
                <w:rFonts w:hint="eastAsia" w:ascii="宋体" w:hAnsi="宋体" w:eastAsia="宋体" w:cs="宋体"/>
                <w:color w:val="000000"/>
                <w:sz w:val="22"/>
                <w:szCs w:val="22"/>
                <w:lang w:val="uk" w:eastAsia="zh-CN" w:bidi="ar"/>
              </w:rPr>
              <w:t>不得分。</w:t>
            </w:r>
          </w:p>
        </w:tc>
        <w:tc>
          <w:tcPr>
            <w:tcW w:w="326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教育教学活动考核合格率</w:t>
            </w: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95</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77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经费保障及时性</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及时保障得满分，否则不得分。</w:t>
            </w:r>
          </w:p>
        </w:tc>
        <w:tc>
          <w:tcPr>
            <w:tcW w:w="326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及时保障各项日常办公需要</w:t>
            </w: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及时保障</w:t>
            </w:r>
          </w:p>
        </w:tc>
        <w:tc>
          <w:tcPr>
            <w:tcW w:w="177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教育教学活动开展及时性</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每出现</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次未在规定时间内开展，扣</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权重分。</w:t>
            </w:r>
          </w:p>
        </w:tc>
        <w:tc>
          <w:tcPr>
            <w:tcW w:w="326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教育教学活动开展及时性</w:t>
            </w: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按规定时间开展</w:t>
            </w:r>
          </w:p>
        </w:tc>
        <w:tc>
          <w:tcPr>
            <w:tcW w:w="177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成本</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日常公用经费开支标准</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每超过一项规定标准扣标准分值的</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w:t>
            </w:r>
          </w:p>
        </w:tc>
        <w:tc>
          <w:tcPr>
            <w:tcW w:w="326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办公费、水电费、交通费、会议费、工会经费、招待费及其他公用经费的开支标准</w:t>
            </w: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按统一规定执行</w:t>
            </w:r>
          </w:p>
        </w:tc>
        <w:tc>
          <w:tcPr>
            <w:tcW w:w="177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单位效果</w:t>
            </w:r>
          </w:p>
        </w:tc>
        <w:tc>
          <w:tcPr>
            <w:tcW w:w="9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保障学校正常教育教学活动开展</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达标得满分，基本达标得</w:t>
            </w:r>
            <w:r>
              <w:rPr>
                <w:rFonts w:cs="Times New Roman"/>
                <w:color w:val="000000"/>
                <w:sz w:val="22"/>
                <w:szCs w:val="22"/>
                <w:lang w:eastAsia="zh-CN" w:bidi="ar"/>
              </w:rPr>
              <w:t>80%</w:t>
            </w:r>
            <w:r>
              <w:rPr>
                <w:rFonts w:hint="eastAsia" w:ascii="宋体" w:hAnsi="宋体" w:eastAsia="宋体" w:cs="宋体"/>
                <w:color w:val="000000"/>
                <w:sz w:val="22"/>
                <w:szCs w:val="22"/>
                <w:lang w:val="uk" w:eastAsia="zh-CN" w:bidi="ar"/>
              </w:rPr>
              <w:t>权重分，部分达标得</w:t>
            </w:r>
            <w:r>
              <w:rPr>
                <w:rFonts w:cs="Times New Roman"/>
                <w:color w:val="000000"/>
                <w:sz w:val="22"/>
                <w:szCs w:val="22"/>
                <w:lang w:eastAsia="zh-CN" w:bidi="ar"/>
              </w:rPr>
              <w:t>60%</w:t>
            </w:r>
            <w:r>
              <w:rPr>
                <w:rFonts w:hint="eastAsia" w:ascii="宋体" w:hAnsi="宋体" w:eastAsia="宋体" w:cs="宋体"/>
                <w:color w:val="000000"/>
                <w:sz w:val="22"/>
                <w:szCs w:val="22"/>
                <w:lang w:val="uk" w:eastAsia="zh-CN" w:bidi="ar"/>
              </w:rPr>
              <w:t>权重分，不达标不得分。</w:t>
            </w:r>
          </w:p>
        </w:tc>
        <w:tc>
          <w:tcPr>
            <w:tcW w:w="326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有效保障学校正常教育教学活动开展</w:t>
            </w: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有效</w:t>
            </w:r>
          </w:p>
        </w:tc>
        <w:tc>
          <w:tcPr>
            <w:tcW w:w="177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14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幼儿及家长满意度</w:t>
            </w:r>
          </w:p>
        </w:tc>
        <w:tc>
          <w:tcPr>
            <w:tcW w:w="311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达到指标目标值得满分，每下降</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，扣权重分值的</w:t>
            </w:r>
            <w:r>
              <w:rPr>
                <w:rFonts w:cs="Times New Roman"/>
                <w:color w:val="000000"/>
                <w:sz w:val="22"/>
                <w:szCs w:val="22"/>
                <w:lang w:eastAsia="zh-CN" w:bidi="ar"/>
              </w:rPr>
              <w:t>2.5%</w:t>
            </w:r>
            <w:r>
              <w:rPr>
                <w:rFonts w:hint="eastAsia" w:ascii="宋体" w:hAnsi="宋体" w:eastAsia="宋体" w:cs="宋体"/>
                <w:color w:val="000000"/>
                <w:sz w:val="22"/>
                <w:szCs w:val="22"/>
                <w:lang w:val="uk" w:eastAsia="zh-CN" w:bidi="ar"/>
              </w:rPr>
              <w:t>，低于</w:t>
            </w:r>
            <w:r>
              <w:rPr>
                <w:rFonts w:cs="Times New Roman"/>
                <w:color w:val="000000"/>
                <w:sz w:val="22"/>
                <w:szCs w:val="22"/>
                <w:lang w:eastAsia="zh-CN" w:bidi="ar"/>
              </w:rPr>
              <w:t>60%</w:t>
            </w:r>
            <w:r>
              <w:rPr>
                <w:rFonts w:hint="eastAsia" w:ascii="宋体" w:hAnsi="宋体" w:eastAsia="宋体" w:cs="宋体"/>
                <w:color w:val="000000"/>
                <w:sz w:val="22"/>
                <w:szCs w:val="22"/>
                <w:lang w:val="uk" w:eastAsia="zh-CN" w:bidi="ar"/>
              </w:rPr>
              <w:t>不得分。</w:t>
            </w:r>
          </w:p>
        </w:tc>
        <w:tc>
          <w:tcPr>
            <w:tcW w:w="326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幼儿及家长满意度</w:t>
            </w:r>
          </w:p>
        </w:tc>
        <w:tc>
          <w:tcPr>
            <w:tcW w:w="129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258"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90</w:t>
            </w:r>
          </w:p>
        </w:tc>
        <w:tc>
          <w:tcPr>
            <w:tcW w:w="99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77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91"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满意度</w:t>
            </w:r>
          </w:p>
        </w:tc>
        <w:tc>
          <w:tcPr>
            <w:tcW w:w="1418"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教职工满意度</w:t>
            </w:r>
          </w:p>
        </w:tc>
        <w:tc>
          <w:tcPr>
            <w:tcW w:w="3118"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达到指标目标值得满分，每下降</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，扣权重分值的</w:t>
            </w:r>
            <w:r>
              <w:rPr>
                <w:rFonts w:cs="Times New Roman"/>
                <w:color w:val="000000"/>
                <w:sz w:val="22"/>
                <w:szCs w:val="22"/>
                <w:lang w:eastAsia="zh-CN" w:bidi="ar"/>
              </w:rPr>
              <w:t>2.5%</w:t>
            </w:r>
            <w:r>
              <w:rPr>
                <w:rFonts w:hint="eastAsia" w:ascii="宋体" w:hAnsi="宋体" w:eastAsia="宋体" w:cs="宋体"/>
                <w:color w:val="000000"/>
                <w:sz w:val="22"/>
                <w:szCs w:val="22"/>
                <w:lang w:val="uk" w:eastAsia="zh-CN" w:bidi="ar"/>
              </w:rPr>
              <w:t>，低于</w:t>
            </w:r>
            <w:r>
              <w:rPr>
                <w:rFonts w:cs="Times New Roman"/>
                <w:color w:val="000000"/>
                <w:sz w:val="22"/>
                <w:szCs w:val="22"/>
                <w:lang w:eastAsia="zh-CN" w:bidi="ar"/>
              </w:rPr>
              <w:t>60%</w:t>
            </w:r>
            <w:r>
              <w:rPr>
                <w:rFonts w:hint="eastAsia" w:ascii="宋体" w:hAnsi="宋体" w:eastAsia="宋体" w:cs="宋体"/>
                <w:color w:val="000000"/>
                <w:sz w:val="22"/>
                <w:szCs w:val="22"/>
                <w:lang w:val="uk" w:eastAsia="zh-CN" w:bidi="ar"/>
              </w:rPr>
              <w:t>不得分。</w:t>
            </w:r>
          </w:p>
        </w:tc>
        <w:tc>
          <w:tcPr>
            <w:tcW w:w="3261"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教职工满意度</w:t>
            </w:r>
          </w:p>
        </w:tc>
        <w:tc>
          <w:tcPr>
            <w:tcW w:w="1294"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258"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90</w:t>
            </w:r>
          </w:p>
        </w:tc>
        <w:tc>
          <w:tcPr>
            <w:tcW w:w="992"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1774"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问卷调查</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280" w:firstLineChars="100"/>
      </w:pPr>
      <w:r>
        <w:rPr>
          <w:rFonts w:ascii="方正仿宋_GBK" w:hAnsi="方正仿宋_GBK" w:eastAsia="方正仿宋_GBK" w:cs="方正仿宋_GBK"/>
          <w:b/>
          <w:color w:val="000000"/>
          <w:sz w:val="28"/>
        </w:rPr>
        <w:t>1、学前阶段生均公用经费绩效目标表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1.保障幼儿园正常运转。</w:t>
            </w:r>
          </w:p>
          <w:p>
            <w:pPr>
              <w:pStyle w:val="16"/>
            </w:pPr>
            <w:r>
              <w:t>2.通过项目的开展，进一步提升办园水平，促进学前教育健康发展，办好人民满意的教育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满足教育教学学生人数</w:t>
            </w:r>
          </w:p>
        </w:tc>
        <w:tc>
          <w:tcPr>
            <w:tcW w:w="2835" w:type="dxa"/>
            <w:vAlign w:val="center"/>
          </w:tcPr>
          <w:p>
            <w:pPr>
              <w:pStyle w:val="16"/>
            </w:pPr>
            <w:r>
              <w:t>满足教育教学学生人数</w:t>
            </w:r>
          </w:p>
        </w:tc>
        <w:tc>
          <w:tcPr>
            <w:tcW w:w="2551" w:type="dxa"/>
            <w:vAlign w:val="center"/>
          </w:tcPr>
          <w:p>
            <w:pPr>
              <w:pStyle w:val="16"/>
            </w:pPr>
            <w:r>
              <w:t>406人</w:t>
            </w:r>
          </w:p>
        </w:tc>
        <w:tc>
          <w:tcPr>
            <w:tcW w:w="2268" w:type="dxa"/>
            <w:vAlign w:val="center"/>
          </w:tcPr>
          <w:p>
            <w:pPr>
              <w:pStyle w:val="16"/>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购买产品和服务的合格率</w:t>
            </w:r>
          </w:p>
        </w:tc>
        <w:tc>
          <w:tcPr>
            <w:tcW w:w="2835" w:type="dxa"/>
            <w:vAlign w:val="center"/>
          </w:tcPr>
          <w:p>
            <w:pPr>
              <w:pStyle w:val="16"/>
            </w:pPr>
            <w:r>
              <w:t>购买产品和服务的合格率</w:t>
            </w:r>
          </w:p>
        </w:tc>
        <w:tc>
          <w:tcPr>
            <w:tcW w:w="2551" w:type="dxa"/>
            <w:vAlign w:val="center"/>
          </w:tcPr>
          <w:p>
            <w:pPr>
              <w:pStyle w:val="16"/>
            </w:pPr>
            <w:r>
              <w:t>100%</w:t>
            </w:r>
          </w:p>
        </w:tc>
        <w:tc>
          <w:tcPr>
            <w:tcW w:w="2268" w:type="dxa"/>
            <w:vAlign w:val="center"/>
          </w:tcPr>
          <w:p>
            <w:pPr>
              <w:pStyle w:val="16"/>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用于保障学校工作完成及时率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幼儿生均经费标准</w:t>
            </w:r>
          </w:p>
        </w:tc>
        <w:tc>
          <w:tcPr>
            <w:tcW w:w="2835" w:type="dxa"/>
            <w:vAlign w:val="center"/>
          </w:tcPr>
          <w:p>
            <w:pPr>
              <w:pStyle w:val="16"/>
            </w:pPr>
            <w:r>
              <w:t>幼儿生均经费标准</w:t>
            </w:r>
          </w:p>
        </w:tc>
        <w:tc>
          <w:tcPr>
            <w:tcW w:w="2551" w:type="dxa"/>
            <w:vAlign w:val="center"/>
          </w:tcPr>
          <w:p>
            <w:pPr>
              <w:pStyle w:val="16"/>
            </w:pPr>
            <w:r>
              <w:t>400元/生</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学前教育高质量发展</w:t>
            </w:r>
          </w:p>
        </w:tc>
        <w:tc>
          <w:tcPr>
            <w:tcW w:w="2835" w:type="dxa"/>
            <w:vAlign w:val="center"/>
          </w:tcPr>
          <w:p>
            <w:pPr>
              <w:pStyle w:val="16"/>
            </w:pPr>
            <w:r>
              <w:t>该资金用于学校正常运转，改善办学条件，促进学前教育均衡发展及学生素质提高</w:t>
            </w:r>
          </w:p>
        </w:tc>
        <w:tc>
          <w:tcPr>
            <w:tcW w:w="2551" w:type="dxa"/>
            <w:vAlign w:val="center"/>
          </w:tcPr>
          <w:p>
            <w:pPr>
              <w:pStyle w:val="16"/>
            </w:pPr>
            <w:r>
              <w:t>改善</w:t>
            </w:r>
          </w:p>
        </w:tc>
        <w:tc>
          <w:tcPr>
            <w:tcW w:w="2268" w:type="dxa"/>
            <w:vAlign w:val="center"/>
          </w:tcPr>
          <w:p>
            <w:pPr>
              <w:pStyle w:val="16"/>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2835" w:type="dxa"/>
            <w:vAlign w:val="center"/>
          </w:tcPr>
          <w:p>
            <w:pPr>
              <w:pStyle w:val="16"/>
            </w:pPr>
            <w:r>
              <w:t>在校师生的满意程度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2023年，廊坊市广阳区第二幼儿园安排政府采购预算0.00万元。具体内容见下表。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432001廊坊市广阳区第二幼儿园</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廊坊市广阳区第二幼儿园上年末固定资产金额为385.94万元（详见下表）。本年度拟购置固定资产总额为17.57万元，已按要求列入政府采购预算，详见政府采购预算表。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432001廊坊市广阳区第二幼儿园</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385.94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3067</w:t>
            </w:r>
          </w:p>
        </w:tc>
        <w:tc>
          <w:tcPr>
            <w:tcW w:w="2835" w:type="dxa"/>
            <w:vAlign w:val="center"/>
          </w:tcPr>
          <w:p>
            <w:pPr>
              <w:pStyle w:val="15"/>
            </w:pPr>
            <w:r>
              <w:t>385.94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3067</w:t>
            </w:r>
          </w:p>
        </w:tc>
        <w:tc>
          <w:tcPr>
            <w:tcW w:w="2835" w:type="dxa"/>
            <w:vAlign w:val="center"/>
          </w:tcPr>
          <w:p>
            <w:pPr>
              <w:pStyle w:val="15"/>
            </w:pPr>
            <w:r>
              <w:t>385.94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A56761"/>
    <w:rsid w:val="00A56761"/>
    <w:rsid w:val="00F10195"/>
    <w:rsid w:val="088C3BCE"/>
    <w:rsid w:val="321B33A0"/>
    <w:rsid w:val="377B6C4B"/>
    <w:rsid w:val="3FF755C8"/>
    <w:rsid w:val="705B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2023-03-13T11:06:50Z</dcterms:created>
  <dcterms:modified xsi:type="dcterms:W3CDTF">2023-03-13T03:06:50Z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2023-03-13T11:06:50Z</dcterms:created>
  <dcterms:modified xsi:type="dcterms:W3CDTF">2023-03-13T03:06:50Z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2023-03-13T11:06:50Z</dcterms:created>
  <dcterms:modified xsi:type="dcterms:W3CDTF">2023-03-13T03:06:50Z</dcterms:modified>
</cp:coreProperties>
</file>

<file path=customXml/itemProps1.xml><?xml version="1.0" encoding="utf-8"?>
<ds:datastoreItem xmlns:ds="http://schemas.openxmlformats.org/officeDocument/2006/customXml" ds:itemID="{56915154-E5E2-4179-A261-654087B81A53}">
  <ds:schemaRefs/>
</ds:datastoreItem>
</file>

<file path=customXml/itemProps10.xml><?xml version="1.0" encoding="utf-8"?>
<ds:datastoreItem xmlns:ds="http://schemas.openxmlformats.org/officeDocument/2006/customXml" ds:itemID="{3E951862-9A81-44DF-A310-F8A69734815C}">
  <ds:schemaRefs/>
</ds:datastoreItem>
</file>

<file path=customXml/itemProps11.xml><?xml version="1.0" encoding="utf-8"?>
<ds:datastoreItem xmlns:ds="http://schemas.openxmlformats.org/officeDocument/2006/customXml" ds:itemID="{2E87C483-1478-452F-B5D2-63DA538CCCEC}">
  <ds:schemaRefs/>
</ds:datastoreItem>
</file>

<file path=customXml/itemProps12.xml><?xml version="1.0" encoding="utf-8"?>
<ds:datastoreItem xmlns:ds="http://schemas.openxmlformats.org/officeDocument/2006/customXml" ds:itemID="{53F07596-7CE9-411B-8331-91853C97FC0C}">
  <ds:schemaRefs/>
</ds:datastoreItem>
</file>

<file path=customXml/itemProps13.xml><?xml version="1.0" encoding="utf-8"?>
<ds:datastoreItem xmlns:ds="http://schemas.openxmlformats.org/officeDocument/2006/customXml" ds:itemID="{66AC4224-6765-4482-97F6-7680675B75FB}">
  <ds:schemaRefs/>
</ds:datastoreItem>
</file>

<file path=customXml/itemProps14.xml><?xml version="1.0" encoding="utf-8"?>
<ds:datastoreItem xmlns:ds="http://schemas.openxmlformats.org/officeDocument/2006/customXml" ds:itemID="{6A0203A3-26C1-4830-A427-009F5B182BED}">
  <ds:schemaRefs/>
</ds:datastoreItem>
</file>

<file path=customXml/itemProps2.xml><?xml version="1.0" encoding="utf-8"?>
<ds:datastoreItem xmlns:ds="http://schemas.openxmlformats.org/officeDocument/2006/customXml" ds:itemID="{F29ADE76-7A8B-45BA-8054-F98FB75C9A74}">
  <ds:schemaRefs/>
</ds:datastoreItem>
</file>

<file path=customXml/itemProps3.xml><?xml version="1.0" encoding="utf-8"?>
<ds:datastoreItem xmlns:ds="http://schemas.openxmlformats.org/officeDocument/2006/customXml" ds:itemID="{92CA2C6C-397A-4305-A2F5-F29E0A256872}">
  <ds:schemaRefs/>
</ds:datastoreItem>
</file>

<file path=customXml/itemProps4.xml><?xml version="1.0" encoding="utf-8"?>
<ds:datastoreItem xmlns:ds="http://schemas.openxmlformats.org/officeDocument/2006/customXml" ds:itemID="{BF616DD0-9B78-4676-A90F-0D80FA7D652E}">
  <ds:schemaRefs/>
</ds:datastoreItem>
</file>

<file path=customXml/itemProps5.xml><?xml version="1.0" encoding="utf-8"?>
<ds:datastoreItem xmlns:ds="http://schemas.openxmlformats.org/officeDocument/2006/customXml" ds:itemID="{2F7D5E1A-3983-4887-8493-0F78ACA06295}">
  <ds:schemaRefs/>
</ds:datastoreItem>
</file>

<file path=customXml/itemProps6.xml><?xml version="1.0" encoding="utf-8"?>
<ds:datastoreItem xmlns:ds="http://schemas.openxmlformats.org/officeDocument/2006/customXml" ds:itemID="{4CC8C57A-E7C6-41E1-8103-87D68109469C}">
  <ds:schemaRefs/>
</ds:datastoreItem>
</file>

<file path=customXml/itemProps7.xml><?xml version="1.0" encoding="utf-8"?>
<ds:datastoreItem xmlns:ds="http://schemas.openxmlformats.org/officeDocument/2006/customXml" ds:itemID="{2AACA7CA-96F1-4B27-8A07-E9CA188B1626}">
  <ds:schemaRefs/>
</ds:datastoreItem>
</file>

<file path=customXml/itemProps8.xml><?xml version="1.0" encoding="utf-8"?>
<ds:datastoreItem xmlns:ds="http://schemas.openxmlformats.org/officeDocument/2006/customXml" ds:itemID="{7F99D4CD-947B-4435-AE8E-A6D5C0ED5FC7}">
  <ds:schemaRefs/>
</ds:datastoreItem>
</file>

<file path=customXml/itemProps9.xml><?xml version="1.0" encoding="utf-8"?>
<ds:datastoreItem xmlns:ds="http://schemas.openxmlformats.org/officeDocument/2006/customXml" ds:itemID="{1B1F13DD-3F93-44C9-A559-FA738B583B84}">
  <ds:schemaRefs/>
</ds:datastoreItem>
</file>

<file path=docProps/app.xml><?xml version="1.0" encoding="utf-8"?>
<Properties xmlns="http://schemas.openxmlformats.org/officeDocument/2006/extended-properties" xmlns:vt="http://schemas.openxmlformats.org/officeDocument/2006/docPropsVTypes">
  <Template>Normal</Template>
  <Pages>27</Pages>
  <Words>1490</Words>
  <Characters>8494</Characters>
  <Lines>70</Lines>
  <Paragraphs>19</Paragraphs>
  <TotalTime>1</TotalTime>
  <ScaleCrop>false</ScaleCrop>
  <LinksUpToDate>false</LinksUpToDate>
  <CharactersWithSpaces>9965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Administrator</cp:lastModifiedBy>
  <dcterms:modified xsi:type="dcterms:W3CDTF">2024-01-10T09:57:39Z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8090669F07CF4469986E1F7A6009CFC4</vt:lpwstr>
  </property>
</Properties>
</file>