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19</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33</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33</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34</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35</w:t>
      </w:r>
      <w:r>
        <w:rPr>
          <w:rStyle w:val="10"/>
        </w:rPr>
        <w:fldChar w:fldCharType="end"/>
      </w:r>
    </w:p>
    <w:p>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val="uk" w:eastAsia="zh-CN"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421001廊坊市广阳区档案馆本级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208.61</w:t>
            </w:r>
          </w:p>
        </w:tc>
        <w:tc>
          <w:tcPr>
            <w:tcW w:w="4535" w:type="dxa"/>
            <w:vAlign w:val="center"/>
          </w:tcPr>
          <w:p>
            <w:pPr>
              <w:pStyle w:val="16"/>
            </w:pPr>
            <w:r>
              <w:t>一、一般公共服务支出</w:t>
            </w:r>
          </w:p>
        </w:tc>
        <w:tc>
          <w:tcPr>
            <w:tcW w:w="2126" w:type="dxa"/>
            <w:vAlign w:val="center"/>
          </w:tcPr>
          <w:p>
            <w:pPr>
              <w:pStyle w:val="15"/>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208.61</w:t>
            </w:r>
          </w:p>
        </w:tc>
        <w:tc>
          <w:tcPr>
            <w:tcW w:w="4535" w:type="dxa"/>
            <w:vAlign w:val="center"/>
          </w:tcPr>
          <w:p>
            <w:pPr>
              <w:pStyle w:val="18"/>
            </w:pPr>
            <w:r>
              <w:t>本年支出合计</w:t>
            </w:r>
          </w:p>
        </w:tc>
        <w:tc>
          <w:tcPr>
            <w:tcW w:w="2126" w:type="dxa"/>
            <w:vAlign w:val="center"/>
          </w:tcPr>
          <w:p>
            <w:pPr>
              <w:pStyle w:val="19"/>
            </w:pPr>
            <w:r>
              <w:t>222.96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14.35</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222.96</w:t>
            </w:r>
          </w:p>
        </w:tc>
        <w:tc>
          <w:tcPr>
            <w:tcW w:w="4535" w:type="dxa"/>
            <w:vAlign w:val="center"/>
          </w:tcPr>
          <w:p>
            <w:pPr>
              <w:pStyle w:val="18"/>
            </w:pPr>
            <w:r>
              <w:t>支出总计</w:t>
            </w:r>
          </w:p>
        </w:tc>
        <w:tc>
          <w:tcPr>
            <w:tcW w:w="2126" w:type="dxa"/>
            <w:vAlign w:val="center"/>
          </w:tcPr>
          <w:p>
            <w:pPr>
              <w:pStyle w:val="19"/>
            </w:pPr>
            <w:r>
              <w:t>222.96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421001廊坊市广阳区档案馆本级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222.96</w:t>
            </w:r>
          </w:p>
        </w:tc>
        <w:tc>
          <w:tcPr>
            <w:tcW w:w="384" w:type="pct"/>
            <w:vAlign w:val="center"/>
          </w:tcPr>
          <w:p>
            <w:pPr>
              <w:pStyle w:val="19"/>
            </w:pPr>
            <w:r>
              <w:t>208.61</w:t>
            </w:r>
          </w:p>
        </w:tc>
        <w:tc>
          <w:tcPr>
            <w:tcW w:w="384" w:type="pct"/>
            <w:vAlign w:val="center"/>
          </w:tcPr>
          <w:p>
            <w:pPr>
              <w:pStyle w:val="19"/>
            </w:pPr>
            <w:r>
              <w:t>208.61</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133.32</w:t>
            </w:r>
          </w:p>
        </w:tc>
        <w:tc>
          <w:tcPr>
            <w:tcW w:w="384" w:type="pct"/>
            <w:vAlign w:val="center"/>
          </w:tcPr>
          <w:p>
            <w:pPr>
              <w:pStyle w:val="15"/>
            </w:pPr>
            <w:r>
              <w:t>133.32</w:t>
            </w:r>
          </w:p>
        </w:tc>
        <w:tc>
          <w:tcPr>
            <w:tcW w:w="384" w:type="pct"/>
            <w:vAlign w:val="center"/>
          </w:tcPr>
          <w:p>
            <w:pPr>
              <w:pStyle w:val="15"/>
            </w:pPr>
            <w:r>
              <w:t>133.32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20126</w:t>
            </w:r>
          </w:p>
        </w:tc>
        <w:tc>
          <w:tcPr>
            <w:tcW w:w="384" w:type="pct"/>
            <w:vAlign w:val="center"/>
          </w:tcPr>
          <w:p>
            <w:pPr>
              <w:pStyle w:val="16"/>
            </w:pPr>
            <w:r>
              <w:t>档案事务</w:t>
            </w:r>
          </w:p>
        </w:tc>
        <w:tc>
          <w:tcPr>
            <w:tcW w:w="384" w:type="pct"/>
            <w:vAlign w:val="center"/>
          </w:tcPr>
          <w:p>
            <w:pPr>
              <w:pStyle w:val="15"/>
            </w:pPr>
            <w:r>
              <w:t>133.32</w:t>
            </w:r>
          </w:p>
        </w:tc>
        <w:tc>
          <w:tcPr>
            <w:tcW w:w="384" w:type="pct"/>
            <w:vAlign w:val="center"/>
          </w:tcPr>
          <w:p>
            <w:pPr>
              <w:pStyle w:val="15"/>
            </w:pPr>
            <w:r>
              <w:t>133.32</w:t>
            </w:r>
          </w:p>
        </w:tc>
        <w:tc>
          <w:tcPr>
            <w:tcW w:w="384" w:type="pct"/>
            <w:vAlign w:val="center"/>
          </w:tcPr>
          <w:p>
            <w:pPr>
              <w:pStyle w:val="15"/>
            </w:pPr>
            <w:r>
              <w:t>133.32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2012601</w:t>
            </w:r>
          </w:p>
        </w:tc>
        <w:tc>
          <w:tcPr>
            <w:tcW w:w="384" w:type="pct"/>
            <w:vAlign w:val="center"/>
          </w:tcPr>
          <w:p>
            <w:pPr>
              <w:pStyle w:val="16"/>
            </w:pPr>
            <w:r>
              <w:t>行政运行</w:t>
            </w:r>
          </w:p>
        </w:tc>
        <w:tc>
          <w:tcPr>
            <w:tcW w:w="384" w:type="pct"/>
            <w:vAlign w:val="center"/>
          </w:tcPr>
          <w:p>
            <w:pPr>
              <w:pStyle w:val="15"/>
            </w:pPr>
            <w:r>
              <w:t>133.32</w:t>
            </w:r>
          </w:p>
        </w:tc>
        <w:tc>
          <w:tcPr>
            <w:tcW w:w="384" w:type="pct"/>
            <w:vAlign w:val="center"/>
          </w:tcPr>
          <w:p>
            <w:pPr>
              <w:pStyle w:val="15"/>
            </w:pPr>
            <w:r>
              <w:t>133.32</w:t>
            </w:r>
          </w:p>
        </w:tc>
        <w:tc>
          <w:tcPr>
            <w:tcW w:w="384" w:type="pct"/>
            <w:vAlign w:val="center"/>
          </w:tcPr>
          <w:p>
            <w:pPr>
              <w:pStyle w:val="15"/>
            </w:pPr>
            <w:r>
              <w:t>133.32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61.26</w:t>
            </w:r>
          </w:p>
        </w:tc>
        <w:tc>
          <w:tcPr>
            <w:tcW w:w="384" w:type="pct"/>
            <w:vAlign w:val="center"/>
          </w:tcPr>
          <w:p>
            <w:pPr>
              <w:pStyle w:val="15"/>
            </w:pPr>
            <w:r>
              <w:t>61.26</w:t>
            </w:r>
          </w:p>
        </w:tc>
        <w:tc>
          <w:tcPr>
            <w:tcW w:w="384" w:type="pct"/>
            <w:vAlign w:val="center"/>
          </w:tcPr>
          <w:p>
            <w:pPr>
              <w:pStyle w:val="15"/>
            </w:pPr>
            <w:r>
              <w:t>61.26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61.26</w:t>
            </w:r>
          </w:p>
        </w:tc>
        <w:tc>
          <w:tcPr>
            <w:tcW w:w="384" w:type="pct"/>
            <w:vAlign w:val="center"/>
          </w:tcPr>
          <w:p>
            <w:pPr>
              <w:pStyle w:val="15"/>
            </w:pPr>
            <w:r>
              <w:t>61.26</w:t>
            </w:r>
          </w:p>
        </w:tc>
        <w:tc>
          <w:tcPr>
            <w:tcW w:w="384" w:type="pct"/>
            <w:vAlign w:val="center"/>
          </w:tcPr>
          <w:p>
            <w:pPr>
              <w:pStyle w:val="15"/>
            </w:pPr>
            <w:r>
              <w:t>61.26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2080502</w:t>
            </w:r>
          </w:p>
        </w:tc>
        <w:tc>
          <w:tcPr>
            <w:tcW w:w="384" w:type="pct"/>
            <w:vAlign w:val="center"/>
          </w:tcPr>
          <w:p>
            <w:pPr>
              <w:pStyle w:val="16"/>
            </w:pPr>
            <w:r>
              <w:t>事业单位离退休</w:t>
            </w:r>
          </w:p>
        </w:tc>
        <w:tc>
          <w:tcPr>
            <w:tcW w:w="384" w:type="pct"/>
            <w:vAlign w:val="center"/>
          </w:tcPr>
          <w:p>
            <w:pPr>
              <w:pStyle w:val="15"/>
            </w:pPr>
            <w:r>
              <w:t>48.92</w:t>
            </w:r>
          </w:p>
        </w:tc>
        <w:tc>
          <w:tcPr>
            <w:tcW w:w="384" w:type="pct"/>
            <w:vAlign w:val="center"/>
          </w:tcPr>
          <w:p>
            <w:pPr>
              <w:pStyle w:val="15"/>
            </w:pPr>
            <w:r>
              <w:t>48.92</w:t>
            </w:r>
          </w:p>
        </w:tc>
        <w:tc>
          <w:tcPr>
            <w:tcW w:w="384" w:type="pct"/>
            <w:vAlign w:val="center"/>
          </w:tcPr>
          <w:p>
            <w:pPr>
              <w:pStyle w:val="15"/>
            </w:pPr>
            <w:r>
              <w:t>48.92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12.34</w:t>
            </w:r>
          </w:p>
        </w:tc>
        <w:tc>
          <w:tcPr>
            <w:tcW w:w="384" w:type="pct"/>
            <w:vAlign w:val="center"/>
          </w:tcPr>
          <w:p>
            <w:pPr>
              <w:pStyle w:val="15"/>
            </w:pPr>
            <w:r>
              <w:t>12.34</w:t>
            </w:r>
          </w:p>
        </w:tc>
        <w:tc>
          <w:tcPr>
            <w:tcW w:w="384" w:type="pct"/>
            <w:vAlign w:val="center"/>
          </w:tcPr>
          <w:p>
            <w:pPr>
              <w:pStyle w:val="15"/>
            </w:pPr>
            <w:r>
              <w:t>12.34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3.84</w:t>
            </w:r>
          </w:p>
        </w:tc>
        <w:tc>
          <w:tcPr>
            <w:tcW w:w="384" w:type="pct"/>
            <w:vAlign w:val="center"/>
          </w:tcPr>
          <w:p>
            <w:pPr>
              <w:pStyle w:val="15"/>
            </w:pPr>
            <w:r>
              <w:t>3.84</w:t>
            </w:r>
          </w:p>
        </w:tc>
        <w:tc>
          <w:tcPr>
            <w:tcW w:w="384" w:type="pct"/>
            <w:vAlign w:val="center"/>
          </w:tcPr>
          <w:p>
            <w:pPr>
              <w:pStyle w:val="15"/>
            </w:pPr>
            <w:r>
              <w:t>3.84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3.84</w:t>
            </w:r>
          </w:p>
        </w:tc>
        <w:tc>
          <w:tcPr>
            <w:tcW w:w="384" w:type="pct"/>
            <w:vAlign w:val="center"/>
          </w:tcPr>
          <w:p>
            <w:pPr>
              <w:pStyle w:val="15"/>
            </w:pPr>
            <w:r>
              <w:t>3.84</w:t>
            </w:r>
          </w:p>
        </w:tc>
        <w:tc>
          <w:tcPr>
            <w:tcW w:w="384" w:type="pct"/>
            <w:vAlign w:val="center"/>
          </w:tcPr>
          <w:p>
            <w:pPr>
              <w:pStyle w:val="15"/>
            </w:pPr>
            <w:r>
              <w:t>3.84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2101102</w:t>
            </w:r>
          </w:p>
        </w:tc>
        <w:tc>
          <w:tcPr>
            <w:tcW w:w="384" w:type="pct"/>
            <w:vAlign w:val="center"/>
          </w:tcPr>
          <w:p>
            <w:pPr>
              <w:pStyle w:val="16"/>
            </w:pPr>
            <w:r>
              <w:t>事业单位医疗</w:t>
            </w:r>
          </w:p>
        </w:tc>
        <w:tc>
          <w:tcPr>
            <w:tcW w:w="384" w:type="pct"/>
            <w:vAlign w:val="center"/>
          </w:tcPr>
          <w:p>
            <w:pPr>
              <w:pStyle w:val="15"/>
            </w:pPr>
            <w:r>
              <w:t>3.84</w:t>
            </w:r>
          </w:p>
        </w:tc>
        <w:tc>
          <w:tcPr>
            <w:tcW w:w="384" w:type="pct"/>
            <w:vAlign w:val="center"/>
          </w:tcPr>
          <w:p>
            <w:pPr>
              <w:pStyle w:val="15"/>
            </w:pPr>
            <w:r>
              <w:t>3.84</w:t>
            </w:r>
          </w:p>
        </w:tc>
        <w:tc>
          <w:tcPr>
            <w:tcW w:w="384" w:type="pct"/>
            <w:vAlign w:val="center"/>
          </w:tcPr>
          <w:p>
            <w:pPr>
              <w:pStyle w:val="15"/>
            </w:pPr>
            <w:r>
              <w:t>3.84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10.18</w:t>
            </w:r>
          </w:p>
        </w:tc>
        <w:tc>
          <w:tcPr>
            <w:tcW w:w="384" w:type="pct"/>
            <w:vAlign w:val="center"/>
          </w:tcPr>
          <w:p>
            <w:pPr>
              <w:pStyle w:val="15"/>
            </w:pPr>
            <w:r>
              <w:t>10.18</w:t>
            </w:r>
          </w:p>
        </w:tc>
        <w:tc>
          <w:tcPr>
            <w:tcW w:w="384" w:type="pct"/>
            <w:vAlign w:val="center"/>
          </w:tcPr>
          <w:p>
            <w:pPr>
              <w:pStyle w:val="15"/>
            </w:pPr>
            <w:r>
              <w:t>10.18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10.18</w:t>
            </w:r>
          </w:p>
        </w:tc>
        <w:tc>
          <w:tcPr>
            <w:tcW w:w="384" w:type="pct"/>
            <w:vAlign w:val="center"/>
          </w:tcPr>
          <w:p>
            <w:pPr>
              <w:pStyle w:val="15"/>
            </w:pPr>
            <w:r>
              <w:t>10.18</w:t>
            </w:r>
          </w:p>
        </w:tc>
        <w:tc>
          <w:tcPr>
            <w:tcW w:w="384" w:type="pct"/>
            <w:vAlign w:val="center"/>
          </w:tcPr>
          <w:p>
            <w:pPr>
              <w:pStyle w:val="15"/>
            </w:pPr>
            <w:r>
              <w:t>10.18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10.18</w:t>
            </w:r>
          </w:p>
        </w:tc>
        <w:tc>
          <w:tcPr>
            <w:tcW w:w="384" w:type="pct"/>
            <w:vAlign w:val="center"/>
          </w:tcPr>
          <w:p>
            <w:pPr>
              <w:pStyle w:val="15"/>
            </w:pPr>
            <w:r>
              <w:t>10.18</w:t>
            </w:r>
          </w:p>
        </w:tc>
        <w:tc>
          <w:tcPr>
            <w:tcW w:w="384" w:type="pct"/>
            <w:vAlign w:val="center"/>
          </w:tcPr>
          <w:p>
            <w:pPr>
              <w:pStyle w:val="15"/>
            </w:pPr>
            <w:r>
              <w:t>10.18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223</w:t>
            </w:r>
          </w:p>
        </w:tc>
        <w:tc>
          <w:tcPr>
            <w:tcW w:w="384" w:type="pct"/>
            <w:vAlign w:val="center"/>
          </w:tcPr>
          <w:p>
            <w:pPr>
              <w:pStyle w:val="16"/>
            </w:pPr>
            <w:r>
              <w:t>国有资本经营预算支出</w:t>
            </w:r>
          </w:p>
        </w:tc>
        <w:tc>
          <w:tcPr>
            <w:tcW w:w="384" w:type="pct"/>
            <w:vAlign w:val="center"/>
          </w:tcPr>
          <w:p>
            <w:pPr>
              <w:pStyle w:val="15"/>
            </w:pPr>
            <w:r>
              <w:t>14.35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22301</w:t>
            </w:r>
          </w:p>
        </w:tc>
        <w:tc>
          <w:tcPr>
            <w:tcW w:w="384" w:type="pct"/>
            <w:vAlign w:val="center"/>
          </w:tcPr>
          <w:p>
            <w:pPr>
              <w:pStyle w:val="16"/>
            </w:pPr>
            <w:r>
              <w:t>解决历史遗留问题及改革成本支出</w:t>
            </w:r>
          </w:p>
        </w:tc>
        <w:tc>
          <w:tcPr>
            <w:tcW w:w="384" w:type="pct"/>
            <w:vAlign w:val="center"/>
          </w:tcPr>
          <w:p>
            <w:pPr>
              <w:pStyle w:val="15"/>
            </w:pPr>
            <w:r>
              <w:t>14.35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2230105</w:t>
            </w:r>
          </w:p>
        </w:tc>
        <w:tc>
          <w:tcPr>
            <w:tcW w:w="384" w:type="pct"/>
            <w:vAlign w:val="center"/>
          </w:tcPr>
          <w:p>
            <w:pPr>
              <w:pStyle w:val="16"/>
            </w:pPr>
            <w:r>
              <w:t>国有企业退休人员社会化管理补助支出</w:t>
            </w:r>
          </w:p>
        </w:tc>
        <w:tc>
          <w:tcPr>
            <w:tcW w:w="384" w:type="pct"/>
            <w:vAlign w:val="center"/>
          </w:tcPr>
          <w:p>
            <w:pPr>
              <w:pStyle w:val="15"/>
            </w:pPr>
            <w:r>
              <w:t>14.35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14.35</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421001廊坊市广阳区档案馆本级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222.96</w:t>
            </w:r>
          </w:p>
        </w:tc>
        <w:tc>
          <w:tcPr>
            <w:tcW w:w="555" w:type="pct"/>
            <w:vAlign w:val="center"/>
          </w:tcPr>
          <w:p>
            <w:pPr>
              <w:pStyle w:val="19"/>
            </w:pPr>
            <w:r>
              <w:t>208.61</w:t>
            </w:r>
          </w:p>
        </w:tc>
        <w:tc>
          <w:tcPr>
            <w:tcW w:w="555" w:type="pct"/>
            <w:vAlign w:val="center"/>
          </w:tcPr>
          <w:p>
            <w:pPr>
              <w:pStyle w:val="19"/>
            </w:pPr>
            <w:r>
              <w:t>14.35</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133.32</w:t>
            </w:r>
          </w:p>
        </w:tc>
        <w:tc>
          <w:tcPr>
            <w:tcW w:w="555" w:type="pct"/>
            <w:vAlign w:val="center"/>
          </w:tcPr>
          <w:p>
            <w:pPr>
              <w:pStyle w:val="15"/>
            </w:pPr>
            <w:r>
              <w:t>133.32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20126</w:t>
            </w:r>
          </w:p>
        </w:tc>
        <w:tc>
          <w:tcPr>
            <w:tcW w:w="555" w:type="pct"/>
            <w:vAlign w:val="center"/>
          </w:tcPr>
          <w:p>
            <w:pPr>
              <w:pStyle w:val="16"/>
            </w:pPr>
            <w:r>
              <w:t>档案事务</w:t>
            </w:r>
          </w:p>
        </w:tc>
        <w:tc>
          <w:tcPr>
            <w:tcW w:w="555" w:type="pct"/>
            <w:vAlign w:val="center"/>
          </w:tcPr>
          <w:p>
            <w:pPr>
              <w:pStyle w:val="15"/>
            </w:pPr>
            <w:r>
              <w:t>133.32</w:t>
            </w:r>
          </w:p>
        </w:tc>
        <w:tc>
          <w:tcPr>
            <w:tcW w:w="555" w:type="pct"/>
            <w:vAlign w:val="center"/>
          </w:tcPr>
          <w:p>
            <w:pPr>
              <w:pStyle w:val="15"/>
            </w:pPr>
            <w:r>
              <w:t>133.32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2012601</w:t>
            </w:r>
          </w:p>
        </w:tc>
        <w:tc>
          <w:tcPr>
            <w:tcW w:w="555" w:type="pct"/>
            <w:vAlign w:val="center"/>
          </w:tcPr>
          <w:p>
            <w:pPr>
              <w:pStyle w:val="16"/>
            </w:pPr>
            <w:r>
              <w:t>行政运行</w:t>
            </w:r>
          </w:p>
        </w:tc>
        <w:tc>
          <w:tcPr>
            <w:tcW w:w="555" w:type="pct"/>
            <w:vAlign w:val="center"/>
          </w:tcPr>
          <w:p>
            <w:pPr>
              <w:pStyle w:val="15"/>
            </w:pPr>
            <w:r>
              <w:t>133.32</w:t>
            </w:r>
          </w:p>
        </w:tc>
        <w:tc>
          <w:tcPr>
            <w:tcW w:w="555" w:type="pct"/>
            <w:vAlign w:val="center"/>
          </w:tcPr>
          <w:p>
            <w:pPr>
              <w:pStyle w:val="15"/>
            </w:pPr>
            <w:r>
              <w:t>133.32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61.26</w:t>
            </w:r>
          </w:p>
        </w:tc>
        <w:tc>
          <w:tcPr>
            <w:tcW w:w="555" w:type="pct"/>
            <w:vAlign w:val="center"/>
          </w:tcPr>
          <w:p>
            <w:pPr>
              <w:pStyle w:val="15"/>
            </w:pPr>
            <w:r>
              <w:t>61.26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61.26</w:t>
            </w:r>
          </w:p>
        </w:tc>
        <w:tc>
          <w:tcPr>
            <w:tcW w:w="555" w:type="pct"/>
            <w:vAlign w:val="center"/>
          </w:tcPr>
          <w:p>
            <w:pPr>
              <w:pStyle w:val="15"/>
            </w:pPr>
            <w:r>
              <w:t>61.26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2080502</w:t>
            </w:r>
          </w:p>
        </w:tc>
        <w:tc>
          <w:tcPr>
            <w:tcW w:w="555" w:type="pct"/>
            <w:vAlign w:val="center"/>
          </w:tcPr>
          <w:p>
            <w:pPr>
              <w:pStyle w:val="16"/>
            </w:pPr>
            <w:r>
              <w:t>事业单位离退休</w:t>
            </w:r>
          </w:p>
        </w:tc>
        <w:tc>
          <w:tcPr>
            <w:tcW w:w="555" w:type="pct"/>
            <w:vAlign w:val="center"/>
          </w:tcPr>
          <w:p>
            <w:pPr>
              <w:pStyle w:val="15"/>
            </w:pPr>
            <w:r>
              <w:t>48.92</w:t>
            </w:r>
          </w:p>
        </w:tc>
        <w:tc>
          <w:tcPr>
            <w:tcW w:w="555" w:type="pct"/>
            <w:vAlign w:val="center"/>
          </w:tcPr>
          <w:p>
            <w:pPr>
              <w:pStyle w:val="15"/>
            </w:pPr>
            <w:r>
              <w:t>48.92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12.34</w:t>
            </w:r>
          </w:p>
        </w:tc>
        <w:tc>
          <w:tcPr>
            <w:tcW w:w="555" w:type="pct"/>
            <w:vAlign w:val="center"/>
          </w:tcPr>
          <w:p>
            <w:pPr>
              <w:pStyle w:val="15"/>
            </w:pPr>
            <w:r>
              <w:t>12.34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3.84</w:t>
            </w:r>
          </w:p>
        </w:tc>
        <w:tc>
          <w:tcPr>
            <w:tcW w:w="555" w:type="pct"/>
            <w:vAlign w:val="center"/>
          </w:tcPr>
          <w:p>
            <w:pPr>
              <w:pStyle w:val="15"/>
            </w:pPr>
            <w:r>
              <w:t>3.84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3.84</w:t>
            </w:r>
          </w:p>
        </w:tc>
        <w:tc>
          <w:tcPr>
            <w:tcW w:w="555" w:type="pct"/>
            <w:vAlign w:val="center"/>
          </w:tcPr>
          <w:p>
            <w:pPr>
              <w:pStyle w:val="15"/>
            </w:pPr>
            <w:r>
              <w:t>3.84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2101102</w:t>
            </w:r>
          </w:p>
        </w:tc>
        <w:tc>
          <w:tcPr>
            <w:tcW w:w="555" w:type="pct"/>
            <w:vAlign w:val="center"/>
          </w:tcPr>
          <w:p>
            <w:pPr>
              <w:pStyle w:val="16"/>
            </w:pPr>
            <w:r>
              <w:t>事业单位医疗</w:t>
            </w:r>
          </w:p>
        </w:tc>
        <w:tc>
          <w:tcPr>
            <w:tcW w:w="555" w:type="pct"/>
            <w:vAlign w:val="center"/>
          </w:tcPr>
          <w:p>
            <w:pPr>
              <w:pStyle w:val="15"/>
            </w:pPr>
            <w:r>
              <w:t>3.84</w:t>
            </w:r>
          </w:p>
        </w:tc>
        <w:tc>
          <w:tcPr>
            <w:tcW w:w="555" w:type="pct"/>
            <w:vAlign w:val="center"/>
          </w:tcPr>
          <w:p>
            <w:pPr>
              <w:pStyle w:val="15"/>
            </w:pPr>
            <w:r>
              <w:t>3.84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10.18</w:t>
            </w:r>
          </w:p>
        </w:tc>
        <w:tc>
          <w:tcPr>
            <w:tcW w:w="555" w:type="pct"/>
            <w:vAlign w:val="center"/>
          </w:tcPr>
          <w:p>
            <w:pPr>
              <w:pStyle w:val="15"/>
            </w:pPr>
            <w:r>
              <w:t>10.18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10.18</w:t>
            </w:r>
          </w:p>
        </w:tc>
        <w:tc>
          <w:tcPr>
            <w:tcW w:w="555" w:type="pct"/>
            <w:vAlign w:val="center"/>
          </w:tcPr>
          <w:p>
            <w:pPr>
              <w:pStyle w:val="15"/>
            </w:pPr>
            <w:r>
              <w:t>10.18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10.18</w:t>
            </w:r>
          </w:p>
        </w:tc>
        <w:tc>
          <w:tcPr>
            <w:tcW w:w="555" w:type="pct"/>
            <w:vAlign w:val="center"/>
          </w:tcPr>
          <w:p>
            <w:pPr>
              <w:pStyle w:val="15"/>
            </w:pPr>
            <w:r>
              <w:t>10.18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223</w:t>
            </w:r>
          </w:p>
        </w:tc>
        <w:tc>
          <w:tcPr>
            <w:tcW w:w="555" w:type="pct"/>
            <w:vAlign w:val="center"/>
          </w:tcPr>
          <w:p>
            <w:pPr>
              <w:pStyle w:val="16"/>
            </w:pPr>
            <w:r>
              <w:t>国有资本经营预算支出</w:t>
            </w:r>
          </w:p>
        </w:tc>
        <w:tc>
          <w:tcPr>
            <w:tcW w:w="555" w:type="pct"/>
            <w:vAlign w:val="center"/>
          </w:tcPr>
          <w:p>
            <w:pPr>
              <w:pStyle w:val="15"/>
            </w:pPr>
            <w:r>
              <w:t>14.35</w:t>
            </w:r>
          </w:p>
        </w:tc>
        <w:tc>
          <w:tcPr>
            <w:tcW w:w="555" w:type="pct"/>
            <w:vAlign w:val="center"/>
          </w:tcPr>
          <w:p>
            <w:pPr>
              <w:pStyle w:val="15"/>
            </w:pPr>
          </w:p>
        </w:tc>
        <w:tc>
          <w:tcPr>
            <w:tcW w:w="555" w:type="pct"/>
            <w:vAlign w:val="center"/>
          </w:tcPr>
          <w:p>
            <w:pPr>
              <w:pStyle w:val="15"/>
            </w:pPr>
            <w:r>
              <w:t>14.35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22301</w:t>
            </w:r>
          </w:p>
        </w:tc>
        <w:tc>
          <w:tcPr>
            <w:tcW w:w="555" w:type="pct"/>
            <w:vAlign w:val="center"/>
          </w:tcPr>
          <w:p>
            <w:pPr>
              <w:pStyle w:val="16"/>
            </w:pPr>
            <w:r>
              <w:t>解决历史遗留问题及改革成本支出</w:t>
            </w:r>
          </w:p>
        </w:tc>
        <w:tc>
          <w:tcPr>
            <w:tcW w:w="555" w:type="pct"/>
            <w:vAlign w:val="center"/>
          </w:tcPr>
          <w:p>
            <w:pPr>
              <w:pStyle w:val="15"/>
            </w:pPr>
            <w:r>
              <w:t>14.35</w:t>
            </w:r>
          </w:p>
        </w:tc>
        <w:tc>
          <w:tcPr>
            <w:tcW w:w="555" w:type="pct"/>
            <w:vAlign w:val="center"/>
          </w:tcPr>
          <w:p>
            <w:pPr>
              <w:pStyle w:val="15"/>
            </w:pPr>
          </w:p>
        </w:tc>
        <w:tc>
          <w:tcPr>
            <w:tcW w:w="555" w:type="pct"/>
            <w:vAlign w:val="center"/>
          </w:tcPr>
          <w:p>
            <w:pPr>
              <w:pStyle w:val="15"/>
            </w:pPr>
            <w:r>
              <w:t>14.35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2230105</w:t>
            </w:r>
          </w:p>
        </w:tc>
        <w:tc>
          <w:tcPr>
            <w:tcW w:w="555" w:type="pct"/>
            <w:vAlign w:val="center"/>
          </w:tcPr>
          <w:p>
            <w:pPr>
              <w:pStyle w:val="16"/>
            </w:pPr>
            <w:r>
              <w:t>国有企业退休人员社会化管理补助支出</w:t>
            </w:r>
          </w:p>
        </w:tc>
        <w:tc>
          <w:tcPr>
            <w:tcW w:w="555" w:type="pct"/>
            <w:vAlign w:val="center"/>
          </w:tcPr>
          <w:p>
            <w:pPr>
              <w:pStyle w:val="15"/>
            </w:pPr>
            <w:r>
              <w:t>14.35</w:t>
            </w:r>
          </w:p>
        </w:tc>
        <w:tc>
          <w:tcPr>
            <w:tcW w:w="555" w:type="pct"/>
            <w:vAlign w:val="center"/>
          </w:tcPr>
          <w:p>
            <w:pPr>
              <w:pStyle w:val="15"/>
            </w:pPr>
          </w:p>
        </w:tc>
        <w:tc>
          <w:tcPr>
            <w:tcW w:w="555" w:type="pct"/>
            <w:vAlign w:val="center"/>
          </w:tcPr>
          <w:p>
            <w:pPr>
              <w:pStyle w:val="15"/>
            </w:pPr>
            <w:r>
              <w:t>14.35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421001廊坊市广阳区档案馆本级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208.61</w:t>
            </w:r>
          </w:p>
        </w:tc>
        <w:tc>
          <w:tcPr>
            <w:tcW w:w="625" w:type="pct"/>
            <w:vAlign w:val="center"/>
          </w:tcPr>
          <w:p>
            <w:pPr>
              <w:pStyle w:val="16"/>
            </w:pPr>
            <w:r>
              <w:t>一、一般公共服务支出</w:t>
            </w:r>
          </w:p>
        </w:tc>
        <w:tc>
          <w:tcPr>
            <w:tcW w:w="625" w:type="pct"/>
            <w:vAlign w:val="center"/>
          </w:tcPr>
          <w:p>
            <w:pPr>
              <w:pStyle w:val="15"/>
            </w:pPr>
            <w:r>
              <w:t>133.32</w:t>
            </w:r>
          </w:p>
        </w:tc>
        <w:tc>
          <w:tcPr>
            <w:tcW w:w="625" w:type="pct"/>
            <w:vAlign w:val="center"/>
          </w:tcPr>
          <w:p>
            <w:pPr>
              <w:pStyle w:val="15"/>
            </w:pPr>
            <w:r>
              <w:t>133.32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61.26</w:t>
            </w:r>
          </w:p>
        </w:tc>
        <w:tc>
          <w:tcPr>
            <w:tcW w:w="625" w:type="pct"/>
            <w:vAlign w:val="center"/>
          </w:tcPr>
          <w:p>
            <w:pPr>
              <w:pStyle w:val="15"/>
            </w:pPr>
            <w:r>
              <w:t>61.26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3.84</w:t>
            </w:r>
          </w:p>
        </w:tc>
        <w:tc>
          <w:tcPr>
            <w:tcW w:w="625" w:type="pct"/>
            <w:vAlign w:val="center"/>
          </w:tcPr>
          <w:p>
            <w:pPr>
              <w:pStyle w:val="15"/>
            </w:pPr>
            <w:r>
              <w:t>3.84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10.18</w:t>
            </w:r>
          </w:p>
        </w:tc>
        <w:tc>
          <w:tcPr>
            <w:tcW w:w="625" w:type="pct"/>
            <w:vAlign w:val="center"/>
          </w:tcPr>
          <w:p>
            <w:pPr>
              <w:pStyle w:val="15"/>
            </w:pPr>
            <w:r>
              <w:t>10.18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r>
              <w:t>14.35</w:t>
            </w:r>
          </w:p>
        </w:tc>
        <w:tc>
          <w:tcPr>
            <w:tcW w:w="625" w:type="pct"/>
            <w:vAlign w:val="center"/>
          </w:tcPr>
          <w:p>
            <w:pPr>
              <w:pStyle w:val="15"/>
            </w:pPr>
          </w:p>
        </w:tc>
        <w:tc>
          <w:tcPr>
            <w:tcW w:w="625" w:type="pct"/>
            <w:vAlign w:val="center"/>
          </w:tcPr>
          <w:p>
            <w:pPr>
              <w:pStyle w:val="15"/>
            </w:pPr>
          </w:p>
        </w:tc>
        <w:tc>
          <w:tcPr>
            <w:tcW w:w="625" w:type="pct"/>
            <w:vAlign w:val="center"/>
          </w:tcPr>
          <w:p>
            <w:pPr>
              <w:pStyle w:val="15"/>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208.61</w:t>
            </w:r>
          </w:p>
        </w:tc>
        <w:tc>
          <w:tcPr>
            <w:tcW w:w="625" w:type="pct"/>
            <w:vAlign w:val="center"/>
          </w:tcPr>
          <w:p>
            <w:pPr>
              <w:pStyle w:val="18"/>
            </w:pPr>
            <w:r>
              <w:t>本年支出合计</w:t>
            </w:r>
          </w:p>
        </w:tc>
        <w:tc>
          <w:tcPr>
            <w:tcW w:w="625" w:type="pct"/>
            <w:vAlign w:val="center"/>
          </w:tcPr>
          <w:p>
            <w:pPr>
              <w:pStyle w:val="19"/>
            </w:pPr>
            <w:r>
              <w:t>222.96</w:t>
            </w:r>
          </w:p>
        </w:tc>
        <w:tc>
          <w:tcPr>
            <w:tcW w:w="625" w:type="pct"/>
            <w:vAlign w:val="center"/>
          </w:tcPr>
          <w:p>
            <w:pPr>
              <w:pStyle w:val="19"/>
            </w:pPr>
            <w:r>
              <w:t>208.61</w:t>
            </w:r>
          </w:p>
        </w:tc>
        <w:tc>
          <w:tcPr>
            <w:tcW w:w="625" w:type="pct"/>
            <w:vAlign w:val="center"/>
          </w:tcPr>
          <w:p>
            <w:pPr>
              <w:pStyle w:val="19"/>
            </w:pPr>
          </w:p>
        </w:tc>
        <w:tc>
          <w:tcPr>
            <w:tcW w:w="625" w:type="pct"/>
            <w:vAlign w:val="center"/>
          </w:tcPr>
          <w:p>
            <w:pPr>
              <w:pStyle w:val="19"/>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14.35</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r>
              <w:t>14.35</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222.96</w:t>
            </w:r>
          </w:p>
        </w:tc>
        <w:tc>
          <w:tcPr>
            <w:tcW w:w="625" w:type="pct"/>
            <w:vAlign w:val="center"/>
          </w:tcPr>
          <w:p>
            <w:pPr>
              <w:pStyle w:val="18"/>
            </w:pPr>
            <w:r>
              <w:t>支出总计</w:t>
            </w:r>
          </w:p>
        </w:tc>
        <w:tc>
          <w:tcPr>
            <w:tcW w:w="625" w:type="pct"/>
            <w:vAlign w:val="center"/>
          </w:tcPr>
          <w:p>
            <w:pPr>
              <w:pStyle w:val="19"/>
            </w:pPr>
            <w:r>
              <w:t>222.96</w:t>
            </w:r>
          </w:p>
        </w:tc>
        <w:tc>
          <w:tcPr>
            <w:tcW w:w="625" w:type="pct"/>
            <w:vAlign w:val="center"/>
          </w:tcPr>
          <w:p>
            <w:pPr>
              <w:pStyle w:val="19"/>
            </w:pPr>
            <w:r>
              <w:t>208.61</w:t>
            </w:r>
          </w:p>
        </w:tc>
        <w:tc>
          <w:tcPr>
            <w:tcW w:w="625" w:type="pct"/>
            <w:vAlign w:val="center"/>
          </w:tcPr>
          <w:p>
            <w:pPr>
              <w:pStyle w:val="19"/>
            </w:pPr>
          </w:p>
        </w:tc>
        <w:tc>
          <w:tcPr>
            <w:tcW w:w="625" w:type="pct"/>
            <w:vAlign w:val="center"/>
          </w:tcPr>
          <w:p>
            <w:pPr>
              <w:pStyle w:val="19"/>
            </w:pPr>
            <w:r>
              <w:t>14.35</w:t>
            </w: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421001廊坊市广阳区档案馆本级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208.61</w:t>
            </w:r>
          </w:p>
        </w:tc>
        <w:tc>
          <w:tcPr>
            <w:tcW w:w="833" w:type="pct"/>
            <w:vAlign w:val="center"/>
          </w:tcPr>
          <w:p>
            <w:pPr>
              <w:pStyle w:val="19"/>
            </w:pPr>
            <w:r>
              <w:t>208.61</w:t>
            </w: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133.32</w:t>
            </w:r>
          </w:p>
        </w:tc>
        <w:tc>
          <w:tcPr>
            <w:tcW w:w="833" w:type="pct"/>
            <w:vAlign w:val="center"/>
          </w:tcPr>
          <w:p>
            <w:pPr>
              <w:pStyle w:val="15"/>
            </w:pPr>
            <w:r>
              <w:t>133.32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20126</w:t>
            </w:r>
          </w:p>
        </w:tc>
        <w:tc>
          <w:tcPr>
            <w:tcW w:w="833" w:type="pct"/>
            <w:vAlign w:val="center"/>
          </w:tcPr>
          <w:p>
            <w:pPr>
              <w:pStyle w:val="16"/>
            </w:pPr>
            <w:r>
              <w:t>档案事务</w:t>
            </w:r>
          </w:p>
        </w:tc>
        <w:tc>
          <w:tcPr>
            <w:tcW w:w="833" w:type="pct"/>
            <w:vAlign w:val="center"/>
          </w:tcPr>
          <w:p>
            <w:pPr>
              <w:pStyle w:val="15"/>
            </w:pPr>
            <w:r>
              <w:t>133.32</w:t>
            </w:r>
          </w:p>
        </w:tc>
        <w:tc>
          <w:tcPr>
            <w:tcW w:w="833" w:type="pct"/>
            <w:vAlign w:val="center"/>
          </w:tcPr>
          <w:p>
            <w:pPr>
              <w:pStyle w:val="15"/>
            </w:pPr>
            <w:r>
              <w:t>133.32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2012601</w:t>
            </w:r>
          </w:p>
        </w:tc>
        <w:tc>
          <w:tcPr>
            <w:tcW w:w="833" w:type="pct"/>
            <w:vAlign w:val="center"/>
          </w:tcPr>
          <w:p>
            <w:pPr>
              <w:pStyle w:val="16"/>
            </w:pPr>
            <w:r>
              <w:t>行政运行</w:t>
            </w:r>
          </w:p>
        </w:tc>
        <w:tc>
          <w:tcPr>
            <w:tcW w:w="833" w:type="pct"/>
            <w:vAlign w:val="center"/>
          </w:tcPr>
          <w:p>
            <w:pPr>
              <w:pStyle w:val="15"/>
            </w:pPr>
            <w:r>
              <w:t>133.32</w:t>
            </w:r>
          </w:p>
        </w:tc>
        <w:tc>
          <w:tcPr>
            <w:tcW w:w="833" w:type="pct"/>
            <w:vAlign w:val="center"/>
          </w:tcPr>
          <w:p>
            <w:pPr>
              <w:pStyle w:val="15"/>
            </w:pPr>
            <w:r>
              <w:t>133.32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61.26</w:t>
            </w:r>
          </w:p>
        </w:tc>
        <w:tc>
          <w:tcPr>
            <w:tcW w:w="833" w:type="pct"/>
            <w:vAlign w:val="center"/>
          </w:tcPr>
          <w:p>
            <w:pPr>
              <w:pStyle w:val="15"/>
            </w:pPr>
            <w:r>
              <w:t>61.26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61.26</w:t>
            </w:r>
          </w:p>
        </w:tc>
        <w:tc>
          <w:tcPr>
            <w:tcW w:w="833" w:type="pct"/>
            <w:vAlign w:val="center"/>
          </w:tcPr>
          <w:p>
            <w:pPr>
              <w:pStyle w:val="15"/>
            </w:pPr>
            <w:r>
              <w:t>61.26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2080502</w:t>
            </w:r>
          </w:p>
        </w:tc>
        <w:tc>
          <w:tcPr>
            <w:tcW w:w="833" w:type="pct"/>
            <w:vAlign w:val="center"/>
          </w:tcPr>
          <w:p>
            <w:pPr>
              <w:pStyle w:val="16"/>
            </w:pPr>
            <w:r>
              <w:t>事业单位离退休</w:t>
            </w:r>
          </w:p>
        </w:tc>
        <w:tc>
          <w:tcPr>
            <w:tcW w:w="833" w:type="pct"/>
            <w:vAlign w:val="center"/>
          </w:tcPr>
          <w:p>
            <w:pPr>
              <w:pStyle w:val="15"/>
            </w:pPr>
            <w:r>
              <w:t>48.92</w:t>
            </w:r>
          </w:p>
        </w:tc>
        <w:tc>
          <w:tcPr>
            <w:tcW w:w="833" w:type="pct"/>
            <w:vAlign w:val="center"/>
          </w:tcPr>
          <w:p>
            <w:pPr>
              <w:pStyle w:val="15"/>
            </w:pPr>
            <w:r>
              <w:t>48.92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12.34</w:t>
            </w:r>
          </w:p>
        </w:tc>
        <w:tc>
          <w:tcPr>
            <w:tcW w:w="833" w:type="pct"/>
            <w:vAlign w:val="center"/>
          </w:tcPr>
          <w:p>
            <w:pPr>
              <w:pStyle w:val="15"/>
            </w:pPr>
            <w:r>
              <w:t>12.34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3.84</w:t>
            </w:r>
          </w:p>
        </w:tc>
        <w:tc>
          <w:tcPr>
            <w:tcW w:w="833" w:type="pct"/>
            <w:vAlign w:val="center"/>
          </w:tcPr>
          <w:p>
            <w:pPr>
              <w:pStyle w:val="15"/>
            </w:pPr>
            <w:r>
              <w:t>3.84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3.84</w:t>
            </w:r>
          </w:p>
        </w:tc>
        <w:tc>
          <w:tcPr>
            <w:tcW w:w="833" w:type="pct"/>
            <w:vAlign w:val="center"/>
          </w:tcPr>
          <w:p>
            <w:pPr>
              <w:pStyle w:val="15"/>
            </w:pPr>
            <w:r>
              <w:t>3.84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2101102</w:t>
            </w:r>
          </w:p>
        </w:tc>
        <w:tc>
          <w:tcPr>
            <w:tcW w:w="833" w:type="pct"/>
            <w:vAlign w:val="center"/>
          </w:tcPr>
          <w:p>
            <w:pPr>
              <w:pStyle w:val="16"/>
            </w:pPr>
            <w:r>
              <w:t>事业单位医疗</w:t>
            </w:r>
          </w:p>
        </w:tc>
        <w:tc>
          <w:tcPr>
            <w:tcW w:w="833" w:type="pct"/>
            <w:vAlign w:val="center"/>
          </w:tcPr>
          <w:p>
            <w:pPr>
              <w:pStyle w:val="15"/>
            </w:pPr>
            <w:r>
              <w:t>3.84</w:t>
            </w:r>
          </w:p>
        </w:tc>
        <w:tc>
          <w:tcPr>
            <w:tcW w:w="833" w:type="pct"/>
            <w:vAlign w:val="center"/>
          </w:tcPr>
          <w:p>
            <w:pPr>
              <w:pStyle w:val="15"/>
            </w:pPr>
            <w:r>
              <w:t>3.84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10.18</w:t>
            </w:r>
          </w:p>
        </w:tc>
        <w:tc>
          <w:tcPr>
            <w:tcW w:w="833" w:type="pct"/>
            <w:vAlign w:val="center"/>
          </w:tcPr>
          <w:p>
            <w:pPr>
              <w:pStyle w:val="15"/>
            </w:pPr>
            <w:r>
              <w:t>10.18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10.18</w:t>
            </w:r>
          </w:p>
        </w:tc>
        <w:tc>
          <w:tcPr>
            <w:tcW w:w="833" w:type="pct"/>
            <w:vAlign w:val="center"/>
          </w:tcPr>
          <w:p>
            <w:pPr>
              <w:pStyle w:val="15"/>
            </w:pPr>
            <w:r>
              <w:t>10.18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10.18</w:t>
            </w:r>
          </w:p>
        </w:tc>
        <w:tc>
          <w:tcPr>
            <w:tcW w:w="833" w:type="pct"/>
            <w:vAlign w:val="center"/>
          </w:tcPr>
          <w:p>
            <w:pPr>
              <w:pStyle w:val="15"/>
            </w:pPr>
            <w:r>
              <w:t>10.18</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421001廊坊市广阳区档案馆本级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208.61</w:t>
            </w:r>
          </w:p>
        </w:tc>
        <w:tc>
          <w:tcPr>
            <w:tcW w:w="833" w:type="pct"/>
            <w:vAlign w:val="center"/>
          </w:tcPr>
          <w:p>
            <w:pPr>
              <w:pStyle w:val="19"/>
            </w:pPr>
            <w:r>
              <w:t>179.38</w:t>
            </w:r>
          </w:p>
        </w:tc>
        <w:tc>
          <w:tcPr>
            <w:tcW w:w="833" w:type="pct"/>
            <w:vAlign w:val="center"/>
          </w:tcPr>
          <w:p>
            <w:pPr>
              <w:pStyle w:val="19"/>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130.45</w:t>
            </w:r>
          </w:p>
        </w:tc>
        <w:tc>
          <w:tcPr>
            <w:tcW w:w="833" w:type="pct"/>
            <w:vAlign w:val="center"/>
          </w:tcPr>
          <w:p>
            <w:pPr>
              <w:pStyle w:val="15"/>
            </w:pPr>
            <w:r>
              <w:t>130.45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37.19</w:t>
            </w:r>
          </w:p>
        </w:tc>
        <w:tc>
          <w:tcPr>
            <w:tcW w:w="833" w:type="pct"/>
            <w:vAlign w:val="center"/>
          </w:tcPr>
          <w:p>
            <w:pPr>
              <w:pStyle w:val="15"/>
            </w:pPr>
            <w:r>
              <w:t>37.19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32.27</w:t>
            </w:r>
          </w:p>
        </w:tc>
        <w:tc>
          <w:tcPr>
            <w:tcW w:w="833" w:type="pct"/>
            <w:vAlign w:val="center"/>
          </w:tcPr>
          <w:p>
            <w:pPr>
              <w:pStyle w:val="15"/>
            </w:pPr>
            <w:r>
              <w:t>32.27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24.21</w:t>
            </w:r>
          </w:p>
        </w:tc>
        <w:tc>
          <w:tcPr>
            <w:tcW w:w="833" w:type="pct"/>
            <w:vAlign w:val="center"/>
          </w:tcPr>
          <w:p>
            <w:pPr>
              <w:pStyle w:val="15"/>
            </w:pPr>
            <w:r>
              <w:t>24.21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10.06</w:t>
            </w:r>
          </w:p>
        </w:tc>
        <w:tc>
          <w:tcPr>
            <w:tcW w:w="833" w:type="pct"/>
            <w:vAlign w:val="center"/>
          </w:tcPr>
          <w:p>
            <w:pPr>
              <w:pStyle w:val="15"/>
            </w:pPr>
            <w:r>
              <w:t>10.06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12.34</w:t>
            </w:r>
          </w:p>
        </w:tc>
        <w:tc>
          <w:tcPr>
            <w:tcW w:w="833" w:type="pct"/>
            <w:vAlign w:val="center"/>
          </w:tcPr>
          <w:p>
            <w:pPr>
              <w:pStyle w:val="15"/>
            </w:pPr>
            <w:r>
              <w:t>12.34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3.80</w:t>
            </w:r>
          </w:p>
        </w:tc>
        <w:tc>
          <w:tcPr>
            <w:tcW w:w="833" w:type="pct"/>
            <w:vAlign w:val="center"/>
          </w:tcPr>
          <w:p>
            <w:pPr>
              <w:pStyle w:val="15"/>
            </w:pPr>
            <w:r>
              <w:t>3.80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0.36</w:t>
            </w:r>
          </w:p>
        </w:tc>
        <w:tc>
          <w:tcPr>
            <w:tcW w:w="833" w:type="pct"/>
            <w:vAlign w:val="center"/>
          </w:tcPr>
          <w:p>
            <w:pPr>
              <w:pStyle w:val="15"/>
            </w:pPr>
            <w:r>
              <w:t>0.36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10.18</w:t>
            </w:r>
          </w:p>
        </w:tc>
        <w:tc>
          <w:tcPr>
            <w:tcW w:w="833" w:type="pct"/>
            <w:vAlign w:val="center"/>
          </w:tcPr>
          <w:p>
            <w:pPr>
              <w:pStyle w:val="15"/>
            </w:pPr>
            <w:r>
              <w:t>10.18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0.04</w:t>
            </w:r>
          </w:p>
        </w:tc>
        <w:tc>
          <w:tcPr>
            <w:tcW w:w="833" w:type="pct"/>
            <w:vAlign w:val="center"/>
          </w:tcPr>
          <w:p>
            <w:pPr>
              <w:pStyle w:val="15"/>
            </w:pPr>
            <w:r>
              <w:t>0.04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29.23</w:t>
            </w:r>
          </w:p>
        </w:tc>
        <w:tc>
          <w:tcPr>
            <w:tcW w:w="833" w:type="pct"/>
            <w:vAlign w:val="center"/>
          </w:tcPr>
          <w:p>
            <w:pPr>
              <w:pStyle w:val="15"/>
            </w:pPr>
          </w:p>
        </w:tc>
        <w:tc>
          <w:tcPr>
            <w:tcW w:w="833" w:type="pct"/>
            <w:vAlign w:val="center"/>
          </w:tcPr>
          <w:p>
            <w:pPr>
              <w:pStyle w:val="15"/>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1.28</w:t>
            </w:r>
          </w:p>
        </w:tc>
        <w:tc>
          <w:tcPr>
            <w:tcW w:w="833" w:type="pct"/>
            <w:vAlign w:val="center"/>
          </w:tcPr>
          <w:p>
            <w:pPr>
              <w:pStyle w:val="15"/>
            </w:pPr>
          </w:p>
        </w:tc>
        <w:tc>
          <w:tcPr>
            <w:tcW w:w="833" w:type="pct"/>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0.10</w:t>
            </w:r>
          </w:p>
        </w:tc>
        <w:tc>
          <w:tcPr>
            <w:tcW w:w="833" w:type="pct"/>
            <w:vAlign w:val="center"/>
          </w:tcPr>
          <w:p>
            <w:pPr>
              <w:pStyle w:val="15"/>
            </w:pPr>
          </w:p>
        </w:tc>
        <w:tc>
          <w:tcPr>
            <w:tcW w:w="833" w:type="pct"/>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0.26</w:t>
            </w:r>
          </w:p>
        </w:tc>
        <w:tc>
          <w:tcPr>
            <w:tcW w:w="833" w:type="pct"/>
            <w:vAlign w:val="center"/>
          </w:tcPr>
          <w:p>
            <w:pPr>
              <w:pStyle w:val="15"/>
            </w:pPr>
          </w:p>
        </w:tc>
        <w:tc>
          <w:tcPr>
            <w:tcW w:w="833" w:type="pct"/>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0.72</w:t>
            </w:r>
          </w:p>
        </w:tc>
        <w:tc>
          <w:tcPr>
            <w:tcW w:w="833" w:type="pct"/>
            <w:vAlign w:val="center"/>
          </w:tcPr>
          <w:p>
            <w:pPr>
              <w:pStyle w:val="15"/>
            </w:pPr>
          </w:p>
        </w:tc>
        <w:tc>
          <w:tcPr>
            <w:tcW w:w="833" w:type="pct"/>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3.84</w:t>
            </w:r>
          </w:p>
        </w:tc>
        <w:tc>
          <w:tcPr>
            <w:tcW w:w="833" w:type="pct"/>
            <w:vAlign w:val="center"/>
          </w:tcPr>
          <w:p>
            <w:pPr>
              <w:pStyle w:val="15"/>
            </w:pPr>
          </w:p>
        </w:tc>
        <w:tc>
          <w:tcPr>
            <w:tcW w:w="833" w:type="pct"/>
            <w:vAlign w:val="center"/>
          </w:tcPr>
          <w:p>
            <w:pPr>
              <w:pStyle w:val="15"/>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0.46</w:t>
            </w:r>
          </w:p>
        </w:tc>
        <w:tc>
          <w:tcPr>
            <w:tcW w:w="833" w:type="pct"/>
            <w:vAlign w:val="center"/>
          </w:tcPr>
          <w:p>
            <w:pPr>
              <w:pStyle w:val="15"/>
            </w:pPr>
          </w:p>
        </w:tc>
        <w:tc>
          <w:tcPr>
            <w:tcW w:w="833" w:type="pct"/>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1.28</w:t>
            </w:r>
          </w:p>
        </w:tc>
        <w:tc>
          <w:tcPr>
            <w:tcW w:w="833" w:type="pct"/>
            <w:vAlign w:val="center"/>
          </w:tcPr>
          <w:p>
            <w:pPr>
              <w:pStyle w:val="15"/>
            </w:pPr>
          </w:p>
        </w:tc>
        <w:tc>
          <w:tcPr>
            <w:tcW w:w="833" w:type="pct"/>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0.08</w:t>
            </w:r>
          </w:p>
        </w:tc>
        <w:tc>
          <w:tcPr>
            <w:tcW w:w="833" w:type="pct"/>
            <w:vAlign w:val="center"/>
          </w:tcPr>
          <w:p>
            <w:pPr>
              <w:pStyle w:val="15"/>
            </w:pPr>
          </w:p>
        </w:tc>
        <w:tc>
          <w:tcPr>
            <w:tcW w:w="833" w:type="pct"/>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0.73</w:t>
            </w:r>
          </w:p>
        </w:tc>
        <w:tc>
          <w:tcPr>
            <w:tcW w:w="833" w:type="pct"/>
            <w:vAlign w:val="center"/>
          </w:tcPr>
          <w:p>
            <w:pPr>
              <w:pStyle w:val="15"/>
            </w:pPr>
          </w:p>
        </w:tc>
        <w:tc>
          <w:tcPr>
            <w:tcW w:w="833" w:type="pct"/>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0.69</w:t>
            </w:r>
          </w:p>
        </w:tc>
        <w:tc>
          <w:tcPr>
            <w:tcW w:w="833" w:type="pct"/>
            <w:vAlign w:val="center"/>
          </w:tcPr>
          <w:p>
            <w:pPr>
              <w:pStyle w:val="15"/>
            </w:pPr>
          </w:p>
        </w:tc>
        <w:tc>
          <w:tcPr>
            <w:tcW w:w="833" w:type="pct"/>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3.60</w:t>
            </w:r>
          </w:p>
        </w:tc>
        <w:tc>
          <w:tcPr>
            <w:tcW w:w="833" w:type="pct"/>
            <w:vAlign w:val="center"/>
          </w:tcPr>
          <w:p>
            <w:pPr>
              <w:pStyle w:val="15"/>
            </w:pPr>
          </w:p>
        </w:tc>
        <w:tc>
          <w:tcPr>
            <w:tcW w:w="833" w:type="pct"/>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14.00</w:t>
            </w:r>
          </w:p>
        </w:tc>
        <w:tc>
          <w:tcPr>
            <w:tcW w:w="833" w:type="pct"/>
            <w:vAlign w:val="center"/>
          </w:tcPr>
          <w:p>
            <w:pPr>
              <w:pStyle w:val="15"/>
            </w:pPr>
          </w:p>
        </w:tc>
        <w:tc>
          <w:tcPr>
            <w:tcW w:w="833" w:type="pct"/>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48.93</w:t>
            </w:r>
          </w:p>
        </w:tc>
        <w:tc>
          <w:tcPr>
            <w:tcW w:w="833" w:type="pct"/>
            <w:vAlign w:val="center"/>
          </w:tcPr>
          <w:p>
            <w:pPr>
              <w:pStyle w:val="15"/>
            </w:pPr>
            <w:r>
              <w:t>48.93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48.92</w:t>
            </w:r>
          </w:p>
        </w:tc>
        <w:tc>
          <w:tcPr>
            <w:tcW w:w="833" w:type="pct"/>
            <w:vAlign w:val="center"/>
          </w:tcPr>
          <w:p>
            <w:pPr>
              <w:pStyle w:val="15"/>
            </w:pPr>
            <w:r>
              <w:t>48.92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0.01</w:t>
            </w:r>
          </w:p>
        </w:tc>
        <w:tc>
          <w:tcPr>
            <w:tcW w:w="833" w:type="pct"/>
            <w:vAlign w:val="center"/>
          </w:tcPr>
          <w:p>
            <w:pPr>
              <w:pStyle w:val="15"/>
            </w:pPr>
            <w:r>
              <w:t>0.01</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421001廊坊市广阳区档案馆本级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421001廊坊市广阳区档案馆本级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14.35</w:t>
            </w:r>
          </w:p>
        </w:tc>
        <w:tc>
          <w:tcPr>
            <w:tcW w:w="833" w:type="pct"/>
            <w:vAlign w:val="center"/>
          </w:tcPr>
          <w:p>
            <w:pPr>
              <w:pStyle w:val="19"/>
            </w:pPr>
          </w:p>
        </w:tc>
        <w:tc>
          <w:tcPr>
            <w:tcW w:w="833" w:type="pct"/>
            <w:vAlign w:val="center"/>
          </w:tcPr>
          <w:p>
            <w:pPr>
              <w:pStyle w:val="19"/>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223</w:t>
            </w:r>
          </w:p>
        </w:tc>
        <w:tc>
          <w:tcPr>
            <w:tcW w:w="833" w:type="pct"/>
            <w:vAlign w:val="center"/>
          </w:tcPr>
          <w:p>
            <w:pPr>
              <w:pStyle w:val="16"/>
            </w:pPr>
            <w:r>
              <w:t>国有资本经营预算支出</w:t>
            </w:r>
          </w:p>
        </w:tc>
        <w:tc>
          <w:tcPr>
            <w:tcW w:w="833" w:type="pct"/>
            <w:vAlign w:val="center"/>
          </w:tcPr>
          <w:p>
            <w:pPr>
              <w:pStyle w:val="15"/>
            </w:pPr>
            <w:r>
              <w:t>14.35</w:t>
            </w:r>
          </w:p>
        </w:tc>
        <w:tc>
          <w:tcPr>
            <w:tcW w:w="833" w:type="pct"/>
            <w:vAlign w:val="center"/>
          </w:tcPr>
          <w:p>
            <w:pPr>
              <w:pStyle w:val="15"/>
            </w:pPr>
          </w:p>
        </w:tc>
        <w:tc>
          <w:tcPr>
            <w:tcW w:w="833" w:type="pct"/>
            <w:vAlign w:val="center"/>
          </w:tcPr>
          <w:p>
            <w:pPr>
              <w:pStyle w:val="15"/>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22301</w:t>
            </w:r>
          </w:p>
        </w:tc>
        <w:tc>
          <w:tcPr>
            <w:tcW w:w="833" w:type="pct"/>
            <w:vAlign w:val="center"/>
          </w:tcPr>
          <w:p>
            <w:pPr>
              <w:pStyle w:val="16"/>
            </w:pPr>
            <w:r>
              <w:t>解决历史遗留问题及改革成本支出</w:t>
            </w:r>
          </w:p>
        </w:tc>
        <w:tc>
          <w:tcPr>
            <w:tcW w:w="833" w:type="pct"/>
            <w:vAlign w:val="center"/>
          </w:tcPr>
          <w:p>
            <w:pPr>
              <w:pStyle w:val="15"/>
            </w:pPr>
            <w:r>
              <w:t>14.35</w:t>
            </w:r>
          </w:p>
        </w:tc>
        <w:tc>
          <w:tcPr>
            <w:tcW w:w="833" w:type="pct"/>
            <w:vAlign w:val="center"/>
          </w:tcPr>
          <w:p>
            <w:pPr>
              <w:pStyle w:val="15"/>
            </w:pPr>
          </w:p>
        </w:tc>
        <w:tc>
          <w:tcPr>
            <w:tcW w:w="833" w:type="pct"/>
            <w:vAlign w:val="center"/>
          </w:tcPr>
          <w:p>
            <w:pPr>
              <w:pStyle w:val="15"/>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2230105</w:t>
            </w:r>
          </w:p>
        </w:tc>
        <w:tc>
          <w:tcPr>
            <w:tcW w:w="833" w:type="pct"/>
            <w:vAlign w:val="center"/>
          </w:tcPr>
          <w:p>
            <w:pPr>
              <w:pStyle w:val="16"/>
            </w:pPr>
            <w:r>
              <w:t>国有企业退休人员社会化管理补助支出</w:t>
            </w:r>
          </w:p>
        </w:tc>
        <w:tc>
          <w:tcPr>
            <w:tcW w:w="833" w:type="pct"/>
            <w:vAlign w:val="center"/>
          </w:tcPr>
          <w:p>
            <w:pPr>
              <w:pStyle w:val="15"/>
            </w:pPr>
            <w:r>
              <w:t>14.35</w:t>
            </w:r>
          </w:p>
        </w:tc>
        <w:tc>
          <w:tcPr>
            <w:tcW w:w="833" w:type="pct"/>
            <w:vAlign w:val="center"/>
          </w:tcPr>
          <w:p>
            <w:pPr>
              <w:pStyle w:val="15"/>
            </w:pPr>
          </w:p>
        </w:tc>
        <w:tc>
          <w:tcPr>
            <w:tcW w:w="833" w:type="pct"/>
            <w:vAlign w:val="center"/>
          </w:tcPr>
          <w:p>
            <w:pPr>
              <w:pStyle w:val="15"/>
            </w:pPr>
            <w:r>
              <w:t>14.35</w:t>
            </w:r>
          </w:p>
        </w:tc>
      </w:tr>
    </w:tbl>
    <w:p>
      <w:pPr>
        <w:sectPr>
          <w:pgSz w:w="16840" w:h="11900" w:orient="landscape"/>
          <w:pgMar w:top="1361" w:right="1020" w:bottom="1134" w:left="1020" w:header="720" w:footer="720" w:gutter="0"/>
          <w:cols w:space="720" w:num="1"/>
        </w:sectPr>
      </w:pP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421001廊坊市广阳区档案馆本级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2.19</w:t>
            </w:r>
          </w:p>
        </w:tc>
        <w:tc>
          <w:tcPr>
            <w:tcW w:w="833" w:type="pct"/>
            <w:vAlign w:val="center"/>
          </w:tcPr>
          <w:p>
            <w:pPr>
              <w:pStyle w:val="19"/>
            </w:pPr>
            <w:r>
              <w:t>2.19</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廊坊市广阳区档案馆本级2023年单位预算信息公开情况说明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预算法》、《地方预决算公开操作规程》和《关于进一步推进预算公开工作的实施意见》规定，现将廊坊市广阳区档案馆本级2023年单位预算公开如下：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29"/>
      </w:pPr>
      <w:r>
        <w:t>广阳区档案馆是区委直属事业机构，行使全区档案事业档案接收、保管、利用职能。</w:t>
      </w:r>
    </w:p>
    <w:p>
      <w:pPr>
        <w:pStyle w:val="29"/>
      </w:pPr>
      <w:r>
        <w:t>（1）贯彻执行国家和本区有关档案管理的法律、法规、规章。</w:t>
      </w:r>
    </w:p>
    <w:p>
      <w:pPr>
        <w:pStyle w:val="29"/>
      </w:pPr>
      <w:r>
        <w:t>（2）集中统一管理区直机关各历史时期的档案资料，保守党和国家机密，维护档案完整，确保档案资料安全。</w:t>
      </w:r>
    </w:p>
    <w:p>
      <w:pPr>
        <w:pStyle w:val="29"/>
      </w:pPr>
      <w:r>
        <w:t>（3）接收区委、区人大、区政府、区政协、区纪委监委、区直各机关单位及乡镇街道办事处应进馆的档案资料。</w:t>
      </w:r>
    </w:p>
    <w:p>
      <w:pPr>
        <w:pStyle w:val="29"/>
      </w:pPr>
      <w:r>
        <w:t>（4）征集散存在社会上对国家和社会有保存价值的珍贵档案资料。</w:t>
      </w:r>
    </w:p>
    <w:p>
      <w:pPr>
        <w:pStyle w:val="29"/>
      </w:pPr>
      <w:r>
        <w:t xml:space="preserve">（5）负责馆藏档案资料的整理、编目、鉴定、统计和技术保护工作。    </w:t>
      </w:r>
    </w:p>
    <w:p>
      <w:pPr>
        <w:pStyle w:val="29"/>
      </w:pPr>
      <w:r>
        <w:t>（6）依法开放档案，为党和政府及社会各方面提供利用服务。</w:t>
      </w:r>
    </w:p>
    <w:p>
      <w:pPr>
        <w:pStyle w:val="29"/>
      </w:pPr>
      <w:r>
        <w:t>（7）承担政府公开信息的收集、管理和集中查阅工作。</w:t>
      </w:r>
    </w:p>
    <w:p>
      <w:pPr>
        <w:pStyle w:val="29"/>
      </w:pPr>
      <w:r>
        <w:t>（8）开发档案信息资源，开展档案史料编研出版、展览陈列和社会教育活动。</w:t>
      </w:r>
    </w:p>
    <w:p>
      <w:pPr>
        <w:pStyle w:val="29"/>
      </w:pPr>
      <w:r>
        <w:t>（9）运用现代化技术手段，开展馆藏档案信息化建设。</w:t>
      </w:r>
    </w:p>
    <w:p>
      <w:pPr>
        <w:pStyle w:val="29"/>
      </w:pPr>
      <w:r>
        <w:t>（10）完成区委交办的其他任务。</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廊坊市广阳区档案馆本级</w:t>
            </w:r>
          </w:p>
        </w:tc>
        <w:tc>
          <w:tcPr>
            <w:tcW w:w="1250" w:type="pct"/>
            <w:vAlign w:val="center"/>
          </w:tcPr>
          <w:p>
            <w:pPr>
              <w:pStyle w:val="17"/>
            </w:pPr>
            <w:r>
              <w:t>事业</w:t>
            </w:r>
          </w:p>
        </w:tc>
        <w:tc>
          <w:tcPr>
            <w:tcW w:w="1250" w:type="pct"/>
            <w:vAlign w:val="center"/>
          </w:tcPr>
          <w:p>
            <w:pPr>
              <w:pStyle w:val="17"/>
            </w:pPr>
            <w:r>
              <w:t>正科级</w:t>
            </w:r>
          </w:p>
        </w:tc>
        <w:tc>
          <w:tcPr>
            <w:tcW w:w="1250" w:type="pct"/>
            <w:vAlign w:val="center"/>
          </w:tcPr>
          <w:p>
            <w:pPr>
              <w:pStyle w:val="17"/>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反映本单位当年全部收入。2023年预算收入222.96万元，其中：一般公共预算收入208.61万元，基金预算收入0万元，财政专户核拨收入0万元，其他来源收入0万元，上年结转14.35万元。</w:t>
      </w:r>
    </w:p>
    <w:p>
      <w:pPr>
        <w:pStyle w:val="30"/>
      </w:pPr>
      <w:r>
        <w:t>2、支出说明</w:t>
      </w:r>
    </w:p>
    <w:p>
      <w:pPr>
        <w:pStyle w:val="30"/>
      </w:pPr>
      <w:r>
        <w:t>收支预算总表支出栏、基本支出表、项目支出表按经济分类和支出功能分类科目编制，反映廊坊市广阳区档案馆本级2023年度单位预算中支出预算的总体情况。2023年支出预算222.96万元，其中：基本支出208.61万元，包括人员经费179.38万元和日常公用经费29.23万元；项目支出14.35万元，全部为本级支出，主要为国有企业退休人员社会化管理补助资金支出。</w:t>
      </w:r>
    </w:p>
    <w:p>
      <w:pPr>
        <w:pStyle w:val="30"/>
      </w:pPr>
      <w:r>
        <w:t>3、比上年增减情况</w:t>
      </w:r>
    </w:p>
    <w:p>
      <w:pPr>
        <w:pStyle w:val="30"/>
      </w:pPr>
      <w:r>
        <w:t>2023年预算收支安排222.96万元，较2022年预算增加16.42万元，其中：基本支出增加12.07万元，增加）原因主要为人员经费支出增加；项目支出增加4.35万元，增加原因主要为国有企业退休人员社会化管理经费项目支出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2023年，我单位运行经费共计安排29.23万元，主要用于办公区的日常维修、办公费用、办公用房水电费、办公用房取暖费、邮电费、差旅费、办公用房物业管理费、公务用车运行维护费等日常运行支出。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p>
    <w:p>
      <w:pPr>
        <w:pStyle w:val="32"/>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、围绕区委、区政府中心工作推进工作开展。</w:t>
      </w:r>
    </w:p>
    <w:p>
      <w:pPr>
        <w:pStyle w:val="6"/>
        <w:spacing w:line="500" w:lineRule="exact"/>
        <w:ind w:firstLine="560"/>
      </w:pPr>
      <w:r>
        <w:rPr>
          <w:rFonts w:hint="eastAsia" w:hAnsi="方正仿宋_GBK" w:eastAsia="方正仿宋_GBK" w:cs="方正仿宋_GBK"/>
          <w:sz w:val="28"/>
          <w:lang w:val="uk" w:eastAsia="zh-CN" w:bidi="ar"/>
        </w:rPr>
        <w:t>按照区委、区政府的统一部署，在完成全区重点中心工作的同时，充分发挥档案部门的职能作用，为全区各项工作提供第一手的档案资料。丰富馆藏内容，满足工作考察、历史研究、编史修志等方面的需求，提高档案利用价值。</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、继续做好档案接收工作。</w:t>
      </w:r>
    </w:p>
    <w:p>
      <w:pPr>
        <w:pStyle w:val="6"/>
        <w:spacing w:line="500" w:lineRule="exact"/>
        <w:ind w:firstLine="560"/>
      </w:pPr>
      <w:r>
        <w:rPr>
          <w:rFonts w:hint="eastAsia" w:hAnsi="方正仿宋_GBK" w:eastAsia="方正仿宋_GBK" w:cs="方正仿宋_GBK"/>
          <w:sz w:val="28"/>
          <w:lang w:val="uk" w:eastAsia="zh-CN" w:bidi="ar"/>
        </w:rPr>
        <w:t>促进档案保管环境和保障条件进一步优化，确保机关和档案绝对安全。我们将对已接收立档单位的档案进行检查，查看归档范围、保管年限是否准确等。以确保将来接收进馆档案的质量，更好的为各立档单位以后查阅档案提供更好的服务。</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、维护档案馆库房设备以及机关设施，保障正常运转。</w:t>
      </w:r>
    </w:p>
    <w:p>
      <w:pPr>
        <w:pStyle w:val="6"/>
        <w:spacing w:line="500" w:lineRule="exact"/>
        <w:ind w:firstLine="560"/>
      </w:pP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、丰富馆藏内容，提高档案利用价值。</w:t>
      </w:r>
    </w:p>
    <w:p>
      <w:pPr>
        <w:pStyle w:val="6"/>
        <w:spacing w:line="500" w:lineRule="exact"/>
        <w:ind w:firstLine="560"/>
      </w:pPr>
      <w:r>
        <w:rPr>
          <w:rFonts w:hint="eastAsia" w:hAnsi="方正仿宋_GBK" w:eastAsia="方正仿宋_GBK" w:cs="方正仿宋_GBK"/>
          <w:sz w:val="28"/>
          <w:lang w:val="uk" w:eastAsia="zh-CN" w:bidi="ar"/>
        </w:rPr>
        <w:t>绩效目标：丰富馆藏内容，满足工作考察、历史研究、编史修志等方面的需求，提高档案利用价值。</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数量指标：文件级目录数据完成量收储档案</w:t>
      </w:r>
      <w:r>
        <w:rPr>
          <w:rFonts w:eastAsia="方正仿宋_GBK" w:cs="Times New Roman"/>
          <w:sz w:val="28"/>
          <w:lang w:eastAsia="zh-CN" w:bidi="ar"/>
        </w:rPr>
        <w:t>≥2000</w:t>
      </w:r>
      <w:r>
        <w:rPr>
          <w:rFonts w:hint="eastAsia" w:hAnsi="方正仿宋_GBK" w:eastAsia="方正仿宋_GBK" w:cs="方正仿宋_GBK"/>
          <w:sz w:val="28"/>
          <w:lang w:val="uk" w:eastAsia="zh-CN" w:bidi="ar"/>
        </w:rPr>
        <w:t>册</w:t>
      </w:r>
    </w:p>
    <w:p>
      <w:pPr>
        <w:pStyle w:val="6"/>
        <w:spacing w:line="500" w:lineRule="exact"/>
        <w:ind w:firstLine="560"/>
      </w:pPr>
      <w:r>
        <w:rPr>
          <w:rFonts w:hint="eastAsia" w:hAnsi="方正仿宋_GBK" w:eastAsia="方正仿宋_GBK" w:cs="方正仿宋_GBK"/>
          <w:sz w:val="28"/>
          <w:lang w:val="uk" w:eastAsia="zh-CN" w:bidi="ar"/>
        </w:rPr>
        <w:t>质量指标：档案整理、移交、接收、管理、保存的比率</w:t>
      </w:r>
      <w:r>
        <w:rPr>
          <w:rFonts w:eastAsia="方正仿宋_GBK" w:cs="Times New Roman"/>
          <w:sz w:val="28"/>
          <w:lang w:eastAsia="zh-CN" w:bidi="ar"/>
        </w:rPr>
        <w:t>≥90%</w:t>
      </w:r>
    </w:p>
    <w:p>
      <w:pPr>
        <w:pStyle w:val="6"/>
        <w:spacing w:line="500" w:lineRule="exact"/>
        <w:ind w:firstLine="560"/>
      </w:pPr>
      <w:r>
        <w:rPr>
          <w:rFonts w:hint="eastAsia" w:hAnsi="方正仿宋_GBK" w:eastAsia="方正仿宋_GBK" w:cs="方正仿宋_GBK"/>
          <w:sz w:val="28"/>
          <w:lang w:val="uk" w:eastAsia="zh-CN" w:bidi="ar"/>
        </w:rPr>
        <w:t>时效指标：全全年进行档案收储</w:t>
      </w:r>
    </w:p>
    <w:p>
      <w:pPr>
        <w:pStyle w:val="6"/>
        <w:spacing w:line="500" w:lineRule="exact"/>
        <w:ind w:firstLine="560"/>
      </w:pPr>
      <w:r>
        <w:rPr>
          <w:rFonts w:hint="eastAsia" w:hAnsi="方正仿宋_GBK" w:eastAsia="方正仿宋_GBK" w:cs="方正仿宋_GBK"/>
          <w:sz w:val="28"/>
          <w:lang w:val="uk" w:eastAsia="zh-CN" w:bidi="ar"/>
        </w:rPr>
        <w:t>社会效益：规范档案管理，服务社会发展</w:t>
      </w:r>
    </w:p>
    <w:p>
      <w:pPr>
        <w:pStyle w:val="6"/>
        <w:spacing w:line="500" w:lineRule="exact"/>
        <w:ind w:firstLine="560"/>
      </w:pPr>
      <w:r>
        <w:rPr>
          <w:rFonts w:hint="eastAsia" w:hAnsi="方正仿宋_GBK" w:eastAsia="方正仿宋_GBK" w:cs="方正仿宋_GBK"/>
          <w:sz w:val="28"/>
          <w:lang w:val="uk" w:eastAsia="zh-CN" w:bidi="ar"/>
        </w:rPr>
        <w:t>可持续影响：持续提升档案管理现代化服务水平。</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、档案保管环境和保障条件进一步优化，确保机关和档案绝对安全。</w:t>
      </w:r>
    </w:p>
    <w:p>
      <w:pPr>
        <w:pStyle w:val="6"/>
        <w:spacing w:line="500" w:lineRule="exact"/>
        <w:ind w:firstLine="560"/>
      </w:pPr>
      <w:r>
        <w:rPr>
          <w:rFonts w:hint="eastAsia" w:hAnsi="方正仿宋_GBK" w:eastAsia="方正仿宋_GBK" w:cs="方正仿宋_GBK"/>
          <w:sz w:val="28"/>
          <w:lang w:val="uk" w:eastAsia="zh-CN" w:bidi="ar"/>
        </w:rPr>
        <w:t>绩效目标：定期调控和记录库房温室度，库房建设符合国家标准，分区合理，设备不出现故障，档案保管环境和保障条件进一步优化，维护档案状况，确保机关和档案绝对安全。</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数量指标：档案资料完好无破损率</w:t>
      </w:r>
      <w:r>
        <w:rPr>
          <w:rFonts w:eastAsia="方正仿宋_GBK" w:cs="Times New Roman"/>
          <w:sz w:val="28"/>
          <w:lang w:eastAsia="zh-CN" w:bidi="ar"/>
        </w:rPr>
        <w:t>≥98%</w:t>
      </w:r>
    </w:p>
    <w:p>
      <w:pPr>
        <w:pStyle w:val="6"/>
        <w:spacing w:line="500" w:lineRule="exact"/>
        <w:ind w:firstLine="560"/>
      </w:pPr>
      <w:r>
        <w:rPr>
          <w:rFonts w:hint="eastAsia" w:hAnsi="方正仿宋_GBK" w:eastAsia="方正仿宋_GBK" w:cs="方正仿宋_GBK"/>
          <w:sz w:val="28"/>
          <w:lang w:val="uk" w:eastAsia="zh-CN" w:bidi="ar"/>
        </w:rPr>
        <w:t>质量指标：档案库房环境建设符合国家标准率</w:t>
      </w:r>
      <w:r>
        <w:rPr>
          <w:rFonts w:eastAsia="方正仿宋_GBK" w:cs="Times New Roman"/>
          <w:sz w:val="28"/>
          <w:lang w:eastAsia="zh-CN" w:bidi="ar"/>
        </w:rPr>
        <w:t>≥80%</w:t>
      </w:r>
    </w:p>
    <w:p>
      <w:pPr>
        <w:pStyle w:val="6"/>
        <w:spacing w:line="500" w:lineRule="exact"/>
        <w:ind w:firstLine="560"/>
      </w:pPr>
      <w:r>
        <w:rPr>
          <w:rFonts w:hint="eastAsia" w:hAnsi="方正仿宋_GBK" w:eastAsia="方正仿宋_GBK" w:cs="方正仿宋_GBK"/>
          <w:sz w:val="28"/>
          <w:lang w:val="uk" w:eastAsia="zh-CN" w:bidi="ar"/>
        </w:rPr>
        <w:t>时效指标：全年进行档案管理维护，提升社会效益水平</w:t>
      </w:r>
    </w:p>
    <w:p>
      <w:pPr>
        <w:pStyle w:val="6"/>
        <w:spacing w:line="500" w:lineRule="exact"/>
        <w:ind w:firstLine="560"/>
      </w:pPr>
      <w:r>
        <w:rPr>
          <w:rFonts w:hint="eastAsia" w:hAnsi="方正仿宋_GBK" w:eastAsia="方正仿宋_GBK" w:cs="方正仿宋_GBK"/>
          <w:sz w:val="28"/>
          <w:lang w:val="uk" w:eastAsia="zh-CN" w:bidi="ar"/>
        </w:rPr>
        <w:t>社会效益：提高档案馆室建设水平</w:t>
      </w:r>
      <w:r>
        <w:rPr>
          <w:rFonts w:eastAsia="方正仿宋_GBK" w:cs="Times New Roman"/>
          <w:sz w:val="28"/>
          <w:lang w:eastAsia="zh-CN" w:bidi="ar"/>
        </w:rPr>
        <w:t>,</w:t>
      </w:r>
      <w:r>
        <w:rPr>
          <w:rFonts w:hint="eastAsia" w:hAnsi="方正仿宋_GBK" w:eastAsia="方正仿宋_GBK" w:cs="方正仿宋_GBK"/>
          <w:sz w:val="28"/>
          <w:lang w:val="uk" w:eastAsia="zh-CN" w:bidi="ar"/>
        </w:rPr>
        <w:t>方便有关单位和档案管理受众查阅档案，提供精准信息资料</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、维护档案馆库房设备以及机关设施，保障正常运转。</w:t>
      </w:r>
    </w:p>
    <w:p>
      <w:pPr>
        <w:pStyle w:val="6"/>
        <w:spacing w:line="500" w:lineRule="exact"/>
        <w:ind w:firstLine="560"/>
      </w:pPr>
      <w:r>
        <w:rPr>
          <w:rFonts w:hint="eastAsia" w:hAnsi="方正仿宋_GBK" w:eastAsia="方正仿宋_GBK" w:cs="方正仿宋_GBK"/>
          <w:sz w:val="28"/>
          <w:lang w:val="uk" w:eastAsia="zh-CN" w:bidi="ar"/>
        </w:rPr>
        <w:t>绩效目标：通过建设、管理和维护维护档案馆库房设备以及机关设施，有效增进档案管理规范化建设水平。建立优质高效的档案管理信息化平台。</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数量指标：保障档案馆设备正常运转率</w:t>
      </w:r>
      <w:r>
        <w:rPr>
          <w:rFonts w:eastAsia="方正仿宋_GBK" w:cs="Times New Roman"/>
          <w:sz w:val="28"/>
          <w:lang w:eastAsia="zh-CN" w:bidi="ar"/>
        </w:rPr>
        <w:t>≥95%</w:t>
      </w:r>
    </w:p>
    <w:p>
      <w:pPr>
        <w:pStyle w:val="6"/>
        <w:spacing w:line="500" w:lineRule="exact"/>
        <w:ind w:firstLine="560"/>
      </w:pPr>
      <w:r>
        <w:rPr>
          <w:rFonts w:hint="eastAsia" w:hAnsi="方正仿宋_GBK" w:eastAsia="方正仿宋_GBK" w:cs="方正仿宋_GBK"/>
          <w:sz w:val="28"/>
          <w:lang w:val="uk" w:eastAsia="zh-CN" w:bidi="ar"/>
        </w:rPr>
        <w:t>质量指标：保障机关工作正常高效运转率</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pStyle w:val="6"/>
        <w:spacing w:line="500" w:lineRule="exact"/>
        <w:ind w:firstLine="560"/>
      </w:pPr>
      <w:r>
        <w:rPr>
          <w:rFonts w:hint="eastAsia" w:hAnsi="方正仿宋_GBK" w:eastAsia="方正仿宋_GBK" w:cs="方正仿宋_GBK"/>
          <w:sz w:val="28"/>
          <w:lang w:val="uk" w:eastAsia="zh-CN" w:bidi="ar"/>
        </w:rPr>
        <w:t>时效指标：全年保持高效快捷工作维护和运转</w:t>
      </w:r>
    </w:p>
    <w:p>
      <w:pPr>
        <w:pStyle w:val="6"/>
        <w:spacing w:line="500" w:lineRule="exact"/>
        <w:ind w:firstLine="560"/>
      </w:pPr>
      <w:r>
        <w:rPr>
          <w:rFonts w:hint="eastAsia" w:hAnsi="方正仿宋_GBK" w:eastAsia="方正仿宋_GBK" w:cs="方正仿宋_GBK"/>
          <w:sz w:val="28"/>
          <w:lang w:val="uk" w:eastAsia="zh-CN" w:bidi="ar"/>
        </w:rPr>
        <w:t>社会效益：提供一站式档案管理和查询服务，落实受问责任和负责到底工作责任制，提供便捷档案管理服务</w:t>
      </w:r>
    </w:p>
    <w:p>
      <w:pPr>
        <w:pStyle w:val="6"/>
        <w:spacing w:line="500" w:lineRule="exact"/>
        <w:ind w:firstLine="560"/>
      </w:pPr>
      <w:r>
        <w:rPr>
          <w:rFonts w:hint="eastAsia" w:hAnsi="方正仿宋_GBK" w:eastAsia="方正仿宋_GBK" w:cs="方正仿宋_GBK"/>
          <w:sz w:val="28"/>
          <w:lang w:val="uk" w:eastAsia="zh-CN" w:bidi="ar"/>
        </w:rPr>
        <w:t>可持续影响：持续向全区机关和国企退休职工提供档案管理服务</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hint="eastAsia" w:hAnsi="方正仿宋_GBK" w:eastAsia="方正仿宋_GBK" w:cs="方正仿宋_GBK"/>
          <w:sz w:val="28"/>
          <w:lang w:val="uk" w:eastAsia="zh-CN" w:bidi="ar"/>
        </w:rPr>
        <w:t>为进一步规范财务活动行为，有效防范财务风险，确保资金使用安全、规范，提高我部门</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（单位）整体绩效目标，在原有的财务制度的基础上进行优化完善，规范了各项管理。具体措施如下：</w:t>
      </w:r>
      <w:r>
        <w:rPr>
          <w:rFonts w:eastAsia="方正仿宋_GBK" w:cs="Times New Roman"/>
          <w:sz w:val="28"/>
          <w:lang w:val="uk" w:eastAsia="zh-CN" w:bidi="ar"/>
        </w:rPr>
        <w:t xml:space="preserve"> </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、完善制度建设</w:t>
      </w:r>
    </w:p>
    <w:p>
      <w:pPr>
        <w:pStyle w:val="6"/>
        <w:spacing w:line="500" w:lineRule="exact"/>
        <w:ind w:firstLine="560"/>
      </w:pPr>
      <w:r>
        <w:rPr>
          <w:rFonts w:hint="eastAsia" w:hAnsi="方正仿宋_GBK" w:eastAsia="方正仿宋_GBK" w:cs="方正仿宋_GBK"/>
          <w:sz w:val="28"/>
          <w:lang w:val="uk" w:eastAsia="zh-CN" w:bidi="ar"/>
        </w:rP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、加强支出管理</w:t>
      </w:r>
    </w:p>
    <w:p>
      <w:pPr>
        <w:pStyle w:val="6"/>
        <w:spacing w:line="500" w:lineRule="exact"/>
        <w:ind w:firstLine="560"/>
      </w:pPr>
      <w:r>
        <w:rPr>
          <w:rFonts w:hint="eastAsia" w:hAnsi="方正仿宋_GBK" w:eastAsia="方正仿宋_GBK" w:cs="方正仿宋_GBK"/>
          <w:sz w:val="28"/>
          <w:lang w:val="uk" w:eastAsia="zh-CN" w:bidi="ar"/>
        </w:rPr>
        <w:t>一是执行经费管理制度，加强费用报销审核，切实做到支出合规、手续齐全、凭证真实有效；二是强化项目管理，坚持专项资金</w:t>
      </w:r>
      <w:r>
        <w:rPr>
          <w:rFonts w:eastAsia="方正仿宋_GBK" w:cs="Times New Roman"/>
          <w:sz w:val="28"/>
          <w:lang w:eastAsia="zh-CN" w:bidi="ar"/>
        </w:rPr>
        <w:t>“</w:t>
      </w:r>
      <w:r>
        <w:rPr>
          <w:rFonts w:hint="eastAsia" w:hAnsi="方正仿宋_GBK" w:eastAsia="方正仿宋_GBK" w:cs="方正仿宋_GBK"/>
          <w:sz w:val="28"/>
          <w:lang w:val="uk" w:eastAsia="zh-CN" w:bidi="ar"/>
        </w:rPr>
        <w:t>谁主管、谁负责</w:t>
      </w:r>
      <w:r>
        <w:rPr>
          <w:rFonts w:eastAsia="方正仿宋_GBK" w:cs="Times New Roman"/>
          <w:sz w:val="28"/>
          <w:lang w:eastAsia="zh-CN" w:bidi="ar"/>
        </w:rPr>
        <w:t>”</w:t>
      </w:r>
      <w:r>
        <w:rPr>
          <w:rFonts w:hint="eastAsia" w:hAnsi="方正仿宋_GBK" w:eastAsia="方正仿宋_GBK" w:cs="方正仿宋_GBK"/>
          <w:sz w:val="28"/>
          <w:lang w:val="uk" w:eastAsia="zh-CN" w:bidi="ar"/>
        </w:rPr>
        <w:t>的管理原则，各股室自行准备项目申报及审核材料，由办公室财务人员审核通过后报财政局审核，审核通过后财政部门按规定拨付资金。同时，财政局会同主管部门不定期监督检查项目资金实施进度和资金使用情况，每年抽样进行绩效评估，对查出的问题及时提出处理意见和改进措施。</w:t>
      </w:r>
      <w:r>
        <w:rPr>
          <w:rFonts w:eastAsia="方正仿宋_GBK" w:cs="Times New Roman"/>
          <w:sz w:val="28"/>
          <w:lang w:val="uk" w:eastAsia="zh-CN" w:bidi="ar"/>
        </w:rPr>
        <w:t xml:space="preserve"> </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、加强绩效运行监控</w:t>
      </w:r>
    </w:p>
    <w:p>
      <w:pPr>
        <w:pStyle w:val="6"/>
        <w:spacing w:line="500" w:lineRule="exact"/>
        <w:ind w:firstLine="560"/>
      </w:pPr>
      <w:r>
        <w:rPr>
          <w:rFonts w:hint="eastAsia" w:hAnsi="方正仿宋_GBK" w:eastAsia="方正仿宋_GBK" w:cs="方正仿宋_GBK"/>
          <w:sz w:val="28"/>
          <w:lang w:val="uk" w:eastAsia="zh-CN" w:bidi="ar"/>
        </w:rPr>
        <w:t>为规范绩效运行监控管理，落实绩效主体责任，我单位高效推进预算绩效运行监控工作，增强预算执行的科学性、合理性、规范性，提高财政资金使用绩效。一是监控范围全覆盖，按照</w:t>
      </w:r>
      <w:r>
        <w:rPr>
          <w:rFonts w:eastAsia="方正仿宋_GBK" w:cs="Times New Roman"/>
          <w:sz w:val="28"/>
          <w:lang w:eastAsia="zh-CN" w:bidi="ar"/>
        </w:rPr>
        <w:t>“</w:t>
      </w:r>
      <w:r>
        <w:rPr>
          <w:rFonts w:hint="eastAsia" w:hAnsi="方正仿宋_GBK" w:eastAsia="方正仿宋_GBK" w:cs="方正仿宋_GBK"/>
          <w:sz w:val="28"/>
          <w:lang w:val="uk" w:eastAsia="zh-CN" w:bidi="ar"/>
        </w:rPr>
        <w:t>全面覆盖、突出重点</w:t>
      </w:r>
      <w:r>
        <w:rPr>
          <w:rFonts w:eastAsia="方正仿宋_GBK" w:cs="Times New Roman"/>
          <w:sz w:val="28"/>
          <w:lang w:eastAsia="zh-CN" w:bidi="ar"/>
        </w:rPr>
        <w:t>”</w:t>
      </w:r>
      <w:r>
        <w:rPr>
          <w:rFonts w:hint="eastAsia" w:hAnsi="方正仿宋_GBK" w:eastAsia="方正仿宋_GBK" w:cs="方正仿宋_GBK"/>
          <w:sz w:val="28"/>
          <w:lang w:val="uk" w:eastAsia="zh-CN" w:bidi="ar"/>
        </w:rPr>
        <w:t>的原则，明确监控范围，对纳入预算绩效管理系统中的部门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w:t>
      </w:r>
      <w:r>
        <w:rPr>
          <w:rFonts w:eastAsia="方正仿宋_GBK" w:cs="Times New Roman"/>
          <w:sz w:val="28"/>
          <w:lang w:val="uk" w:eastAsia="zh-CN" w:bidi="ar"/>
        </w:rPr>
        <w:t xml:space="preserve"> </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、做好绩效自评</w:t>
      </w:r>
    </w:p>
    <w:p>
      <w:pPr>
        <w:pStyle w:val="6"/>
        <w:spacing w:line="500" w:lineRule="exact"/>
        <w:ind w:firstLine="560"/>
      </w:pPr>
      <w:r>
        <w:rPr>
          <w:rFonts w:hint="eastAsia" w:hAnsi="方正仿宋_GBK" w:eastAsia="方正仿宋_GBK" w:cs="方正仿宋_GBK"/>
          <w:sz w:val="28"/>
          <w:lang w:val="uk" w:eastAsia="zh-CN" w:bidi="ar"/>
        </w:rPr>
        <w:t>依照《广阳区财政局关于开展部门整体绩效自评》的通知，我单位每年年底对本单位执行财务纪律及有关政策情况和内部财务管理制度的建立健全、执行情况开展认真自查，及时纠正。</w:t>
      </w:r>
      <w:r>
        <w:rPr>
          <w:rFonts w:eastAsia="方正仿宋_GBK" w:cs="Times New Roman"/>
          <w:sz w:val="28"/>
          <w:lang w:val="uk" w:eastAsia="zh-CN" w:bidi="ar"/>
        </w:rPr>
        <w:t xml:space="preserve"> </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、规范财务资产管理</w:t>
      </w:r>
    </w:p>
    <w:p>
      <w:pPr>
        <w:pStyle w:val="6"/>
        <w:spacing w:line="500" w:lineRule="exact"/>
        <w:ind w:firstLine="560"/>
      </w:pPr>
      <w:r>
        <w:rPr>
          <w:rFonts w:hint="eastAsia" w:hAnsi="方正仿宋_GBK" w:eastAsia="方正仿宋_GBK" w:cs="方正仿宋_GBK"/>
          <w:sz w:val="28"/>
          <w:lang w:val="uk" w:eastAsia="zh-CN" w:bidi="ar"/>
        </w:rPr>
        <w:t>为更加规范固定资产的管理，我单位财务人员对机关所有资产进行统一登记，对没有使用价值的固定资产进行报废处理，改善资产结构，优化资源配置，减少无效资产占用，提高资产使用效率。</w:t>
      </w:r>
      <w:r>
        <w:rPr>
          <w:rFonts w:eastAsia="方正仿宋_GBK" w:cs="Times New Roman"/>
          <w:sz w:val="28"/>
          <w:lang w:val="uk" w:eastAsia="zh-CN" w:bidi="ar"/>
        </w:rPr>
        <w:t xml:space="preserve"> </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、加强内部监督</w:t>
      </w:r>
    </w:p>
    <w:p>
      <w:pPr>
        <w:pStyle w:val="6"/>
        <w:spacing w:line="500" w:lineRule="exact"/>
        <w:ind w:firstLine="560"/>
      </w:pPr>
      <w:r>
        <w:rPr>
          <w:rFonts w:hint="eastAsia" w:hAnsi="方正仿宋_GBK" w:eastAsia="方正仿宋_GBK" w:cs="方正仿宋_GBK"/>
          <w:sz w:val="28"/>
          <w:lang w:val="uk" w:eastAsia="zh-CN" w:bidi="ar"/>
        </w:rPr>
        <w:t>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w:t>
      </w:r>
      <w:r>
        <w:rPr>
          <w:rFonts w:eastAsia="方正仿宋_GBK" w:cs="Times New Roman"/>
          <w:sz w:val="28"/>
          <w:lang w:val="uk" w:eastAsia="zh-CN" w:bidi="ar"/>
        </w:rPr>
        <w:t xml:space="preserve"> </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、加强宣传培训调研</w:t>
      </w:r>
    </w:p>
    <w:p>
      <w:pPr>
        <w:pStyle w:val="6"/>
        <w:spacing w:line="500" w:lineRule="exact"/>
        <w:ind w:firstLine="560"/>
      </w:pPr>
      <w:r>
        <w:rPr>
          <w:rFonts w:hint="eastAsia" w:hAnsi="方正仿宋_GBK" w:eastAsia="方正仿宋_GBK" w:cs="方正仿宋_GBK"/>
          <w:sz w:val="28"/>
          <w:lang w:val="uk" w:eastAsia="zh-CN" w:bidi="ar"/>
        </w:rP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w:t>
      </w:r>
      <w:r>
        <w:rPr>
          <w:rFonts w:eastAsia="方正仿宋_GBK" w:cs="Times New Roman"/>
          <w:sz w:val="28"/>
          <w:lang w:eastAsia="zh-CN" w:bidi="ar"/>
        </w:rPr>
        <w:t>1-2</w:t>
      </w:r>
      <w:r>
        <w:rPr>
          <w:rFonts w:hint="eastAsia" w:hAnsi="方正仿宋_GBK" w:eastAsia="方正仿宋_GBK" w:cs="方正仿宋_GBK"/>
          <w:sz w:val="28"/>
          <w:lang w:val="uk" w:eastAsia="zh-CN" w:bidi="ar"/>
        </w:rPr>
        <w:t>次财务工作培训会，并由单位一把手牵头成立专门的单位内部控制领导小组，坚持全员参与，健全工作机制。</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2"/>
        <w:gridCol w:w="1273"/>
        <w:gridCol w:w="1561"/>
        <w:gridCol w:w="4396"/>
        <w:gridCol w:w="2554"/>
        <w:gridCol w:w="991"/>
        <w:gridCol w:w="851"/>
        <w:gridCol w:w="851"/>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3"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429"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52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1481"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861"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908"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550"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3"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2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81"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61"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550"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52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档案移交、接收、整理、保存数量</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每少完成</w:t>
            </w:r>
            <w:r>
              <w:rPr>
                <w:rFonts w:hint="eastAsia" w:ascii="仿宋_GB2312" w:eastAsia="仿宋_GB2312" w:cs="仿宋_GB2312"/>
                <w:color w:val="000000"/>
                <w:sz w:val="22"/>
                <w:szCs w:val="22"/>
                <w:lang w:eastAsia="zh-CN" w:bidi="ar"/>
              </w:rPr>
              <w:t>100</w:t>
            </w:r>
            <w:r>
              <w:rPr>
                <w:rFonts w:hint="eastAsia" w:ascii="仿宋_GB2312" w:eastAsia="仿宋_GB2312" w:cs="仿宋_GB2312"/>
                <w:color w:val="000000"/>
                <w:sz w:val="22"/>
                <w:szCs w:val="22"/>
                <w:lang w:val="uk" w:eastAsia="zh-CN" w:bidi="ar"/>
              </w:rPr>
              <w:t>册，扣权重分值</w:t>
            </w:r>
            <w:r>
              <w:rPr>
                <w:rFonts w:hint="eastAsia" w:ascii="仿宋_GB2312" w:eastAsia="仿宋_GB2312" w:cs="仿宋_GB2312"/>
                <w:color w:val="000000"/>
                <w:sz w:val="22"/>
                <w:szCs w:val="22"/>
                <w:lang w:eastAsia="zh-CN" w:bidi="ar"/>
              </w:rPr>
              <w:t>10%</w:t>
            </w:r>
          </w:p>
        </w:tc>
        <w:tc>
          <w:tcPr>
            <w:tcW w:w="86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文件级目录数据</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2000</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册</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52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档案资料完好无破损率</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破损率每下降</w:t>
            </w:r>
            <w:r>
              <w:rPr>
                <w:rFonts w:hint="eastAsia" w:ascii="仿宋_GB2312" w:eastAsia="仿宋_GB2312" w:cs="仿宋_GB2312"/>
                <w:color w:val="000000"/>
                <w:sz w:val="22"/>
                <w:szCs w:val="22"/>
                <w:lang w:eastAsia="zh-CN" w:bidi="ar"/>
              </w:rPr>
              <w:t>5%</w:t>
            </w:r>
            <w:r>
              <w:rPr>
                <w:rFonts w:hint="eastAsia" w:ascii="仿宋_GB2312" w:eastAsia="仿宋_GB2312" w:cs="仿宋_GB2312"/>
                <w:color w:val="000000"/>
                <w:sz w:val="22"/>
                <w:szCs w:val="22"/>
                <w:lang w:val="uk" w:eastAsia="zh-CN" w:bidi="ar"/>
              </w:rPr>
              <w:t>，扣权重</w:t>
            </w:r>
            <w:r>
              <w:rPr>
                <w:rFonts w:hint="eastAsia" w:ascii="仿宋_GB2312" w:eastAsia="仿宋_GB2312" w:cs="仿宋_GB2312"/>
                <w:color w:val="000000"/>
                <w:sz w:val="22"/>
                <w:szCs w:val="22"/>
                <w:lang w:eastAsia="zh-CN" w:bidi="ar"/>
              </w:rPr>
              <w:t>10%</w:t>
            </w:r>
          </w:p>
        </w:tc>
        <w:tc>
          <w:tcPr>
            <w:tcW w:w="86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档案资料完好无破损率</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98</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8"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526"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保障档案馆内设备正常运转率</w:t>
            </w:r>
          </w:p>
        </w:tc>
        <w:tc>
          <w:tcPr>
            <w:tcW w:w="1481"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运转率每下降</w:t>
            </w:r>
            <w:r>
              <w:rPr>
                <w:rFonts w:hint="eastAsia" w:ascii="仿宋_GB2312" w:eastAsia="仿宋_GB2312" w:cs="仿宋_GB2312"/>
                <w:color w:val="000000"/>
                <w:sz w:val="22"/>
                <w:szCs w:val="22"/>
                <w:lang w:eastAsia="zh-CN" w:bidi="ar"/>
              </w:rPr>
              <w:t>5%</w:t>
            </w:r>
            <w:r>
              <w:rPr>
                <w:rFonts w:hint="eastAsia" w:ascii="仿宋_GB2312" w:eastAsia="仿宋_GB2312" w:cs="仿宋_GB2312"/>
                <w:color w:val="000000"/>
                <w:sz w:val="22"/>
                <w:szCs w:val="22"/>
                <w:lang w:val="uk" w:eastAsia="zh-CN" w:bidi="ar"/>
              </w:rPr>
              <w:t>，扣权重</w:t>
            </w:r>
            <w:r>
              <w:rPr>
                <w:rFonts w:hint="eastAsia" w:ascii="仿宋_GB2312" w:eastAsia="仿宋_GB2312" w:cs="仿宋_GB2312"/>
                <w:color w:val="000000"/>
                <w:sz w:val="22"/>
                <w:szCs w:val="22"/>
                <w:lang w:eastAsia="zh-CN" w:bidi="ar"/>
              </w:rPr>
              <w:t>10%</w:t>
            </w:r>
          </w:p>
        </w:tc>
        <w:tc>
          <w:tcPr>
            <w:tcW w:w="861"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保障档案馆内设备正常运转</w:t>
            </w:r>
          </w:p>
        </w:tc>
        <w:tc>
          <w:tcPr>
            <w:tcW w:w="334"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w:t>
            </w: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95</w:t>
            </w: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w:t>
            </w:r>
          </w:p>
        </w:tc>
        <w:tc>
          <w:tcPr>
            <w:tcW w:w="550"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8"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2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1481"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861"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50"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8"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526"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档案移交、接收、整理、保存的合格率</w:t>
            </w:r>
          </w:p>
        </w:tc>
        <w:tc>
          <w:tcPr>
            <w:tcW w:w="1481"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合格率每下降</w:t>
            </w:r>
            <w:r>
              <w:rPr>
                <w:rFonts w:hint="eastAsia" w:ascii="仿宋_GB2312" w:eastAsia="仿宋_GB2312" w:cs="仿宋_GB2312"/>
                <w:color w:val="000000"/>
                <w:sz w:val="22"/>
                <w:szCs w:val="22"/>
                <w:lang w:eastAsia="zh-CN" w:bidi="ar"/>
              </w:rPr>
              <w:t>5%</w:t>
            </w:r>
            <w:r>
              <w:rPr>
                <w:rFonts w:hint="eastAsia" w:ascii="仿宋_GB2312" w:eastAsia="仿宋_GB2312" w:cs="仿宋_GB2312"/>
                <w:color w:val="000000"/>
                <w:sz w:val="22"/>
                <w:szCs w:val="22"/>
                <w:lang w:val="uk" w:eastAsia="zh-CN" w:bidi="ar"/>
              </w:rPr>
              <w:t>，扣权重</w:t>
            </w:r>
            <w:r>
              <w:rPr>
                <w:rFonts w:hint="eastAsia" w:ascii="仿宋_GB2312" w:eastAsia="仿宋_GB2312" w:cs="仿宋_GB2312"/>
                <w:color w:val="000000"/>
                <w:sz w:val="22"/>
                <w:szCs w:val="22"/>
                <w:lang w:eastAsia="zh-CN" w:bidi="ar"/>
              </w:rPr>
              <w:t>10%</w:t>
            </w:r>
          </w:p>
        </w:tc>
        <w:tc>
          <w:tcPr>
            <w:tcW w:w="861"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档案移交、接收、整理、保存合格率</w:t>
            </w:r>
          </w:p>
        </w:tc>
        <w:tc>
          <w:tcPr>
            <w:tcW w:w="334"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w:t>
            </w: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90</w:t>
            </w: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w:t>
            </w:r>
          </w:p>
        </w:tc>
        <w:tc>
          <w:tcPr>
            <w:tcW w:w="550"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8"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2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81"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61"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50"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8"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526"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档案库房环境建设符合国家标准率</w:t>
            </w:r>
          </w:p>
        </w:tc>
        <w:tc>
          <w:tcPr>
            <w:tcW w:w="1481"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达到标准得满分，否则不得分</w:t>
            </w:r>
          </w:p>
        </w:tc>
        <w:tc>
          <w:tcPr>
            <w:tcW w:w="861"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档案库房环境建设符合国家标准率</w:t>
            </w:r>
          </w:p>
        </w:tc>
        <w:tc>
          <w:tcPr>
            <w:tcW w:w="334"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w:t>
            </w: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80</w:t>
            </w: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w:t>
            </w:r>
          </w:p>
        </w:tc>
        <w:tc>
          <w:tcPr>
            <w:tcW w:w="550"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档案库房环境建设标准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8"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2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1481"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861"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50"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52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保障机关工作正常高效运转率</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运转率每下降</w:t>
            </w:r>
            <w:r>
              <w:rPr>
                <w:rFonts w:hint="eastAsia" w:ascii="仿宋_GB2312" w:eastAsia="仿宋_GB2312" w:cs="仿宋_GB2312"/>
                <w:color w:val="000000"/>
                <w:sz w:val="22"/>
                <w:szCs w:val="22"/>
                <w:lang w:eastAsia="zh-CN" w:bidi="ar"/>
              </w:rPr>
              <w:t>5%</w:t>
            </w:r>
            <w:r>
              <w:rPr>
                <w:rFonts w:hint="eastAsia" w:ascii="仿宋_GB2312" w:eastAsia="仿宋_GB2312" w:cs="仿宋_GB2312"/>
                <w:color w:val="000000"/>
                <w:sz w:val="22"/>
                <w:szCs w:val="22"/>
                <w:lang w:val="uk" w:eastAsia="zh-CN" w:bidi="ar"/>
              </w:rPr>
              <w:t>，扣权重</w:t>
            </w:r>
            <w:r>
              <w:rPr>
                <w:rFonts w:hint="eastAsia" w:ascii="仿宋_GB2312" w:eastAsia="仿宋_GB2312" w:cs="仿宋_GB2312"/>
                <w:color w:val="000000"/>
                <w:sz w:val="22"/>
                <w:szCs w:val="22"/>
                <w:lang w:eastAsia="zh-CN" w:bidi="ar"/>
              </w:rPr>
              <w:t>10%</w:t>
            </w:r>
          </w:p>
        </w:tc>
        <w:tc>
          <w:tcPr>
            <w:tcW w:w="86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保障机关工作正常高效运转率</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等于</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100</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时效</w:t>
            </w:r>
          </w:p>
        </w:tc>
        <w:tc>
          <w:tcPr>
            <w:tcW w:w="52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按时完成档案整理、移交、接收、管理、保存工作</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按时完成得满分，否则不得分</w:t>
            </w:r>
          </w:p>
        </w:tc>
        <w:tc>
          <w:tcPr>
            <w:tcW w:w="86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完成档案整理、移交、接收、管理、保存工作时间</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hAnsi="宋体" w:eastAsia="仿宋_GB2312" w:cs="宋体"/>
                <w:color w:val="000000"/>
                <w:sz w:val="22"/>
                <w:szCs w:val="22"/>
              </w:rPr>
            </w:pPr>
            <w:r>
              <w:rPr>
                <w:rFonts w:hint="eastAsia" w:ascii="仿宋_GB2312" w:eastAsia="仿宋_GB2312" w:cs="仿宋_GB2312"/>
                <w:color w:val="000000"/>
                <w:sz w:val="22"/>
                <w:szCs w:val="22"/>
                <w:lang w:eastAsia="zh-CN" w:bidi="ar"/>
              </w:rPr>
              <w:t>12</w:t>
            </w:r>
            <w:r>
              <w:rPr>
                <w:rFonts w:hint="eastAsia" w:ascii="仿宋_GB2312" w:eastAsia="仿宋_GB2312" w:cs="仿宋_GB2312"/>
                <w:color w:val="000000"/>
                <w:sz w:val="22"/>
                <w:szCs w:val="22"/>
                <w:lang w:val="uk" w:eastAsia="zh-CN" w:bidi="ar"/>
              </w:rPr>
              <w:t>月底前</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52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公用经费控制率</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1.</w:t>
            </w:r>
            <w:r>
              <w:rPr>
                <w:rFonts w:hint="eastAsia" w:ascii="仿宋_GB2312" w:eastAsia="仿宋_GB2312" w:cs="仿宋_GB2312"/>
                <w:color w:val="000000"/>
                <w:sz w:val="22"/>
                <w:szCs w:val="22"/>
                <w:lang w:val="uk" w:eastAsia="zh-CN" w:bidi="ar"/>
              </w:rPr>
              <w:t>：“三公”经费实际支出数≤预算安排数，得权重</w:t>
            </w:r>
            <w:r>
              <w:rPr>
                <w:rFonts w:hint="eastAsia" w:ascii="仿宋_GB2312" w:eastAsia="仿宋_GB2312" w:cs="仿宋_GB2312"/>
                <w:color w:val="000000"/>
                <w:sz w:val="22"/>
                <w:szCs w:val="22"/>
                <w:lang w:eastAsia="zh-CN" w:bidi="ar"/>
              </w:rPr>
              <w:t>*50%</w:t>
            </w:r>
            <w:r>
              <w:rPr>
                <w:rFonts w:hint="eastAsia" w:ascii="仿宋_GB2312" w:eastAsia="仿宋_GB2312" w:cs="仿宋_GB2312"/>
                <w:color w:val="000000"/>
                <w:sz w:val="22"/>
                <w:szCs w:val="22"/>
                <w:lang w:val="uk" w:eastAsia="zh-CN" w:bidi="ar"/>
              </w:rPr>
              <w:t>，否则不得分；</w:t>
            </w:r>
            <w:r>
              <w:rPr>
                <w:rFonts w:hint="eastAsia" w:ascii="仿宋_GB2312" w:eastAsia="仿宋_GB2312" w:cs="仿宋_GB2312"/>
                <w:color w:val="000000"/>
                <w:sz w:val="22"/>
                <w:szCs w:val="22"/>
                <w:lang w:eastAsia="zh-CN" w:bidi="ar"/>
              </w:rPr>
              <w:t>2.</w:t>
            </w:r>
            <w:r>
              <w:rPr>
                <w:rFonts w:hint="eastAsia" w:ascii="仿宋_GB2312" w:eastAsia="仿宋_GB2312" w:cs="仿宋_GB2312"/>
                <w:color w:val="000000"/>
                <w:sz w:val="22"/>
                <w:szCs w:val="22"/>
                <w:lang w:val="uk" w:eastAsia="zh-CN" w:bidi="ar"/>
              </w:rPr>
              <w:t>日常公用经费决算数≤日常公用经费调整预算数，得权重</w:t>
            </w:r>
            <w:r>
              <w:rPr>
                <w:rFonts w:hint="eastAsia" w:ascii="仿宋_GB2312" w:eastAsia="仿宋_GB2312" w:cs="仿宋_GB2312"/>
                <w:color w:val="000000"/>
                <w:sz w:val="22"/>
                <w:szCs w:val="22"/>
                <w:lang w:eastAsia="zh-CN" w:bidi="ar"/>
              </w:rPr>
              <w:t>*50%</w:t>
            </w:r>
            <w:r>
              <w:rPr>
                <w:rFonts w:hint="eastAsia" w:ascii="仿宋_GB2312" w:eastAsia="仿宋_GB2312" w:cs="仿宋_GB2312"/>
                <w:color w:val="000000"/>
                <w:sz w:val="22"/>
                <w:szCs w:val="22"/>
                <w:lang w:val="uk" w:eastAsia="zh-CN" w:bidi="ar"/>
              </w:rPr>
              <w:t>，否则不得分</w:t>
            </w:r>
          </w:p>
        </w:tc>
        <w:tc>
          <w:tcPr>
            <w:tcW w:w="86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本年实际支出的公用经费总额</w:t>
            </w:r>
            <w:r>
              <w:rPr>
                <w:rFonts w:hint="eastAsia" w:ascii="仿宋_GB2312" w:eastAsia="仿宋_GB2312" w:cs="仿宋_GB2312"/>
                <w:color w:val="000000"/>
                <w:sz w:val="22"/>
                <w:szCs w:val="22"/>
                <w:lang w:eastAsia="zh-CN" w:bidi="ar"/>
              </w:rPr>
              <w:t>/</w:t>
            </w:r>
            <w:r>
              <w:rPr>
                <w:rFonts w:hint="eastAsia" w:ascii="仿宋_GB2312" w:eastAsia="仿宋_GB2312" w:cs="仿宋_GB2312"/>
                <w:color w:val="000000"/>
                <w:sz w:val="22"/>
                <w:szCs w:val="22"/>
                <w:lang w:val="uk" w:eastAsia="zh-CN" w:bidi="ar"/>
              </w:rPr>
              <w:t>预算安排的公用经费总额</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100</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财务支出凭证，银行流水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243"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单位效果</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52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提升档案服务水平</w:t>
            </w:r>
            <w:r>
              <w:rPr>
                <w:rFonts w:hint="eastAsia" w:ascii="仿宋_GB2312" w:eastAsia="仿宋_GB2312" w:cs="仿宋_GB2312"/>
                <w:color w:val="000000"/>
                <w:sz w:val="22"/>
                <w:szCs w:val="22"/>
                <w:lang w:eastAsia="zh-CN" w:bidi="ar"/>
              </w:rPr>
              <w:t>,</w:t>
            </w:r>
            <w:r>
              <w:rPr>
                <w:rFonts w:hint="eastAsia" w:ascii="仿宋_GB2312" w:eastAsia="仿宋_GB2312" w:cs="仿宋_GB2312"/>
                <w:color w:val="000000"/>
                <w:sz w:val="22"/>
                <w:szCs w:val="22"/>
                <w:lang w:val="uk" w:eastAsia="zh-CN" w:bidi="ar"/>
              </w:rPr>
              <w:t>方便存档单位查阅档案，提供精准信息资料</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完成指标值得满分，否则不得分</w:t>
            </w:r>
          </w:p>
        </w:tc>
        <w:tc>
          <w:tcPr>
            <w:tcW w:w="86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提升档案服务水平</w:t>
            </w:r>
            <w:r>
              <w:rPr>
                <w:rFonts w:hint="eastAsia" w:ascii="仿宋_GB2312" w:eastAsia="仿宋_GB2312" w:cs="仿宋_GB2312"/>
                <w:color w:val="000000"/>
                <w:sz w:val="22"/>
                <w:szCs w:val="22"/>
                <w:lang w:eastAsia="zh-CN" w:bidi="ar"/>
              </w:rPr>
              <w:t>,</w:t>
            </w:r>
            <w:r>
              <w:rPr>
                <w:rFonts w:hint="eastAsia" w:ascii="仿宋_GB2312" w:eastAsia="仿宋_GB2312" w:cs="仿宋_GB2312"/>
                <w:color w:val="000000"/>
                <w:sz w:val="22"/>
                <w:szCs w:val="22"/>
                <w:lang w:val="uk" w:eastAsia="zh-CN" w:bidi="ar"/>
              </w:rPr>
              <w:t>方便存档单位查阅档案，提供精准信息资料</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hAnsi="宋体" w:eastAsia="仿宋_GB2312" w:cs="宋体"/>
                <w:color w:val="000000"/>
                <w:sz w:val="22"/>
                <w:szCs w:val="22"/>
              </w:rPr>
            </w:pPr>
            <w:r>
              <w:rPr>
                <w:rFonts w:hint="eastAsia" w:ascii="仿宋_GB2312" w:eastAsia="仿宋_GB2312" w:cs="仿宋_GB2312"/>
                <w:color w:val="000000"/>
                <w:sz w:val="22"/>
                <w:szCs w:val="22"/>
                <w:lang w:val="uk" w:eastAsia="zh-CN" w:bidi="ar"/>
              </w:rPr>
              <w:t>提升</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hAnsi="宋体" w:eastAsia="仿宋_GB2312" w:cs="宋体"/>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52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持续提升档案管理现代化服务水平。</w:t>
            </w:r>
          </w:p>
        </w:tc>
        <w:tc>
          <w:tcPr>
            <w:tcW w:w="14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完成指标值得满分，否则不得分</w:t>
            </w:r>
          </w:p>
        </w:tc>
        <w:tc>
          <w:tcPr>
            <w:tcW w:w="86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持续提升档案管理现代化服务水平。</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2"/>
                <w:szCs w:val="22"/>
              </w:rPr>
            </w:pPr>
            <w:r>
              <w:rPr>
                <w:rFonts w:hint="eastAsia" w:ascii="仿宋_GB2312" w:eastAsia="仿宋_GB2312" w:cs="仿宋_GB2312"/>
                <w:color w:val="000000"/>
                <w:sz w:val="22"/>
                <w:szCs w:val="22"/>
                <w:lang w:val="uk" w:eastAsia="zh-CN" w:bidi="ar"/>
              </w:rPr>
              <w:t>提升</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2"/>
                <w:szCs w:val="22"/>
              </w:rPr>
            </w:pPr>
            <w:r>
              <w:rPr>
                <w:rFonts w:hint="eastAsia" w:ascii="仿宋_GB2312" w:eastAsia="仿宋_GB2312" w:cs="仿宋_GB2312"/>
                <w:color w:val="000000"/>
                <w:sz w:val="22"/>
                <w:szCs w:val="22"/>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526"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服务对象满意度指标</w:t>
            </w:r>
          </w:p>
        </w:tc>
        <w:tc>
          <w:tcPr>
            <w:tcW w:w="1481"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满意度指标每下降</w:t>
            </w:r>
            <w:r>
              <w:rPr>
                <w:rFonts w:hint="eastAsia" w:ascii="仿宋_GB2312" w:eastAsia="仿宋_GB2312" w:cs="仿宋_GB2312"/>
                <w:color w:val="000000"/>
                <w:sz w:val="22"/>
                <w:szCs w:val="22"/>
                <w:lang w:eastAsia="zh-CN" w:bidi="ar"/>
              </w:rPr>
              <w:t>5%</w:t>
            </w:r>
            <w:r>
              <w:rPr>
                <w:rFonts w:hint="eastAsia" w:ascii="仿宋_GB2312" w:eastAsia="仿宋_GB2312" w:cs="仿宋_GB2312"/>
                <w:color w:val="000000"/>
                <w:sz w:val="22"/>
                <w:szCs w:val="22"/>
                <w:lang w:val="uk" w:eastAsia="zh-CN" w:bidi="ar"/>
              </w:rPr>
              <w:t>，扣除权重</w:t>
            </w:r>
            <w:r>
              <w:rPr>
                <w:rFonts w:hint="eastAsia" w:ascii="仿宋_GB2312" w:eastAsia="仿宋_GB2312" w:cs="仿宋_GB2312"/>
                <w:color w:val="000000"/>
                <w:sz w:val="22"/>
                <w:szCs w:val="22"/>
                <w:lang w:eastAsia="zh-CN" w:bidi="ar"/>
              </w:rPr>
              <w:t>10%</w:t>
            </w:r>
          </w:p>
        </w:tc>
        <w:tc>
          <w:tcPr>
            <w:tcW w:w="861"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服务对象满意度指标</w:t>
            </w:r>
          </w:p>
        </w:tc>
        <w:tc>
          <w:tcPr>
            <w:tcW w:w="334"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w:t>
            </w:r>
          </w:p>
        </w:tc>
        <w:tc>
          <w:tcPr>
            <w:tcW w:w="287"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95</w:t>
            </w:r>
          </w:p>
        </w:tc>
        <w:tc>
          <w:tcPr>
            <w:tcW w:w="287"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eastAsia="zh-CN" w:bidi="ar"/>
              </w:rPr>
              <w:t>%</w:t>
            </w:r>
          </w:p>
        </w:tc>
        <w:tc>
          <w:tcPr>
            <w:tcW w:w="550"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2"/>
                <w:szCs w:val="22"/>
              </w:rPr>
            </w:pPr>
            <w:r>
              <w:rPr>
                <w:rFonts w:hint="eastAsia" w:ascii="仿宋_GB2312" w:eastAsia="仿宋_GB2312" w:cs="仿宋_GB2312"/>
                <w:color w:val="000000"/>
                <w:sz w:val="22"/>
                <w:szCs w:val="22"/>
                <w:lang w:val="uk" w:eastAsia="zh-CN" w:bidi="ar"/>
              </w:rPr>
              <w:t>实际调查</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1、国有企业退休人员社会化管理补助资金[市级]绩效目标表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1.国有企业已退休人员管理服务工作与原企业分离</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国有企业已退休人员管理服务工作与原企业分离的比例</w:t>
            </w:r>
          </w:p>
          <w:p>
            <w:pPr>
              <w:pStyle w:val="16"/>
            </w:pPr>
          </w:p>
        </w:tc>
        <w:tc>
          <w:tcPr>
            <w:tcW w:w="2835" w:type="dxa"/>
            <w:vAlign w:val="center"/>
          </w:tcPr>
          <w:p>
            <w:pPr>
              <w:pStyle w:val="16"/>
            </w:pPr>
            <w:r>
              <w:t>国有企业已退休人员管理服务工作与原企业分离的比例</w:t>
            </w:r>
          </w:p>
          <w:p>
            <w:pPr>
              <w:pStyle w:val="16"/>
            </w:pPr>
            <w:r>
              <w:t>"</w:t>
            </w:r>
          </w:p>
          <w:p>
            <w:pPr>
              <w:pStyle w:val="16"/>
            </w:pPr>
          </w:p>
        </w:tc>
        <w:tc>
          <w:tcPr>
            <w:tcW w:w="2551" w:type="dxa"/>
            <w:vAlign w:val="center"/>
          </w:tcPr>
          <w:p>
            <w:pPr>
              <w:pStyle w:val="16"/>
            </w:pPr>
            <w:r>
              <w:t>100%</w:t>
            </w: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已退休人员享受社会化管理服务所占比例</w:t>
            </w:r>
          </w:p>
        </w:tc>
        <w:tc>
          <w:tcPr>
            <w:tcW w:w="2835" w:type="dxa"/>
            <w:vAlign w:val="center"/>
          </w:tcPr>
          <w:p>
            <w:pPr>
              <w:pStyle w:val="16"/>
            </w:pPr>
            <w:r>
              <w:t>已退休人员享受社会化管理服务所占比例</w:t>
            </w:r>
          </w:p>
          <w:p>
            <w:pPr>
              <w:pStyle w:val="16"/>
            </w:pPr>
          </w:p>
        </w:tc>
        <w:tc>
          <w:tcPr>
            <w:tcW w:w="2551" w:type="dxa"/>
            <w:vAlign w:val="center"/>
          </w:tcPr>
          <w:p>
            <w:pPr>
              <w:pStyle w:val="16"/>
            </w:pPr>
            <w:r>
              <w:t>≥90%</w:t>
            </w:r>
          </w:p>
          <w:p>
            <w:pPr>
              <w:pStyle w:val="16"/>
            </w:pP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w:t>
            </w:r>
          </w:p>
        </w:tc>
        <w:tc>
          <w:tcPr>
            <w:tcW w:w="2835" w:type="dxa"/>
            <w:vAlign w:val="center"/>
          </w:tcPr>
          <w:p>
            <w:pPr>
              <w:pStyle w:val="16"/>
            </w:pPr>
            <w:r>
              <w:t>资金及时拨付</w:t>
            </w:r>
          </w:p>
          <w:p>
            <w:pPr>
              <w:pStyle w:val="16"/>
            </w:pPr>
          </w:p>
        </w:tc>
        <w:tc>
          <w:tcPr>
            <w:tcW w:w="2551" w:type="dxa"/>
            <w:vAlign w:val="center"/>
          </w:tcPr>
          <w:p>
            <w:pPr>
              <w:pStyle w:val="16"/>
            </w:pPr>
            <w:r>
              <w:t>及时拨付</w:t>
            </w:r>
          </w:p>
          <w:p>
            <w:pPr>
              <w:pStyle w:val="16"/>
            </w:pPr>
          </w:p>
        </w:tc>
        <w:tc>
          <w:tcPr>
            <w:tcW w:w="2268" w:type="dxa"/>
            <w:vAlign w:val="center"/>
          </w:tcPr>
          <w:p>
            <w:pPr>
              <w:pStyle w:val="16"/>
            </w:pPr>
            <w:r>
              <w:t>关于下达国有企业退休人员社会化管理市级财政补助资金的通知廊财建[110]号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p>
            <w:pPr>
              <w:pStyle w:val="16"/>
            </w:pPr>
          </w:p>
        </w:tc>
        <w:tc>
          <w:tcPr>
            <w:tcW w:w="2835" w:type="dxa"/>
            <w:vAlign w:val="center"/>
          </w:tcPr>
          <w:p>
            <w:pPr>
              <w:pStyle w:val="16"/>
            </w:pPr>
            <w:r>
              <w:t>资金成本</w:t>
            </w:r>
          </w:p>
          <w:p>
            <w:pPr>
              <w:pStyle w:val="16"/>
            </w:pPr>
          </w:p>
        </w:tc>
        <w:tc>
          <w:tcPr>
            <w:tcW w:w="2551" w:type="dxa"/>
            <w:vAlign w:val="center"/>
          </w:tcPr>
          <w:p>
            <w:pPr>
              <w:pStyle w:val="16"/>
            </w:pPr>
            <w:r>
              <w:t>≤15680元</w:t>
            </w:r>
          </w:p>
        </w:tc>
        <w:tc>
          <w:tcPr>
            <w:tcW w:w="2268" w:type="dxa"/>
            <w:vAlign w:val="center"/>
          </w:tcPr>
          <w:p>
            <w:pPr>
              <w:pStyle w:val="16"/>
            </w:pPr>
            <w:r>
              <w:t>关于下达国有企业退休人员社会化管理市级财政补助资金的通知廊财建[110]号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企业不承担退休人员社会化管理服务费的比例</w:t>
            </w:r>
          </w:p>
        </w:tc>
        <w:tc>
          <w:tcPr>
            <w:tcW w:w="2835" w:type="dxa"/>
            <w:vAlign w:val="center"/>
          </w:tcPr>
          <w:p>
            <w:pPr>
              <w:pStyle w:val="16"/>
            </w:pPr>
            <w:r>
              <w:t>企业不承担退休人员社会化管理服务费的比例</w:t>
            </w:r>
          </w:p>
        </w:tc>
        <w:tc>
          <w:tcPr>
            <w:tcW w:w="2551" w:type="dxa"/>
            <w:vAlign w:val="center"/>
          </w:tcPr>
          <w:p>
            <w:pPr>
              <w:pStyle w:val="16"/>
            </w:pPr>
            <w:r>
              <w:t>100%</w:t>
            </w:r>
          </w:p>
        </w:tc>
        <w:tc>
          <w:tcPr>
            <w:tcW w:w="2268" w:type="dxa"/>
            <w:vAlign w:val="center"/>
          </w:tcPr>
          <w:p>
            <w:pPr>
              <w:pStyle w:val="16"/>
            </w:pPr>
            <w:r>
              <w:t>划拨名单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国有企业不承担移交后的退休人员社会化管理服务费的比例</w:t>
            </w:r>
          </w:p>
        </w:tc>
        <w:tc>
          <w:tcPr>
            <w:tcW w:w="2835" w:type="dxa"/>
            <w:vAlign w:val="center"/>
          </w:tcPr>
          <w:p>
            <w:pPr>
              <w:pStyle w:val="16"/>
            </w:pPr>
            <w:r>
              <w:t>国有企业不承担移交后的退休人员社会化管理服务费的比例</w:t>
            </w:r>
          </w:p>
        </w:tc>
        <w:tc>
          <w:tcPr>
            <w:tcW w:w="2551" w:type="dxa"/>
            <w:vAlign w:val="center"/>
          </w:tcPr>
          <w:p>
            <w:pPr>
              <w:pStyle w:val="16"/>
            </w:pPr>
            <w:r>
              <w:t>100%</w:t>
            </w:r>
          </w:p>
        </w:tc>
        <w:tc>
          <w:tcPr>
            <w:tcW w:w="2268" w:type="dxa"/>
            <w:vAlign w:val="center"/>
          </w:tcPr>
          <w:p>
            <w:pPr>
              <w:pStyle w:val="16"/>
            </w:pPr>
            <w:r>
              <w:t>划拨名单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国有企业退休人员社会化服务满意度</w:t>
            </w:r>
          </w:p>
        </w:tc>
        <w:tc>
          <w:tcPr>
            <w:tcW w:w="2835" w:type="dxa"/>
            <w:vAlign w:val="center"/>
          </w:tcPr>
          <w:p>
            <w:pPr>
              <w:pStyle w:val="16"/>
            </w:pPr>
            <w:r>
              <w:t>国有企业退休人员社会化服务满意度</w:t>
            </w:r>
          </w:p>
        </w:tc>
        <w:tc>
          <w:tcPr>
            <w:tcW w:w="2551" w:type="dxa"/>
            <w:vAlign w:val="center"/>
          </w:tcPr>
          <w:p>
            <w:pPr>
              <w:pStyle w:val="16"/>
            </w:pPr>
            <w:r>
              <w:t>≥90%</w:t>
            </w:r>
          </w:p>
        </w:tc>
        <w:tc>
          <w:tcPr>
            <w:tcW w:w="2268" w:type="dxa"/>
            <w:vAlign w:val="center"/>
          </w:tcPr>
          <w:p>
            <w:pPr>
              <w:pStyle w:val="16"/>
            </w:pPr>
            <w:r>
              <w:t>调查问卷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2、国有企业退休人员社会化管理财政补助资金[中央]绩效目标表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1.国有企业退休人员管理服务工作与原企业分离</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已退休人员档案管理服务工作与原企业分离</w:t>
            </w:r>
          </w:p>
          <w:p>
            <w:pPr>
              <w:pStyle w:val="16"/>
            </w:pPr>
          </w:p>
        </w:tc>
        <w:tc>
          <w:tcPr>
            <w:tcW w:w="2835" w:type="dxa"/>
            <w:vAlign w:val="center"/>
          </w:tcPr>
          <w:p>
            <w:pPr>
              <w:pStyle w:val="16"/>
            </w:pPr>
            <w:r>
              <w:t>已退休人员档案管理服务工作与原企业分离</w:t>
            </w:r>
          </w:p>
          <w:p>
            <w:pPr>
              <w:pStyle w:val="16"/>
            </w:pPr>
          </w:p>
        </w:tc>
        <w:tc>
          <w:tcPr>
            <w:tcW w:w="2551" w:type="dxa"/>
            <w:vAlign w:val="center"/>
          </w:tcPr>
          <w:p>
            <w:pPr>
              <w:pStyle w:val="16"/>
            </w:pPr>
            <w:r>
              <w:t>100%</w:t>
            </w:r>
          </w:p>
        </w:tc>
        <w:tc>
          <w:tcPr>
            <w:tcW w:w="2268" w:type="dxa"/>
            <w:vAlign w:val="center"/>
          </w:tcPr>
          <w:p>
            <w:pPr>
              <w:pStyle w:val="16"/>
            </w:pPr>
            <w:r>
              <w:t>划拨名单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已退休人员享受社会化管理服务所占比</w:t>
            </w:r>
          </w:p>
        </w:tc>
        <w:tc>
          <w:tcPr>
            <w:tcW w:w="2835" w:type="dxa"/>
            <w:vAlign w:val="center"/>
          </w:tcPr>
          <w:p>
            <w:pPr>
              <w:pStyle w:val="16"/>
            </w:pPr>
            <w:r>
              <w:t>已退休人员享受社会化管理服务所占比</w:t>
            </w:r>
          </w:p>
        </w:tc>
        <w:tc>
          <w:tcPr>
            <w:tcW w:w="2551" w:type="dxa"/>
            <w:vAlign w:val="center"/>
          </w:tcPr>
          <w:p>
            <w:pPr>
              <w:pStyle w:val="16"/>
            </w:pPr>
            <w:r>
              <w:t>≥90%</w:t>
            </w:r>
          </w:p>
        </w:tc>
        <w:tc>
          <w:tcPr>
            <w:tcW w:w="2268" w:type="dxa"/>
            <w:vAlign w:val="center"/>
          </w:tcPr>
          <w:p>
            <w:pPr>
              <w:pStyle w:val="16"/>
            </w:pPr>
            <w:r>
              <w:t>划拨名单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w:t>
            </w:r>
          </w:p>
        </w:tc>
        <w:tc>
          <w:tcPr>
            <w:tcW w:w="2835" w:type="dxa"/>
            <w:vAlign w:val="center"/>
          </w:tcPr>
          <w:p>
            <w:pPr>
              <w:pStyle w:val="16"/>
            </w:pPr>
            <w:r>
              <w:t>资金及时拨付</w:t>
            </w:r>
          </w:p>
        </w:tc>
        <w:tc>
          <w:tcPr>
            <w:tcW w:w="2551" w:type="dxa"/>
            <w:vAlign w:val="center"/>
          </w:tcPr>
          <w:p>
            <w:pPr>
              <w:pStyle w:val="16"/>
            </w:pPr>
            <w:r>
              <w:t>及时拨付</w:t>
            </w:r>
          </w:p>
        </w:tc>
        <w:tc>
          <w:tcPr>
            <w:tcW w:w="2268" w:type="dxa"/>
            <w:vAlign w:val="center"/>
          </w:tcPr>
          <w:p>
            <w:pPr>
              <w:pStyle w:val="16"/>
            </w:pPr>
            <w:r>
              <w:t>廊坊市人民政府办公室[2022]27号、关于下达国有企业退休人员社会化管理中央、省、市三级财政补助资金的通知</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p>
            <w:pPr>
              <w:pStyle w:val="16"/>
            </w:pPr>
          </w:p>
        </w:tc>
        <w:tc>
          <w:tcPr>
            <w:tcW w:w="2551" w:type="dxa"/>
            <w:vAlign w:val="center"/>
          </w:tcPr>
          <w:p>
            <w:pPr>
              <w:pStyle w:val="16"/>
            </w:pPr>
            <w:r>
              <w:t>≤127775元</w:t>
            </w:r>
          </w:p>
        </w:tc>
        <w:tc>
          <w:tcPr>
            <w:tcW w:w="2268" w:type="dxa"/>
            <w:vAlign w:val="center"/>
          </w:tcPr>
          <w:p>
            <w:pPr>
              <w:pStyle w:val="16"/>
            </w:pPr>
            <w:r>
              <w:t>"廊坊市人民政府办公室[2022]27号、关于下达国有企业退休人员社会化管理中央、省、市三级财政补助资金的通知</w:t>
            </w:r>
          </w:p>
          <w:p>
            <w:pPr>
              <w:pStyle w:val="16"/>
            </w:pPr>
            <w:r>
              <w:t>"</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企业不承担退休人员社会化管理服务费</w:t>
            </w:r>
          </w:p>
        </w:tc>
        <w:tc>
          <w:tcPr>
            <w:tcW w:w="2835" w:type="dxa"/>
            <w:vAlign w:val="center"/>
          </w:tcPr>
          <w:p>
            <w:pPr>
              <w:pStyle w:val="16"/>
            </w:pPr>
            <w:r>
              <w:t>企业不承担退休人员社会化管理服务费</w:t>
            </w:r>
          </w:p>
          <w:p>
            <w:pPr>
              <w:pStyle w:val="16"/>
            </w:pPr>
          </w:p>
        </w:tc>
        <w:tc>
          <w:tcPr>
            <w:tcW w:w="2551" w:type="dxa"/>
            <w:vAlign w:val="center"/>
          </w:tcPr>
          <w:p>
            <w:pPr>
              <w:pStyle w:val="16"/>
            </w:pPr>
            <w:r>
              <w:t>100%</w:t>
            </w:r>
          </w:p>
        </w:tc>
        <w:tc>
          <w:tcPr>
            <w:tcW w:w="2268" w:type="dxa"/>
            <w:vAlign w:val="center"/>
          </w:tcPr>
          <w:p>
            <w:pPr>
              <w:pStyle w:val="16"/>
            </w:pPr>
            <w:r>
              <w:t>划拨名单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2023年，廊坊市广阳区档案馆本级安排政府采购预算0.00万元。具体内容见下表。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421001廊坊市广阳区档案馆本级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廊坊市广阳区档案馆本级上年末固定资产金额为74.53万元（详见下表）。本年度拟购置固定资产总额为0.00万元，已按要求列入政府采购预算，详见政府采购预算表。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421001廊坊市广阳区档案馆本级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65.09</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035820"/>
    <w:rsid w:val="00035820"/>
    <w:rsid w:val="003C7895"/>
    <w:rsid w:val="091D26C1"/>
    <w:rsid w:val="0E630828"/>
    <w:rsid w:val="3A5E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2023-03-13T11:06:30Z</dcterms:created>
  <dcterms:modified xsi:type="dcterms:W3CDTF">2023-03-13T03:06:30Z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2023-03-13T11:06:35Z</dcterms:created>
  <dcterms:modified xsi:type="dcterms:W3CDTF">2023-03-13T03:06:34Z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2023-03-13T11:06:34Z</dcterms:created>
  <dcterms:modified xsi:type="dcterms:W3CDTF">2023-03-13T03:06:34Z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2023-03-13T11:06:31Z</dcterms:created>
  <dcterms:modified xsi:type="dcterms:W3CDTF">2023-03-13T03:06:31Z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2023-03-13T11:06:34Z</dcterms:created>
  <dcterms:modified xsi:type="dcterms:W3CDTF">2023-03-13T03:06:34Z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2023-03-13T11:06:34Z</dcterms:created>
  <dcterms:modified xsi:type="dcterms:W3CDTF">2023-03-13T03:06:34Z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660FF5F-85A2-47C5-ADDD-FB01A191974A}">
  <ds:schemaRefs/>
</ds:datastoreItem>
</file>

<file path=customXml/itemProps10.xml><?xml version="1.0" encoding="utf-8"?>
<ds:datastoreItem xmlns:ds="http://schemas.openxmlformats.org/officeDocument/2006/customXml" ds:itemID="{C4EA4737-FF99-47AC-8CB2-627B382400F9}">
  <ds:schemaRefs/>
</ds:datastoreItem>
</file>

<file path=customXml/itemProps11.xml><?xml version="1.0" encoding="utf-8"?>
<ds:datastoreItem xmlns:ds="http://schemas.openxmlformats.org/officeDocument/2006/customXml" ds:itemID="{F9CB9E9E-02B8-451C-8982-F3D6F8D93F64}">
  <ds:schemaRefs/>
</ds:datastoreItem>
</file>

<file path=customXml/itemProps12.xml><?xml version="1.0" encoding="utf-8"?>
<ds:datastoreItem xmlns:ds="http://schemas.openxmlformats.org/officeDocument/2006/customXml" ds:itemID="{403E57BE-9EF6-4517-BD7A-589AA88FA66B}">
  <ds:schemaRefs/>
</ds:datastoreItem>
</file>

<file path=customXml/itemProps13.xml><?xml version="1.0" encoding="utf-8"?>
<ds:datastoreItem xmlns:ds="http://schemas.openxmlformats.org/officeDocument/2006/customXml" ds:itemID="{1C7B1001-1B6D-482C-88F3-4007AAF5153C}">
  <ds:schemaRefs/>
</ds:datastoreItem>
</file>

<file path=customXml/itemProps14.xml><?xml version="1.0" encoding="utf-8"?>
<ds:datastoreItem xmlns:ds="http://schemas.openxmlformats.org/officeDocument/2006/customXml" ds:itemID="{876EFF96-E971-40E7-A69F-74A915B1A3D0}">
  <ds:schemaRefs/>
</ds:datastoreItem>
</file>

<file path=customXml/itemProps15.xml><?xml version="1.0" encoding="utf-8"?>
<ds:datastoreItem xmlns:ds="http://schemas.openxmlformats.org/officeDocument/2006/customXml" ds:itemID="{2B3EB6C5-4521-4CB8-BD0C-439069FB050F}">
  <ds:schemaRefs/>
</ds:datastoreItem>
</file>

<file path=customXml/itemProps16.xml><?xml version="1.0" encoding="utf-8"?>
<ds:datastoreItem xmlns:ds="http://schemas.openxmlformats.org/officeDocument/2006/customXml" ds:itemID="{BC081B8D-B812-44A2-ADBC-42D9A6F4048C}">
  <ds:schemaRefs/>
</ds:datastoreItem>
</file>

<file path=customXml/itemProps17.xml><?xml version="1.0" encoding="utf-8"?>
<ds:datastoreItem xmlns:ds="http://schemas.openxmlformats.org/officeDocument/2006/customXml" ds:itemID="{45B294E4-381E-482F-9DB1-F17569D765FD}">
  <ds:schemaRefs/>
</ds:datastoreItem>
</file>

<file path=customXml/itemProps18.xml><?xml version="1.0" encoding="utf-8"?>
<ds:datastoreItem xmlns:ds="http://schemas.openxmlformats.org/officeDocument/2006/customXml" ds:itemID="{13CB05F4-FF73-42BC-B98E-E64F52A4FE8C}">
  <ds:schemaRefs/>
</ds:datastoreItem>
</file>

<file path=customXml/itemProps2.xml><?xml version="1.0" encoding="utf-8"?>
<ds:datastoreItem xmlns:ds="http://schemas.openxmlformats.org/officeDocument/2006/customXml" ds:itemID="{549B5C2F-0AD3-4547-BB87-5671F56C7637}">
  <ds:schemaRefs/>
</ds:datastoreItem>
</file>

<file path=customXml/itemProps3.xml><?xml version="1.0" encoding="utf-8"?>
<ds:datastoreItem xmlns:ds="http://schemas.openxmlformats.org/officeDocument/2006/customXml" ds:itemID="{91C9F3D7-D0B9-461E-B6FC-4E998575DEF6}">
  <ds:schemaRefs/>
</ds:datastoreItem>
</file>

<file path=customXml/itemProps4.xml><?xml version="1.0" encoding="utf-8"?>
<ds:datastoreItem xmlns:ds="http://schemas.openxmlformats.org/officeDocument/2006/customXml" ds:itemID="{9A2F6669-4148-43DB-BBE9-F1E8B0D14A47}">
  <ds:schemaRefs/>
</ds:datastoreItem>
</file>

<file path=customXml/itemProps5.xml><?xml version="1.0" encoding="utf-8"?>
<ds:datastoreItem xmlns:ds="http://schemas.openxmlformats.org/officeDocument/2006/customXml" ds:itemID="{1F74B724-27D6-4B53-8416-E277F84E2993}">
  <ds:schemaRefs/>
</ds:datastoreItem>
</file>

<file path=customXml/itemProps6.xml><?xml version="1.0" encoding="utf-8"?>
<ds:datastoreItem xmlns:ds="http://schemas.openxmlformats.org/officeDocument/2006/customXml" ds:itemID="{E2C6FF69-759F-4BC0-AE23-0DBB74088D13}">
  <ds:schemaRefs/>
</ds:datastoreItem>
</file>

<file path=customXml/itemProps7.xml><?xml version="1.0" encoding="utf-8"?>
<ds:datastoreItem xmlns:ds="http://schemas.openxmlformats.org/officeDocument/2006/customXml" ds:itemID="{707E9953-BE14-4DA4-A3E6-562209312086}">
  <ds:schemaRefs/>
</ds:datastoreItem>
</file>

<file path=customXml/itemProps8.xml><?xml version="1.0" encoding="utf-8"?>
<ds:datastoreItem xmlns:ds="http://schemas.openxmlformats.org/officeDocument/2006/customXml" ds:itemID="{925E1237-19E5-494A-9E44-FC2AEB73260B}">
  <ds:schemaRefs/>
</ds:datastoreItem>
</file>

<file path=customXml/itemProps9.xml><?xml version="1.0" encoding="utf-8"?>
<ds:datastoreItem xmlns:ds="http://schemas.openxmlformats.org/officeDocument/2006/customXml" ds:itemID="{F4F3B515-AB92-4069-BEDC-57401388662A}">
  <ds:schemaRefs/>
</ds:datastoreItem>
</file>

<file path=docProps/app.xml><?xml version="1.0" encoding="utf-8"?>
<Properties xmlns="http://schemas.openxmlformats.org/officeDocument/2006/extended-properties" xmlns:vt="http://schemas.openxmlformats.org/officeDocument/2006/docPropsVTypes">
  <Template>Normal</Template>
  <Pages>35</Pages>
  <Words>1996</Words>
  <Characters>11383</Characters>
  <Lines>94</Lines>
  <Paragraphs>26</Paragraphs>
  <TotalTime>10</TotalTime>
  <ScaleCrop>false</ScaleCrop>
  <LinksUpToDate>false</LinksUpToDate>
  <CharactersWithSpaces>13353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Administrator</cp:lastModifiedBy>
  <dcterms:modified xsi:type="dcterms:W3CDTF">2024-01-11T00:48:59Z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223C5A5298BC4C448172CA7CB97D3843</vt:lpwstr>
  </property>
</Properties>
</file>