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421廊坊市广阳区档案馆</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208.61</w:t>
            </w:r>
          </w:p>
        </w:tc>
        <w:tc>
          <w:tcPr>
            <w:tcW w:w="4535" w:type="dxa"/>
            <w:vAlign w:val="center"/>
          </w:tcPr>
          <w:p>
            <w:pPr>
              <w:pStyle w:val="17"/>
            </w:pPr>
            <w:r>
              <w:t>一、一般公共服务支出</w:t>
            </w:r>
          </w:p>
        </w:tc>
        <w:tc>
          <w:tcPr>
            <w:tcW w:w="2126" w:type="dxa"/>
            <w:vAlign w:val="center"/>
          </w:tcPr>
          <w:p>
            <w:pPr>
              <w:pStyle w:val="16"/>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61.26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208.61</w:t>
            </w:r>
          </w:p>
        </w:tc>
        <w:tc>
          <w:tcPr>
            <w:tcW w:w="4535" w:type="dxa"/>
            <w:vAlign w:val="center"/>
          </w:tcPr>
          <w:p>
            <w:pPr>
              <w:pStyle w:val="19"/>
            </w:pPr>
            <w:r>
              <w:t>本年支出合计</w:t>
            </w:r>
          </w:p>
        </w:tc>
        <w:tc>
          <w:tcPr>
            <w:tcW w:w="2126" w:type="dxa"/>
            <w:vAlign w:val="center"/>
          </w:tcPr>
          <w:p>
            <w:pPr>
              <w:pStyle w:val="20"/>
            </w:pPr>
            <w:r>
              <w:t>222.96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14.35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222.96</w:t>
            </w:r>
          </w:p>
        </w:tc>
        <w:tc>
          <w:tcPr>
            <w:tcW w:w="4535" w:type="dxa"/>
            <w:vAlign w:val="center"/>
          </w:tcPr>
          <w:p>
            <w:pPr>
              <w:pStyle w:val="19"/>
            </w:pPr>
            <w:r>
              <w:t>支出总计</w:t>
            </w:r>
          </w:p>
        </w:tc>
        <w:tc>
          <w:tcPr>
            <w:tcW w:w="2126" w:type="dxa"/>
            <w:vAlign w:val="center"/>
          </w:tcPr>
          <w:p>
            <w:pPr>
              <w:pStyle w:val="20"/>
            </w:pPr>
            <w:r>
              <w:t>222.96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421廊坊市广阳区档案馆</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222.96</w:t>
            </w:r>
          </w:p>
        </w:tc>
        <w:tc>
          <w:tcPr>
            <w:tcW w:w="1134" w:type="dxa"/>
            <w:vAlign w:val="center"/>
          </w:tcPr>
          <w:p>
            <w:pPr>
              <w:pStyle w:val="20"/>
            </w:pPr>
            <w:r>
              <w:t>208.61</w:t>
            </w:r>
          </w:p>
        </w:tc>
        <w:tc>
          <w:tcPr>
            <w:tcW w:w="1134" w:type="dxa"/>
            <w:vAlign w:val="center"/>
          </w:tcPr>
          <w:p>
            <w:pPr>
              <w:pStyle w:val="20"/>
            </w:pPr>
            <w:r>
              <w:t>208.61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133.32</w:t>
            </w:r>
          </w:p>
        </w:tc>
        <w:tc>
          <w:tcPr>
            <w:tcW w:w="1134" w:type="dxa"/>
            <w:vAlign w:val="center"/>
          </w:tcPr>
          <w:p>
            <w:pPr>
              <w:pStyle w:val="16"/>
            </w:pPr>
            <w:r>
              <w:t>133.32</w:t>
            </w:r>
          </w:p>
        </w:tc>
        <w:tc>
          <w:tcPr>
            <w:tcW w:w="1134" w:type="dxa"/>
            <w:vAlign w:val="center"/>
          </w:tcPr>
          <w:p>
            <w:pPr>
              <w:pStyle w:val="16"/>
            </w:pPr>
            <w:r>
              <w:t>133.32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20126</w:t>
            </w:r>
          </w:p>
        </w:tc>
        <w:tc>
          <w:tcPr>
            <w:tcW w:w="1559" w:type="dxa"/>
            <w:vAlign w:val="center"/>
          </w:tcPr>
          <w:p>
            <w:pPr>
              <w:pStyle w:val="17"/>
            </w:pPr>
            <w:r>
              <w:t>档案事务</w:t>
            </w:r>
          </w:p>
        </w:tc>
        <w:tc>
          <w:tcPr>
            <w:tcW w:w="1134" w:type="dxa"/>
            <w:vAlign w:val="center"/>
          </w:tcPr>
          <w:p>
            <w:pPr>
              <w:pStyle w:val="16"/>
            </w:pPr>
            <w:r>
              <w:t>133.32</w:t>
            </w:r>
          </w:p>
        </w:tc>
        <w:tc>
          <w:tcPr>
            <w:tcW w:w="1134" w:type="dxa"/>
            <w:vAlign w:val="center"/>
          </w:tcPr>
          <w:p>
            <w:pPr>
              <w:pStyle w:val="16"/>
            </w:pPr>
            <w:r>
              <w:t>133.32</w:t>
            </w:r>
          </w:p>
        </w:tc>
        <w:tc>
          <w:tcPr>
            <w:tcW w:w="1134" w:type="dxa"/>
            <w:vAlign w:val="center"/>
          </w:tcPr>
          <w:p>
            <w:pPr>
              <w:pStyle w:val="16"/>
            </w:pPr>
            <w:r>
              <w:t>133.32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2012601</w:t>
            </w:r>
          </w:p>
        </w:tc>
        <w:tc>
          <w:tcPr>
            <w:tcW w:w="1559" w:type="dxa"/>
            <w:vAlign w:val="center"/>
          </w:tcPr>
          <w:p>
            <w:pPr>
              <w:pStyle w:val="17"/>
            </w:pPr>
            <w:r>
              <w:t>行政运行</w:t>
            </w:r>
          </w:p>
        </w:tc>
        <w:tc>
          <w:tcPr>
            <w:tcW w:w="1134" w:type="dxa"/>
            <w:vAlign w:val="center"/>
          </w:tcPr>
          <w:p>
            <w:pPr>
              <w:pStyle w:val="16"/>
            </w:pPr>
            <w:r>
              <w:t>133.32</w:t>
            </w:r>
          </w:p>
        </w:tc>
        <w:tc>
          <w:tcPr>
            <w:tcW w:w="1134" w:type="dxa"/>
            <w:vAlign w:val="center"/>
          </w:tcPr>
          <w:p>
            <w:pPr>
              <w:pStyle w:val="16"/>
            </w:pPr>
            <w:r>
              <w:t>133.32</w:t>
            </w:r>
          </w:p>
        </w:tc>
        <w:tc>
          <w:tcPr>
            <w:tcW w:w="1134" w:type="dxa"/>
            <w:vAlign w:val="center"/>
          </w:tcPr>
          <w:p>
            <w:pPr>
              <w:pStyle w:val="16"/>
            </w:pPr>
            <w:r>
              <w:t>133.32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61.26</w:t>
            </w:r>
          </w:p>
        </w:tc>
        <w:tc>
          <w:tcPr>
            <w:tcW w:w="1134" w:type="dxa"/>
            <w:vAlign w:val="center"/>
          </w:tcPr>
          <w:p>
            <w:pPr>
              <w:pStyle w:val="16"/>
            </w:pPr>
            <w:r>
              <w:t>61.26</w:t>
            </w:r>
          </w:p>
        </w:tc>
        <w:tc>
          <w:tcPr>
            <w:tcW w:w="1134" w:type="dxa"/>
            <w:vAlign w:val="center"/>
          </w:tcPr>
          <w:p>
            <w:pPr>
              <w:pStyle w:val="16"/>
            </w:pPr>
            <w:r>
              <w:t>61.26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61.26</w:t>
            </w:r>
          </w:p>
        </w:tc>
        <w:tc>
          <w:tcPr>
            <w:tcW w:w="1134" w:type="dxa"/>
            <w:vAlign w:val="center"/>
          </w:tcPr>
          <w:p>
            <w:pPr>
              <w:pStyle w:val="16"/>
            </w:pPr>
            <w:r>
              <w:t>61.26</w:t>
            </w:r>
          </w:p>
        </w:tc>
        <w:tc>
          <w:tcPr>
            <w:tcW w:w="1134" w:type="dxa"/>
            <w:vAlign w:val="center"/>
          </w:tcPr>
          <w:p>
            <w:pPr>
              <w:pStyle w:val="16"/>
            </w:pPr>
            <w:r>
              <w:t>61.26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48.92</w:t>
            </w:r>
          </w:p>
        </w:tc>
        <w:tc>
          <w:tcPr>
            <w:tcW w:w="1134" w:type="dxa"/>
            <w:vAlign w:val="center"/>
          </w:tcPr>
          <w:p>
            <w:pPr>
              <w:pStyle w:val="16"/>
            </w:pPr>
            <w:r>
              <w:t>48.92</w:t>
            </w:r>
          </w:p>
        </w:tc>
        <w:tc>
          <w:tcPr>
            <w:tcW w:w="1134" w:type="dxa"/>
            <w:vAlign w:val="center"/>
          </w:tcPr>
          <w:p>
            <w:pPr>
              <w:pStyle w:val="16"/>
            </w:pPr>
            <w:r>
              <w:t>48.92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12.34</w:t>
            </w:r>
          </w:p>
        </w:tc>
        <w:tc>
          <w:tcPr>
            <w:tcW w:w="1134" w:type="dxa"/>
            <w:vAlign w:val="center"/>
          </w:tcPr>
          <w:p>
            <w:pPr>
              <w:pStyle w:val="16"/>
            </w:pPr>
            <w:r>
              <w:t>12.34</w:t>
            </w:r>
          </w:p>
        </w:tc>
        <w:tc>
          <w:tcPr>
            <w:tcW w:w="1134" w:type="dxa"/>
            <w:vAlign w:val="center"/>
          </w:tcPr>
          <w:p>
            <w:pPr>
              <w:pStyle w:val="16"/>
            </w:pPr>
            <w:r>
              <w:t>12.34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3.84</w:t>
            </w:r>
          </w:p>
        </w:tc>
        <w:tc>
          <w:tcPr>
            <w:tcW w:w="1134" w:type="dxa"/>
            <w:vAlign w:val="center"/>
          </w:tcPr>
          <w:p>
            <w:pPr>
              <w:pStyle w:val="16"/>
            </w:pPr>
            <w:r>
              <w:t>3.84</w:t>
            </w:r>
          </w:p>
        </w:tc>
        <w:tc>
          <w:tcPr>
            <w:tcW w:w="1134" w:type="dxa"/>
            <w:vAlign w:val="center"/>
          </w:tcPr>
          <w:p>
            <w:pPr>
              <w:pStyle w:val="16"/>
            </w:pPr>
            <w:r>
              <w:t>3.84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3.84</w:t>
            </w:r>
          </w:p>
        </w:tc>
        <w:tc>
          <w:tcPr>
            <w:tcW w:w="1134" w:type="dxa"/>
            <w:vAlign w:val="center"/>
          </w:tcPr>
          <w:p>
            <w:pPr>
              <w:pStyle w:val="16"/>
            </w:pPr>
            <w:r>
              <w:t>3.84</w:t>
            </w:r>
          </w:p>
        </w:tc>
        <w:tc>
          <w:tcPr>
            <w:tcW w:w="1134" w:type="dxa"/>
            <w:vAlign w:val="center"/>
          </w:tcPr>
          <w:p>
            <w:pPr>
              <w:pStyle w:val="16"/>
            </w:pPr>
            <w:r>
              <w:t>3.84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3.84</w:t>
            </w:r>
          </w:p>
        </w:tc>
        <w:tc>
          <w:tcPr>
            <w:tcW w:w="1134" w:type="dxa"/>
            <w:vAlign w:val="center"/>
          </w:tcPr>
          <w:p>
            <w:pPr>
              <w:pStyle w:val="16"/>
            </w:pPr>
            <w:r>
              <w:t>3.84</w:t>
            </w:r>
          </w:p>
        </w:tc>
        <w:tc>
          <w:tcPr>
            <w:tcW w:w="1134" w:type="dxa"/>
            <w:vAlign w:val="center"/>
          </w:tcPr>
          <w:p>
            <w:pPr>
              <w:pStyle w:val="16"/>
            </w:pPr>
            <w:r>
              <w:t>3.84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10.18</w:t>
            </w:r>
          </w:p>
        </w:tc>
        <w:tc>
          <w:tcPr>
            <w:tcW w:w="1134" w:type="dxa"/>
            <w:vAlign w:val="center"/>
          </w:tcPr>
          <w:p>
            <w:pPr>
              <w:pStyle w:val="16"/>
            </w:pPr>
            <w:r>
              <w:t>10.18</w:t>
            </w:r>
          </w:p>
        </w:tc>
        <w:tc>
          <w:tcPr>
            <w:tcW w:w="1134" w:type="dxa"/>
            <w:vAlign w:val="center"/>
          </w:tcPr>
          <w:p>
            <w:pPr>
              <w:pStyle w:val="16"/>
            </w:pPr>
            <w:r>
              <w:t>10.18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10.18</w:t>
            </w:r>
          </w:p>
        </w:tc>
        <w:tc>
          <w:tcPr>
            <w:tcW w:w="1134" w:type="dxa"/>
            <w:vAlign w:val="center"/>
          </w:tcPr>
          <w:p>
            <w:pPr>
              <w:pStyle w:val="16"/>
            </w:pPr>
            <w:r>
              <w:t>10.18</w:t>
            </w:r>
          </w:p>
        </w:tc>
        <w:tc>
          <w:tcPr>
            <w:tcW w:w="1134" w:type="dxa"/>
            <w:vAlign w:val="center"/>
          </w:tcPr>
          <w:p>
            <w:pPr>
              <w:pStyle w:val="16"/>
            </w:pPr>
            <w:r>
              <w:t>10.18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10.18</w:t>
            </w:r>
          </w:p>
        </w:tc>
        <w:tc>
          <w:tcPr>
            <w:tcW w:w="1134" w:type="dxa"/>
            <w:vAlign w:val="center"/>
          </w:tcPr>
          <w:p>
            <w:pPr>
              <w:pStyle w:val="16"/>
            </w:pPr>
            <w:r>
              <w:t>10.18</w:t>
            </w:r>
          </w:p>
        </w:tc>
        <w:tc>
          <w:tcPr>
            <w:tcW w:w="1134" w:type="dxa"/>
            <w:vAlign w:val="center"/>
          </w:tcPr>
          <w:p>
            <w:pPr>
              <w:pStyle w:val="16"/>
            </w:pPr>
            <w:r>
              <w:t>10.18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14.35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14.35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14.35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14.35</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222.96</w:t>
            </w:r>
          </w:p>
        </w:tc>
        <w:tc>
          <w:tcPr>
            <w:tcW w:w="1361" w:type="dxa"/>
            <w:vAlign w:val="center"/>
          </w:tcPr>
          <w:p>
            <w:pPr>
              <w:pStyle w:val="20"/>
            </w:pPr>
            <w:r>
              <w:t>208.61</w:t>
            </w:r>
          </w:p>
        </w:tc>
        <w:tc>
          <w:tcPr>
            <w:tcW w:w="1361" w:type="dxa"/>
            <w:vAlign w:val="center"/>
          </w:tcPr>
          <w:p>
            <w:pPr>
              <w:pStyle w:val="20"/>
            </w:pPr>
            <w:r>
              <w:t>14.35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133.32</w:t>
            </w:r>
          </w:p>
        </w:tc>
        <w:tc>
          <w:tcPr>
            <w:tcW w:w="1361" w:type="dxa"/>
            <w:vAlign w:val="center"/>
          </w:tcPr>
          <w:p>
            <w:pPr>
              <w:pStyle w:val="16"/>
            </w:pPr>
            <w:r>
              <w:t>133.32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20126</w:t>
            </w:r>
          </w:p>
        </w:tc>
        <w:tc>
          <w:tcPr>
            <w:tcW w:w="4535" w:type="dxa"/>
            <w:vAlign w:val="center"/>
          </w:tcPr>
          <w:p>
            <w:pPr>
              <w:pStyle w:val="17"/>
            </w:pPr>
            <w:r>
              <w:t>档案事务</w:t>
            </w:r>
          </w:p>
        </w:tc>
        <w:tc>
          <w:tcPr>
            <w:tcW w:w="1361" w:type="dxa"/>
            <w:vAlign w:val="center"/>
          </w:tcPr>
          <w:p>
            <w:pPr>
              <w:pStyle w:val="16"/>
            </w:pPr>
            <w:r>
              <w:t>133.32</w:t>
            </w:r>
          </w:p>
        </w:tc>
        <w:tc>
          <w:tcPr>
            <w:tcW w:w="1361" w:type="dxa"/>
            <w:vAlign w:val="center"/>
          </w:tcPr>
          <w:p>
            <w:pPr>
              <w:pStyle w:val="16"/>
            </w:pPr>
            <w:r>
              <w:t>133.32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2012601</w:t>
            </w:r>
          </w:p>
        </w:tc>
        <w:tc>
          <w:tcPr>
            <w:tcW w:w="4535" w:type="dxa"/>
            <w:vAlign w:val="center"/>
          </w:tcPr>
          <w:p>
            <w:pPr>
              <w:pStyle w:val="17"/>
            </w:pPr>
            <w:r>
              <w:t>行政运行</w:t>
            </w:r>
          </w:p>
        </w:tc>
        <w:tc>
          <w:tcPr>
            <w:tcW w:w="1361" w:type="dxa"/>
            <w:vAlign w:val="center"/>
          </w:tcPr>
          <w:p>
            <w:pPr>
              <w:pStyle w:val="16"/>
            </w:pPr>
            <w:r>
              <w:t>133.32</w:t>
            </w:r>
          </w:p>
        </w:tc>
        <w:tc>
          <w:tcPr>
            <w:tcW w:w="1361" w:type="dxa"/>
            <w:vAlign w:val="center"/>
          </w:tcPr>
          <w:p>
            <w:pPr>
              <w:pStyle w:val="16"/>
            </w:pPr>
            <w:r>
              <w:t>133.32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61.26</w:t>
            </w:r>
          </w:p>
        </w:tc>
        <w:tc>
          <w:tcPr>
            <w:tcW w:w="1361" w:type="dxa"/>
            <w:vAlign w:val="center"/>
          </w:tcPr>
          <w:p>
            <w:pPr>
              <w:pStyle w:val="16"/>
            </w:pPr>
            <w:r>
              <w:t>61.26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61.26</w:t>
            </w:r>
          </w:p>
        </w:tc>
        <w:tc>
          <w:tcPr>
            <w:tcW w:w="1361" w:type="dxa"/>
            <w:vAlign w:val="center"/>
          </w:tcPr>
          <w:p>
            <w:pPr>
              <w:pStyle w:val="16"/>
            </w:pPr>
            <w:r>
              <w:t>61.26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48.92</w:t>
            </w:r>
          </w:p>
        </w:tc>
        <w:tc>
          <w:tcPr>
            <w:tcW w:w="1361" w:type="dxa"/>
            <w:vAlign w:val="center"/>
          </w:tcPr>
          <w:p>
            <w:pPr>
              <w:pStyle w:val="16"/>
            </w:pPr>
            <w:r>
              <w:t>48.92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12.34</w:t>
            </w:r>
          </w:p>
        </w:tc>
        <w:tc>
          <w:tcPr>
            <w:tcW w:w="1361" w:type="dxa"/>
            <w:vAlign w:val="center"/>
          </w:tcPr>
          <w:p>
            <w:pPr>
              <w:pStyle w:val="16"/>
            </w:pPr>
            <w:r>
              <w:t>12.34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3.84</w:t>
            </w:r>
          </w:p>
        </w:tc>
        <w:tc>
          <w:tcPr>
            <w:tcW w:w="1361" w:type="dxa"/>
            <w:vAlign w:val="center"/>
          </w:tcPr>
          <w:p>
            <w:pPr>
              <w:pStyle w:val="16"/>
            </w:pPr>
            <w:r>
              <w:t>3.84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3.84</w:t>
            </w:r>
          </w:p>
        </w:tc>
        <w:tc>
          <w:tcPr>
            <w:tcW w:w="1361" w:type="dxa"/>
            <w:vAlign w:val="center"/>
          </w:tcPr>
          <w:p>
            <w:pPr>
              <w:pStyle w:val="16"/>
            </w:pPr>
            <w:r>
              <w:t>3.84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3.84</w:t>
            </w:r>
          </w:p>
        </w:tc>
        <w:tc>
          <w:tcPr>
            <w:tcW w:w="1361" w:type="dxa"/>
            <w:vAlign w:val="center"/>
          </w:tcPr>
          <w:p>
            <w:pPr>
              <w:pStyle w:val="16"/>
            </w:pPr>
            <w:r>
              <w:t>3.84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10.18</w:t>
            </w:r>
          </w:p>
        </w:tc>
        <w:tc>
          <w:tcPr>
            <w:tcW w:w="1361" w:type="dxa"/>
            <w:vAlign w:val="center"/>
          </w:tcPr>
          <w:p>
            <w:pPr>
              <w:pStyle w:val="16"/>
            </w:pPr>
            <w:r>
              <w:t>10.18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10.18</w:t>
            </w:r>
          </w:p>
        </w:tc>
        <w:tc>
          <w:tcPr>
            <w:tcW w:w="1361" w:type="dxa"/>
            <w:vAlign w:val="center"/>
          </w:tcPr>
          <w:p>
            <w:pPr>
              <w:pStyle w:val="16"/>
            </w:pPr>
            <w:r>
              <w:t>10.18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10.18</w:t>
            </w:r>
          </w:p>
        </w:tc>
        <w:tc>
          <w:tcPr>
            <w:tcW w:w="1361" w:type="dxa"/>
            <w:vAlign w:val="center"/>
          </w:tcPr>
          <w:p>
            <w:pPr>
              <w:pStyle w:val="16"/>
            </w:pPr>
            <w:r>
              <w:t>10.18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14.35</w:t>
            </w:r>
          </w:p>
        </w:tc>
        <w:tc>
          <w:tcPr>
            <w:tcW w:w="1361" w:type="dxa"/>
            <w:vAlign w:val="center"/>
          </w:tcPr>
          <w:p>
            <w:pPr>
              <w:pStyle w:val="16"/>
            </w:pPr>
          </w:p>
        </w:tc>
        <w:tc>
          <w:tcPr>
            <w:tcW w:w="1361" w:type="dxa"/>
            <w:vAlign w:val="center"/>
          </w:tcPr>
          <w:p>
            <w:pPr>
              <w:pStyle w:val="16"/>
            </w:pPr>
            <w:r>
              <w:t>14.35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14.35</w:t>
            </w:r>
          </w:p>
        </w:tc>
        <w:tc>
          <w:tcPr>
            <w:tcW w:w="1361" w:type="dxa"/>
            <w:vAlign w:val="center"/>
          </w:tcPr>
          <w:p>
            <w:pPr>
              <w:pStyle w:val="16"/>
            </w:pPr>
          </w:p>
        </w:tc>
        <w:tc>
          <w:tcPr>
            <w:tcW w:w="1361" w:type="dxa"/>
            <w:vAlign w:val="center"/>
          </w:tcPr>
          <w:p>
            <w:pPr>
              <w:pStyle w:val="16"/>
            </w:pPr>
            <w:r>
              <w:t>14.35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14.35</w:t>
            </w:r>
          </w:p>
        </w:tc>
        <w:tc>
          <w:tcPr>
            <w:tcW w:w="1361" w:type="dxa"/>
            <w:vAlign w:val="center"/>
          </w:tcPr>
          <w:p>
            <w:pPr>
              <w:pStyle w:val="16"/>
            </w:pPr>
          </w:p>
        </w:tc>
        <w:tc>
          <w:tcPr>
            <w:tcW w:w="1361" w:type="dxa"/>
            <w:vAlign w:val="center"/>
          </w:tcPr>
          <w:p>
            <w:pPr>
              <w:pStyle w:val="16"/>
            </w:pPr>
            <w:r>
              <w:t>14.35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208.61</w:t>
            </w:r>
          </w:p>
        </w:tc>
        <w:tc>
          <w:tcPr>
            <w:tcW w:w="3402" w:type="dxa"/>
            <w:vAlign w:val="center"/>
          </w:tcPr>
          <w:p>
            <w:pPr>
              <w:pStyle w:val="17"/>
            </w:pPr>
            <w:r>
              <w:t>一、一般公共服务支出</w:t>
            </w:r>
          </w:p>
        </w:tc>
        <w:tc>
          <w:tcPr>
            <w:tcW w:w="1474" w:type="dxa"/>
            <w:vAlign w:val="center"/>
          </w:tcPr>
          <w:p>
            <w:pPr>
              <w:pStyle w:val="16"/>
            </w:pPr>
            <w:r>
              <w:t>133.32</w:t>
            </w:r>
          </w:p>
        </w:tc>
        <w:tc>
          <w:tcPr>
            <w:tcW w:w="1474" w:type="dxa"/>
            <w:vAlign w:val="center"/>
          </w:tcPr>
          <w:p>
            <w:pPr>
              <w:pStyle w:val="16"/>
            </w:pPr>
            <w:r>
              <w:t>133.32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61.26</w:t>
            </w:r>
          </w:p>
        </w:tc>
        <w:tc>
          <w:tcPr>
            <w:tcW w:w="1474" w:type="dxa"/>
            <w:vAlign w:val="center"/>
          </w:tcPr>
          <w:p>
            <w:pPr>
              <w:pStyle w:val="16"/>
            </w:pPr>
            <w:r>
              <w:t>61.26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3.84</w:t>
            </w:r>
          </w:p>
        </w:tc>
        <w:tc>
          <w:tcPr>
            <w:tcW w:w="1474" w:type="dxa"/>
            <w:vAlign w:val="center"/>
          </w:tcPr>
          <w:p>
            <w:pPr>
              <w:pStyle w:val="16"/>
            </w:pPr>
            <w:r>
              <w:t>3.84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10.18</w:t>
            </w:r>
          </w:p>
        </w:tc>
        <w:tc>
          <w:tcPr>
            <w:tcW w:w="1474" w:type="dxa"/>
            <w:vAlign w:val="center"/>
          </w:tcPr>
          <w:p>
            <w:pPr>
              <w:pStyle w:val="16"/>
            </w:pPr>
            <w:r>
              <w:t>10.18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14.35</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208.61</w:t>
            </w:r>
          </w:p>
        </w:tc>
        <w:tc>
          <w:tcPr>
            <w:tcW w:w="3402" w:type="dxa"/>
            <w:vAlign w:val="center"/>
          </w:tcPr>
          <w:p>
            <w:pPr>
              <w:pStyle w:val="19"/>
            </w:pPr>
            <w:r>
              <w:t>本年支出合计</w:t>
            </w:r>
          </w:p>
        </w:tc>
        <w:tc>
          <w:tcPr>
            <w:tcW w:w="1474" w:type="dxa"/>
            <w:vAlign w:val="center"/>
          </w:tcPr>
          <w:p>
            <w:pPr>
              <w:pStyle w:val="20"/>
            </w:pPr>
            <w:r>
              <w:t>222.96</w:t>
            </w:r>
          </w:p>
        </w:tc>
        <w:tc>
          <w:tcPr>
            <w:tcW w:w="1474" w:type="dxa"/>
            <w:vAlign w:val="center"/>
          </w:tcPr>
          <w:p>
            <w:pPr>
              <w:pStyle w:val="20"/>
            </w:pPr>
            <w:r>
              <w:t>208.61</w:t>
            </w:r>
          </w:p>
        </w:tc>
        <w:tc>
          <w:tcPr>
            <w:tcW w:w="1474" w:type="dxa"/>
            <w:vAlign w:val="center"/>
          </w:tcPr>
          <w:p>
            <w:pPr>
              <w:pStyle w:val="20"/>
            </w:pPr>
          </w:p>
        </w:tc>
        <w:tc>
          <w:tcPr>
            <w:tcW w:w="1474" w:type="dxa"/>
            <w:vAlign w:val="center"/>
          </w:tcPr>
          <w:p>
            <w:pPr>
              <w:pStyle w:val="20"/>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14.35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14.35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222.96</w:t>
            </w:r>
          </w:p>
        </w:tc>
        <w:tc>
          <w:tcPr>
            <w:tcW w:w="3402" w:type="dxa"/>
            <w:vAlign w:val="center"/>
          </w:tcPr>
          <w:p>
            <w:pPr>
              <w:pStyle w:val="19"/>
            </w:pPr>
            <w:r>
              <w:t>支出总计</w:t>
            </w:r>
          </w:p>
        </w:tc>
        <w:tc>
          <w:tcPr>
            <w:tcW w:w="1474" w:type="dxa"/>
            <w:vAlign w:val="center"/>
          </w:tcPr>
          <w:p>
            <w:pPr>
              <w:pStyle w:val="20"/>
            </w:pPr>
            <w:r>
              <w:t>222.96</w:t>
            </w:r>
          </w:p>
        </w:tc>
        <w:tc>
          <w:tcPr>
            <w:tcW w:w="1474" w:type="dxa"/>
            <w:vAlign w:val="center"/>
          </w:tcPr>
          <w:p>
            <w:pPr>
              <w:pStyle w:val="20"/>
            </w:pPr>
            <w:r>
              <w:t>208.61</w:t>
            </w:r>
          </w:p>
        </w:tc>
        <w:tc>
          <w:tcPr>
            <w:tcW w:w="1474" w:type="dxa"/>
            <w:vAlign w:val="center"/>
          </w:tcPr>
          <w:p>
            <w:pPr>
              <w:pStyle w:val="20"/>
            </w:pPr>
          </w:p>
        </w:tc>
        <w:tc>
          <w:tcPr>
            <w:tcW w:w="1474" w:type="dxa"/>
            <w:vAlign w:val="center"/>
          </w:tcPr>
          <w:p>
            <w:pPr>
              <w:pStyle w:val="20"/>
            </w:pPr>
            <w:r>
              <w:t>14.35</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208.61</w:t>
            </w:r>
          </w:p>
        </w:tc>
        <w:tc>
          <w:tcPr>
            <w:tcW w:w="2551" w:type="dxa"/>
            <w:vAlign w:val="center"/>
          </w:tcPr>
          <w:p>
            <w:pPr>
              <w:pStyle w:val="20"/>
            </w:pPr>
            <w:r>
              <w:t>208.61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133.32</w:t>
            </w:r>
          </w:p>
        </w:tc>
        <w:tc>
          <w:tcPr>
            <w:tcW w:w="2551" w:type="dxa"/>
            <w:vAlign w:val="center"/>
          </w:tcPr>
          <w:p>
            <w:pPr>
              <w:pStyle w:val="16"/>
            </w:pPr>
            <w:r>
              <w:t>133.32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20126</w:t>
            </w:r>
          </w:p>
        </w:tc>
        <w:tc>
          <w:tcPr>
            <w:tcW w:w="4535" w:type="dxa"/>
            <w:vAlign w:val="center"/>
          </w:tcPr>
          <w:p>
            <w:pPr>
              <w:pStyle w:val="17"/>
            </w:pPr>
            <w:r>
              <w:t>档案事务</w:t>
            </w:r>
          </w:p>
        </w:tc>
        <w:tc>
          <w:tcPr>
            <w:tcW w:w="2551" w:type="dxa"/>
            <w:vAlign w:val="center"/>
          </w:tcPr>
          <w:p>
            <w:pPr>
              <w:pStyle w:val="16"/>
            </w:pPr>
            <w:r>
              <w:t>133.32</w:t>
            </w:r>
          </w:p>
        </w:tc>
        <w:tc>
          <w:tcPr>
            <w:tcW w:w="2551" w:type="dxa"/>
            <w:vAlign w:val="center"/>
          </w:tcPr>
          <w:p>
            <w:pPr>
              <w:pStyle w:val="16"/>
            </w:pPr>
            <w:r>
              <w:t>133.32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2012601</w:t>
            </w:r>
          </w:p>
        </w:tc>
        <w:tc>
          <w:tcPr>
            <w:tcW w:w="4535" w:type="dxa"/>
            <w:vAlign w:val="center"/>
          </w:tcPr>
          <w:p>
            <w:pPr>
              <w:pStyle w:val="17"/>
            </w:pPr>
            <w:r>
              <w:t>行政运行</w:t>
            </w:r>
          </w:p>
        </w:tc>
        <w:tc>
          <w:tcPr>
            <w:tcW w:w="2551" w:type="dxa"/>
            <w:vAlign w:val="center"/>
          </w:tcPr>
          <w:p>
            <w:pPr>
              <w:pStyle w:val="16"/>
            </w:pPr>
            <w:r>
              <w:t>133.32</w:t>
            </w:r>
          </w:p>
        </w:tc>
        <w:tc>
          <w:tcPr>
            <w:tcW w:w="2551" w:type="dxa"/>
            <w:vAlign w:val="center"/>
          </w:tcPr>
          <w:p>
            <w:pPr>
              <w:pStyle w:val="16"/>
            </w:pPr>
            <w:r>
              <w:t>133.32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61.26</w:t>
            </w:r>
          </w:p>
        </w:tc>
        <w:tc>
          <w:tcPr>
            <w:tcW w:w="2551" w:type="dxa"/>
            <w:vAlign w:val="center"/>
          </w:tcPr>
          <w:p>
            <w:pPr>
              <w:pStyle w:val="16"/>
            </w:pPr>
            <w:r>
              <w:t>61.26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61.26</w:t>
            </w:r>
          </w:p>
        </w:tc>
        <w:tc>
          <w:tcPr>
            <w:tcW w:w="2551" w:type="dxa"/>
            <w:vAlign w:val="center"/>
          </w:tcPr>
          <w:p>
            <w:pPr>
              <w:pStyle w:val="16"/>
            </w:pPr>
            <w:r>
              <w:t>61.26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48.92</w:t>
            </w:r>
          </w:p>
        </w:tc>
        <w:tc>
          <w:tcPr>
            <w:tcW w:w="2551" w:type="dxa"/>
            <w:vAlign w:val="center"/>
          </w:tcPr>
          <w:p>
            <w:pPr>
              <w:pStyle w:val="16"/>
            </w:pPr>
            <w:r>
              <w:t>48.92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12.34</w:t>
            </w:r>
          </w:p>
        </w:tc>
        <w:tc>
          <w:tcPr>
            <w:tcW w:w="2551" w:type="dxa"/>
            <w:vAlign w:val="center"/>
          </w:tcPr>
          <w:p>
            <w:pPr>
              <w:pStyle w:val="16"/>
            </w:pPr>
            <w:r>
              <w:t>12.34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3.84</w:t>
            </w:r>
          </w:p>
        </w:tc>
        <w:tc>
          <w:tcPr>
            <w:tcW w:w="2551" w:type="dxa"/>
            <w:vAlign w:val="center"/>
          </w:tcPr>
          <w:p>
            <w:pPr>
              <w:pStyle w:val="16"/>
            </w:pPr>
            <w:r>
              <w:t>3.84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3.84</w:t>
            </w:r>
          </w:p>
        </w:tc>
        <w:tc>
          <w:tcPr>
            <w:tcW w:w="2551" w:type="dxa"/>
            <w:vAlign w:val="center"/>
          </w:tcPr>
          <w:p>
            <w:pPr>
              <w:pStyle w:val="16"/>
            </w:pPr>
            <w:r>
              <w:t>3.84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3.84</w:t>
            </w:r>
          </w:p>
        </w:tc>
        <w:tc>
          <w:tcPr>
            <w:tcW w:w="2551" w:type="dxa"/>
            <w:vAlign w:val="center"/>
          </w:tcPr>
          <w:p>
            <w:pPr>
              <w:pStyle w:val="16"/>
            </w:pPr>
            <w:r>
              <w:t>3.84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10.18</w:t>
            </w:r>
          </w:p>
        </w:tc>
        <w:tc>
          <w:tcPr>
            <w:tcW w:w="2551" w:type="dxa"/>
            <w:vAlign w:val="center"/>
          </w:tcPr>
          <w:p>
            <w:pPr>
              <w:pStyle w:val="16"/>
            </w:pPr>
            <w:r>
              <w:t>10.18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10.18</w:t>
            </w:r>
          </w:p>
        </w:tc>
        <w:tc>
          <w:tcPr>
            <w:tcW w:w="2551" w:type="dxa"/>
            <w:vAlign w:val="center"/>
          </w:tcPr>
          <w:p>
            <w:pPr>
              <w:pStyle w:val="16"/>
            </w:pPr>
            <w:r>
              <w:t>10.18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10.18</w:t>
            </w:r>
          </w:p>
        </w:tc>
        <w:tc>
          <w:tcPr>
            <w:tcW w:w="2551" w:type="dxa"/>
            <w:vAlign w:val="center"/>
          </w:tcPr>
          <w:p>
            <w:pPr>
              <w:pStyle w:val="16"/>
            </w:pPr>
            <w:r>
              <w:t>10.18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208.61</w:t>
            </w:r>
          </w:p>
        </w:tc>
        <w:tc>
          <w:tcPr>
            <w:tcW w:w="2551" w:type="dxa"/>
            <w:vAlign w:val="center"/>
          </w:tcPr>
          <w:p>
            <w:pPr>
              <w:pStyle w:val="20"/>
            </w:pPr>
            <w:r>
              <w:t>179.38</w:t>
            </w:r>
          </w:p>
        </w:tc>
        <w:tc>
          <w:tcPr>
            <w:tcW w:w="2551" w:type="dxa"/>
            <w:vAlign w:val="center"/>
          </w:tcPr>
          <w:p>
            <w:pPr>
              <w:pStyle w:val="20"/>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130.45</w:t>
            </w:r>
          </w:p>
        </w:tc>
        <w:tc>
          <w:tcPr>
            <w:tcW w:w="2551" w:type="dxa"/>
            <w:vAlign w:val="center"/>
          </w:tcPr>
          <w:p>
            <w:pPr>
              <w:pStyle w:val="16"/>
            </w:pPr>
            <w:r>
              <w:t>130.45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37.19</w:t>
            </w:r>
          </w:p>
        </w:tc>
        <w:tc>
          <w:tcPr>
            <w:tcW w:w="2551" w:type="dxa"/>
            <w:vAlign w:val="center"/>
          </w:tcPr>
          <w:p>
            <w:pPr>
              <w:pStyle w:val="16"/>
            </w:pPr>
            <w:r>
              <w:t>37.19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32.27</w:t>
            </w:r>
          </w:p>
        </w:tc>
        <w:tc>
          <w:tcPr>
            <w:tcW w:w="2551" w:type="dxa"/>
            <w:vAlign w:val="center"/>
          </w:tcPr>
          <w:p>
            <w:pPr>
              <w:pStyle w:val="16"/>
            </w:pPr>
            <w:r>
              <w:t>32.27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24.21</w:t>
            </w:r>
          </w:p>
        </w:tc>
        <w:tc>
          <w:tcPr>
            <w:tcW w:w="2551" w:type="dxa"/>
            <w:vAlign w:val="center"/>
          </w:tcPr>
          <w:p>
            <w:pPr>
              <w:pStyle w:val="16"/>
            </w:pPr>
            <w:r>
              <w:t>24.21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10.06</w:t>
            </w:r>
          </w:p>
        </w:tc>
        <w:tc>
          <w:tcPr>
            <w:tcW w:w="2551" w:type="dxa"/>
            <w:vAlign w:val="center"/>
          </w:tcPr>
          <w:p>
            <w:pPr>
              <w:pStyle w:val="16"/>
            </w:pPr>
            <w:r>
              <w:t>10.06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12.34</w:t>
            </w:r>
          </w:p>
        </w:tc>
        <w:tc>
          <w:tcPr>
            <w:tcW w:w="2551" w:type="dxa"/>
            <w:vAlign w:val="center"/>
          </w:tcPr>
          <w:p>
            <w:pPr>
              <w:pStyle w:val="16"/>
            </w:pPr>
            <w:r>
              <w:t>12.34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3.80</w:t>
            </w:r>
          </w:p>
        </w:tc>
        <w:tc>
          <w:tcPr>
            <w:tcW w:w="2551" w:type="dxa"/>
            <w:vAlign w:val="center"/>
          </w:tcPr>
          <w:p>
            <w:pPr>
              <w:pStyle w:val="16"/>
            </w:pPr>
            <w:r>
              <w:t>3.80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10.18</w:t>
            </w:r>
          </w:p>
        </w:tc>
        <w:tc>
          <w:tcPr>
            <w:tcW w:w="2551" w:type="dxa"/>
            <w:vAlign w:val="center"/>
          </w:tcPr>
          <w:p>
            <w:pPr>
              <w:pStyle w:val="16"/>
            </w:pPr>
            <w:r>
              <w:t>10.18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29.23</w:t>
            </w:r>
          </w:p>
        </w:tc>
        <w:tc>
          <w:tcPr>
            <w:tcW w:w="2551" w:type="dxa"/>
            <w:vAlign w:val="center"/>
          </w:tcPr>
          <w:p>
            <w:pPr>
              <w:pStyle w:val="16"/>
            </w:pPr>
          </w:p>
        </w:tc>
        <w:tc>
          <w:tcPr>
            <w:tcW w:w="2551" w:type="dxa"/>
            <w:vAlign w:val="center"/>
          </w:tcPr>
          <w:p>
            <w:pPr>
              <w:pStyle w:val="16"/>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1.28</w:t>
            </w:r>
          </w:p>
        </w:tc>
        <w:tc>
          <w:tcPr>
            <w:tcW w:w="2551" w:type="dxa"/>
            <w:vAlign w:val="center"/>
          </w:tcPr>
          <w:p>
            <w:pPr>
              <w:pStyle w:val="16"/>
            </w:pPr>
          </w:p>
        </w:tc>
        <w:tc>
          <w:tcPr>
            <w:tcW w:w="2551" w:type="dxa"/>
            <w:vAlign w:val="center"/>
          </w:tcPr>
          <w:p>
            <w:pPr>
              <w:pStyle w:val="16"/>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0.10</w:t>
            </w:r>
          </w:p>
        </w:tc>
        <w:tc>
          <w:tcPr>
            <w:tcW w:w="2551" w:type="dxa"/>
            <w:vAlign w:val="center"/>
          </w:tcPr>
          <w:p>
            <w:pPr>
              <w:pStyle w:val="16"/>
            </w:pPr>
          </w:p>
        </w:tc>
        <w:tc>
          <w:tcPr>
            <w:tcW w:w="2551" w:type="dxa"/>
            <w:vAlign w:val="center"/>
          </w:tcPr>
          <w:p>
            <w:pPr>
              <w:pStyle w:val="16"/>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0.26</w:t>
            </w:r>
          </w:p>
        </w:tc>
        <w:tc>
          <w:tcPr>
            <w:tcW w:w="2551" w:type="dxa"/>
            <w:vAlign w:val="center"/>
          </w:tcPr>
          <w:p>
            <w:pPr>
              <w:pStyle w:val="16"/>
            </w:pPr>
          </w:p>
        </w:tc>
        <w:tc>
          <w:tcPr>
            <w:tcW w:w="2551" w:type="dxa"/>
            <w:vAlign w:val="center"/>
          </w:tcPr>
          <w:p>
            <w:pPr>
              <w:pStyle w:val="16"/>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3.84</w:t>
            </w:r>
          </w:p>
        </w:tc>
        <w:tc>
          <w:tcPr>
            <w:tcW w:w="2551" w:type="dxa"/>
            <w:vAlign w:val="center"/>
          </w:tcPr>
          <w:p>
            <w:pPr>
              <w:pStyle w:val="16"/>
            </w:pPr>
          </w:p>
        </w:tc>
        <w:tc>
          <w:tcPr>
            <w:tcW w:w="2551"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0.46</w:t>
            </w:r>
          </w:p>
        </w:tc>
        <w:tc>
          <w:tcPr>
            <w:tcW w:w="2551" w:type="dxa"/>
            <w:vAlign w:val="center"/>
          </w:tcPr>
          <w:p>
            <w:pPr>
              <w:pStyle w:val="16"/>
            </w:pPr>
          </w:p>
        </w:tc>
        <w:tc>
          <w:tcPr>
            <w:tcW w:w="2551" w:type="dxa"/>
            <w:vAlign w:val="center"/>
          </w:tcPr>
          <w:p>
            <w:pPr>
              <w:pStyle w:val="16"/>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1.28</w:t>
            </w:r>
          </w:p>
        </w:tc>
        <w:tc>
          <w:tcPr>
            <w:tcW w:w="2551" w:type="dxa"/>
            <w:vAlign w:val="center"/>
          </w:tcPr>
          <w:p>
            <w:pPr>
              <w:pStyle w:val="16"/>
            </w:pPr>
          </w:p>
        </w:tc>
        <w:tc>
          <w:tcPr>
            <w:tcW w:w="2551" w:type="dxa"/>
            <w:vAlign w:val="center"/>
          </w:tcPr>
          <w:p>
            <w:pPr>
              <w:pStyle w:val="16"/>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0.08</w:t>
            </w:r>
          </w:p>
        </w:tc>
        <w:tc>
          <w:tcPr>
            <w:tcW w:w="2551" w:type="dxa"/>
            <w:vAlign w:val="center"/>
          </w:tcPr>
          <w:p>
            <w:pPr>
              <w:pStyle w:val="16"/>
            </w:pPr>
          </w:p>
        </w:tc>
        <w:tc>
          <w:tcPr>
            <w:tcW w:w="2551" w:type="dxa"/>
            <w:vAlign w:val="center"/>
          </w:tcPr>
          <w:p>
            <w:pPr>
              <w:pStyle w:val="16"/>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0.73</w:t>
            </w:r>
          </w:p>
        </w:tc>
        <w:tc>
          <w:tcPr>
            <w:tcW w:w="2551" w:type="dxa"/>
            <w:vAlign w:val="center"/>
          </w:tcPr>
          <w:p>
            <w:pPr>
              <w:pStyle w:val="16"/>
            </w:pPr>
          </w:p>
        </w:tc>
        <w:tc>
          <w:tcPr>
            <w:tcW w:w="2551" w:type="dxa"/>
            <w:vAlign w:val="center"/>
          </w:tcPr>
          <w:p>
            <w:pPr>
              <w:pStyle w:val="16"/>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0.69</w:t>
            </w:r>
          </w:p>
        </w:tc>
        <w:tc>
          <w:tcPr>
            <w:tcW w:w="2551" w:type="dxa"/>
            <w:vAlign w:val="center"/>
          </w:tcPr>
          <w:p>
            <w:pPr>
              <w:pStyle w:val="16"/>
            </w:pPr>
          </w:p>
        </w:tc>
        <w:tc>
          <w:tcPr>
            <w:tcW w:w="2551" w:type="dxa"/>
            <w:vAlign w:val="center"/>
          </w:tcPr>
          <w:p>
            <w:pPr>
              <w:pStyle w:val="16"/>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3.60</w:t>
            </w:r>
          </w:p>
        </w:tc>
        <w:tc>
          <w:tcPr>
            <w:tcW w:w="2551" w:type="dxa"/>
            <w:vAlign w:val="center"/>
          </w:tcPr>
          <w:p>
            <w:pPr>
              <w:pStyle w:val="16"/>
            </w:pPr>
          </w:p>
        </w:tc>
        <w:tc>
          <w:tcPr>
            <w:tcW w:w="2551" w:type="dxa"/>
            <w:vAlign w:val="center"/>
          </w:tcPr>
          <w:p>
            <w:pPr>
              <w:pStyle w:val="16"/>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14.00</w:t>
            </w:r>
          </w:p>
        </w:tc>
        <w:tc>
          <w:tcPr>
            <w:tcW w:w="2551" w:type="dxa"/>
            <w:vAlign w:val="center"/>
          </w:tcPr>
          <w:p>
            <w:pPr>
              <w:pStyle w:val="16"/>
            </w:pPr>
          </w:p>
        </w:tc>
        <w:tc>
          <w:tcPr>
            <w:tcW w:w="2551"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48.93</w:t>
            </w:r>
          </w:p>
        </w:tc>
        <w:tc>
          <w:tcPr>
            <w:tcW w:w="2551" w:type="dxa"/>
            <w:vAlign w:val="center"/>
          </w:tcPr>
          <w:p>
            <w:pPr>
              <w:pStyle w:val="16"/>
            </w:pPr>
            <w:r>
              <w:t>48.93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48.92</w:t>
            </w:r>
          </w:p>
        </w:tc>
        <w:tc>
          <w:tcPr>
            <w:tcW w:w="2551" w:type="dxa"/>
            <w:vAlign w:val="center"/>
          </w:tcPr>
          <w:p>
            <w:pPr>
              <w:pStyle w:val="16"/>
            </w:pPr>
            <w:r>
              <w:t>48.92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14.35</w:t>
            </w:r>
          </w:p>
        </w:tc>
        <w:tc>
          <w:tcPr>
            <w:tcW w:w="2551" w:type="dxa"/>
            <w:vAlign w:val="center"/>
          </w:tcPr>
          <w:p>
            <w:pPr>
              <w:pStyle w:val="20"/>
            </w:pPr>
          </w:p>
        </w:tc>
        <w:tc>
          <w:tcPr>
            <w:tcW w:w="2551" w:type="dxa"/>
            <w:vAlign w:val="center"/>
          </w:tcPr>
          <w:p>
            <w:pPr>
              <w:pStyle w:val="20"/>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14.35</w:t>
            </w:r>
          </w:p>
        </w:tc>
        <w:tc>
          <w:tcPr>
            <w:tcW w:w="2551" w:type="dxa"/>
            <w:vAlign w:val="center"/>
          </w:tcPr>
          <w:p>
            <w:pPr>
              <w:pStyle w:val="16"/>
            </w:pPr>
          </w:p>
        </w:tc>
        <w:tc>
          <w:tcPr>
            <w:tcW w:w="2551" w:type="dxa"/>
            <w:vAlign w:val="center"/>
          </w:tcPr>
          <w:p>
            <w:pPr>
              <w:pStyle w:val="16"/>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14.35</w:t>
            </w:r>
          </w:p>
        </w:tc>
        <w:tc>
          <w:tcPr>
            <w:tcW w:w="2551" w:type="dxa"/>
            <w:vAlign w:val="center"/>
          </w:tcPr>
          <w:p>
            <w:pPr>
              <w:pStyle w:val="16"/>
            </w:pPr>
          </w:p>
        </w:tc>
        <w:tc>
          <w:tcPr>
            <w:tcW w:w="2551" w:type="dxa"/>
            <w:vAlign w:val="center"/>
          </w:tcPr>
          <w:p>
            <w:pPr>
              <w:pStyle w:val="16"/>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14.35</w:t>
            </w:r>
          </w:p>
        </w:tc>
        <w:tc>
          <w:tcPr>
            <w:tcW w:w="2551" w:type="dxa"/>
            <w:vAlign w:val="center"/>
          </w:tcPr>
          <w:p>
            <w:pPr>
              <w:pStyle w:val="16"/>
            </w:pPr>
          </w:p>
        </w:tc>
        <w:tc>
          <w:tcPr>
            <w:tcW w:w="2551" w:type="dxa"/>
            <w:vAlign w:val="center"/>
          </w:tcPr>
          <w:p>
            <w:pPr>
              <w:pStyle w:val="16"/>
            </w:pPr>
            <w:r>
              <w:t>14.35</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421廊坊市广阳区档案馆</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廊坊市广阳区档案馆2023年部门预算信息公开情况说明</w:t>
      </w:r>
    </w:p>
    <w:p>
      <w:pPr>
        <w:jc w:val="center"/>
      </w:pPr>
      <w:r>
        <w:rPr>
          <w:rFonts w:ascii="方正小标宋_GBK" w:hAnsi="方正小标宋_GBK" w:eastAsia="方正小标宋_GBK" w:cs="方正小标宋_GBK"/>
          <w:color w:val="000000"/>
          <w:sz w:val="44"/>
        </w:rPr>
        <w:t>廊坊市广阳区档案馆2023年部门预算信息公开情况说明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预算法》、《地方预决算公开操作规程》和《关于进一步推进预算公开工作的实施意见》规定，现将廊坊市广阳区档案馆2023年部门预</w:t>
      </w:r>
      <w:bookmarkStart w:id="36" w:name="_GoBack"/>
      <w:bookmarkEnd w:id="36"/>
      <w:r>
        <w:rPr>
          <w:rFonts w:eastAsia="方正仿宋_GBK"/>
          <w:color w:val="000000"/>
          <w:sz w:val="28"/>
        </w:rPr>
        <w:t>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（一）贯彻执行国家和本区有关档案管理的法律、法规、规章。 </w:t>
      </w:r>
    </w:p>
    <w:p>
      <w:pPr>
        <w:pStyle w:val="22"/>
      </w:pPr>
      <w:r>
        <w:t>（二）集中统一管理区直机关各历史时期的档案资料，保守党和国家机密，维护档案完整，确保档案资料安全。 </w:t>
      </w:r>
    </w:p>
    <w:p>
      <w:pPr>
        <w:pStyle w:val="22"/>
      </w:pPr>
      <w:r>
        <w:t>（三）接收区委、区人大、区政府、区政协、区纪委监委、区直各机关单位及乡镇街道办事处应进馆的档案资料。 </w:t>
      </w:r>
    </w:p>
    <w:p>
      <w:pPr>
        <w:pStyle w:val="22"/>
      </w:pPr>
      <w:r>
        <w:t>（四）征集散存在社会上对国家和社会有保存价值的珍贵档案资料。 </w:t>
      </w:r>
    </w:p>
    <w:p>
      <w:pPr>
        <w:pStyle w:val="22"/>
      </w:pPr>
      <w:r>
        <w:t>（五）负责馆藏档案资料的整理、编目、鉴定、统计和技术保护工作。</w:t>
      </w:r>
    </w:p>
    <w:p>
      <w:pPr>
        <w:pStyle w:val="22"/>
      </w:pPr>
      <w:r>
        <w:t>（六）依法开放档案，为党和政府及社会各方面提供利用服务。 </w:t>
      </w:r>
    </w:p>
    <w:p>
      <w:pPr>
        <w:pStyle w:val="22"/>
      </w:pPr>
      <w:r>
        <w:t>（七）承担政府公开信息的收集、管理和集中查阅工作。 </w:t>
      </w:r>
    </w:p>
    <w:p>
      <w:pPr>
        <w:pStyle w:val="22"/>
      </w:pPr>
      <w:r>
        <w:t>（八）开发档案信息资源，开展档案史料编研出版、展览陈列和社会教育活动。 </w:t>
      </w:r>
    </w:p>
    <w:p>
      <w:pPr>
        <w:pStyle w:val="22"/>
      </w:pPr>
      <w:r>
        <w:t>（九）运用现代化技术手段，开展馆藏档案信息化建设。 </w:t>
      </w:r>
    </w:p>
    <w:p>
      <w:pPr>
        <w:pStyle w:val="22"/>
      </w:pPr>
      <w:r>
        <w:t>（十）完成区委交办的其他任务。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廊坊市广阳区档案馆本级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按照预算管理有关规定，目前我区部门预算的编制实行综合预算管理，即全部收入和支出都反映在预算中。廊坊市广阳区档案馆机关及所属事业单位的收支包含在部门预算中。</w:t>
      </w:r>
    </w:p>
    <w:p>
      <w:pPr>
        <w:pStyle w:val="23"/>
      </w:pPr>
      <w:r>
        <w:t>1、收入说明</w:t>
      </w:r>
    </w:p>
    <w:p>
      <w:pPr>
        <w:pStyle w:val="23"/>
      </w:pPr>
      <w:r>
        <w:t>反映本部门当年全部收入。2023年预算收入222.96万元，其中：一般公共预算收入208.61万元，基金预算收入0万元，财政专户核拨收入0万元，其他来源收入0万元，上年结转14.35万元。</w:t>
      </w:r>
    </w:p>
    <w:p>
      <w:pPr>
        <w:pStyle w:val="23"/>
      </w:pPr>
      <w:r>
        <w:t>2、支出说明</w:t>
      </w:r>
    </w:p>
    <w:p>
      <w:pPr>
        <w:pStyle w:val="23"/>
      </w:pPr>
      <w:r>
        <w:t>收支预算总表支出栏、基本支出表、项目支出表按经济分类和支出功能分类科目编制，反映廊坊市广阳区档案馆2023年度部门预算中支出预算的总体情况。2023年支出预算222.96万元，其中：基本支出208.61万元，包括人员经费179.38万元和日常公用经费29.23万元；项目支出14.35万元，全部为本级支出，主要为项目国有企业退休人员社会化管理补助资金支出项目。</w:t>
      </w:r>
    </w:p>
    <w:p>
      <w:pPr>
        <w:pStyle w:val="23"/>
      </w:pPr>
      <w:r>
        <w:t>3、比上年增减情况</w:t>
      </w:r>
    </w:p>
    <w:p>
      <w:pPr>
        <w:pStyle w:val="23"/>
      </w:pPr>
      <w:r>
        <w:t>2023年预算收支安排222.96万元，较2022年预算增加16.42万元，其中：基本支出增加12.07万元，增加原因主要为人员经费支出增加；项目支出增加4.35万元，增加原因主要为项目国有企业退休人员社会化管理补助资金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2023年，我部门运行经费共计安排29.23万元，主要用于办公区的日常维修、办公费用、办公用房水电费、办公用房取暖费、邮电费、差旅费、办公用房物业管理费、公务用车运行维护费等日常运行支出。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1、围绕区委、区政府中心工作推进工作开展。</w:t>
      </w:r>
    </w:p>
    <w:p>
      <w:pPr>
        <w:pStyle w:val="26"/>
      </w:pPr>
      <w:r>
        <w:t>按照区委、区政府的统一部署，在完成全区重点中心工作的同时，充分发挥档案部门的职能作用，为全区各项工作提供第一手的档案资料。丰富馆藏内容，满足工作考察、历史研究、编史修志等方面的需求，提高档案利用价值。</w:t>
      </w:r>
    </w:p>
    <w:p>
      <w:pPr>
        <w:pStyle w:val="26"/>
      </w:pPr>
      <w:r>
        <w:t>2、继续做好档案接收工作。</w:t>
      </w:r>
    </w:p>
    <w:p>
      <w:pPr>
        <w:pStyle w:val="26"/>
      </w:pPr>
      <w:r>
        <w:t>促进档案保管环境和保障条件进一步优化，确保机关和档案绝对安全。我们将对已接收立档单位的档案进行检查，查看归档范围、保管年限是否准确等。以确保将来接收进馆档案的质量，更好的为各立档单位以后查阅档案提供更好的服务。</w:t>
      </w:r>
    </w:p>
    <w:p>
      <w:pPr>
        <w:pStyle w:val="26"/>
      </w:pPr>
      <w:r>
        <w:t>3、维护档案馆库房设备以及机关设施，保障正常运转。</w:t>
      </w:r>
    </w:p>
    <w:p>
      <w:pPr>
        <w:pStyle w:val="26"/>
      </w:pPr>
    </w:p>
    <w:p>
      <w:pPr>
        <w:spacing w:line="500" w:lineRule="exact"/>
        <w:ind w:firstLine="560"/>
      </w:pPr>
      <w:r>
        <w:rPr>
          <w:rFonts w:eastAsia="方正仿宋_GBK"/>
          <w:color w:val="000000"/>
          <w:sz w:val="28"/>
        </w:rPr>
        <w:t>（二）分项绩效目标</w:t>
      </w:r>
    </w:p>
    <w:p>
      <w:pPr>
        <w:pStyle w:val="27"/>
      </w:pPr>
      <w:r>
        <w:t>1、丰富馆藏内容，提高档案利用价值。</w:t>
      </w:r>
    </w:p>
    <w:p>
      <w:pPr>
        <w:pStyle w:val="27"/>
      </w:pPr>
      <w:r>
        <w:t>绩效目标：丰富馆藏内容，满足工作考察、历史研究、编史修志等方面的需求，提高档案利用价值。</w:t>
      </w:r>
    </w:p>
    <w:p>
      <w:pPr>
        <w:pStyle w:val="27"/>
      </w:pPr>
      <w:r>
        <w:t>绩效指标:</w:t>
      </w:r>
    </w:p>
    <w:p>
      <w:pPr>
        <w:pStyle w:val="27"/>
      </w:pPr>
      <w:r>
        <w:t>数量指标：文件级目录数据完成量收储档案≥2000册</w:t>
      </w:r>
    </w:p>
    <w:p>
      <w:pPr>
        <w:pStyle w:val="27"/>
      </w:pPr>
      <w:r>
        <w:t>质量指标：档案整理、移交、接收、管理、保存的比率≥90%</w:t>
      </w:r>
    </w:p>
    <w:p>
      <w:pPr>
        <w:pStyle w:val="27"/>
      </w:pPr>
      <w:r>
        <w:t>时效指标：全全年进行档案收储</w:t>
      </w:r>
    </w:p>
    <w:p>
      <w:pPr>
        <w:pStyle w:val="27"/>
      </w:pPr>
      <w:r>
        <w:t>社会效益：规范档案管理，服务社会发展</w:t>
      </w:r>
    </w:p>
    <w:p>
      <w:pPr>
        <w:pStyle w:val="27"/>
      </w:pPr>
      <w:r>
        <w:t>可持续影响：持续提升档案管理现代化服务水平。</w:t>
      </w:r>
    </w:p>
    <w:p>
      <w:pPr>
        <w:pStyle w:val="27"/>
      </w:pPr>
      <w:r>
        <w:t>2、档案保管环境和保障条件进一步优化，确保机关和档案绝对安全。</w:t>
      </w:r>
    </w:p>
    <w:p>
      <w:pPr>
        <w:pStyle w:val="27"/>
      </w:pPr>
      <w:r>
        <w:t>绩效目标：定期调控和记录库房温室度，库房建设符合国家标准，分区合理，设备不出现故障，档案保管环境和保障条件进一步优化，维护档案状况，确保机关和档案绝对安全。</w:t>
      </w:r>
    </w:p>
    <w:p>
      <w:pPr>
        <w:pStyle w:val="27"/>
      </w:pPr>
      <w:r>
        <w:t>绩效指标:</w:t>
      </w:r>
    </w:p>
    <w:p>
      <w:pPr>
        <w:pStyle w:val="27"/>
      </w:pPr>
      <w:r>
        <w:t>数量指标：档案资料完好无破损率≥98%</w:t>
      </w:r>
    </w:p>
    <w:p>
      <w:pPr>
        <w:pStyle w:val="27"/>
      </w:pPr>
      <w:r>
        <w:t>质量指标：档案库房环境建设符合国家标准率≥80%</w:t>
      </w:r>
    </w:p>
    <w:p>
      <w:pPr>
        <w:pStyle w:val="27"/>
      </w:pPr>
      <w:r>
        <w:t>时效指标：全年进行档案管理维护，提升社会效益水平</w:t>
      </w:r>
    </w:p>
    <w:p>
      <w:pPr>
        <w:pStyle w:val="27"/>
      </w:pPr>
      <w:r>
        <w:t>社会效益：提高档案馆室建设水平,方便有关单位和档案管理受众查阅档案，提供精准信息资料</w:t>
      </w:r>
    </w:p>
    <w:p>
      <w:pPr>
        <w:pStyle w:val="27"/>
      </w:pPr>
      <w:r>
        <w:t>3、维护档案馆库房设备以及机关设施，保障正常运转。</w:t>
      </w:r>
    </w:p>
    <w:p>
      <w:pPr>
        <w:pStyle w:val="27"/>
      </w:pPr>
      <w:r>
        <w:t>绩效目标：通过建设、管理和维护维护档案馆库房设备以及机关设施，有效增进档案管理规范化建设水平。建立优质高效的档案管理信息化平台。</w:t>
      </w:r>
    </w:p>
    <w:p>
      <w:pPr>
        <w:pStyle w:val="27"/>
      </w:pPr>
      <w:r>
        <w:t>绩效指标:</w:t>
      </w:r>
    </w:p>
    <w:p>
      <w:pPr>
        <w:pStyle w:val="27"/>
      </w:pPr>
      <w:r>
        <w:t>数量指标：保障档案馆设备正常运转率≥95%</w:t>
      </w:r>
    </w:p>
    <w:p>
      <w:pPr>
        <w:pStyle w:val="27"/>
      </w:pPr>
      <w:r>
        <w:t>质量指标：保障机关工作正常高效运转率≥100%。</w:t>
      </w:r>
    </w:p>
    <w:p>
      <w:pPr>
        <w:pStyle w:val="27"/>
      </w:pPr>
      <w:r>
        <w:t>时效指标：全年保持高效快捷工作维护和运转</w:t>
      </w:r>
    </w:p>
    <w:p>
      <w:pPr>
        <w:pStyle w:val="27"/>
      </w:pPr>
      <w:r>
        <w:t>社会效益：提供一站式档案管理和查询服务，落实受问责任和负责到底工作责任制，提供便捷档案管理服务</w:t>
      </w:r>
    </w:p>
    <w:p>
      <w:pPr>
        <w:pStyle w:val="27"/>
      </w:pPr>
      <w:r>
        <w:t>可持续影响：持续向全区机关和国企退休职工提供档案管理服务</w:t>
      </w:r>
    </w:p>
    <w:p>
      <w:pPr>
        <w:spacing w:line="500" w:lineRule="exact"/>
        <w:ind w:firstLine="560"/>
      </w:pPr>
      <w:r>
        <w:rPr>
          <w:rFonts w:eastAsia="方正仿宋_GBK"/>
          <w:color w:val="000000"/>
          <w:sz w:val="28"/>
        </w:rPr>
        <w:t>（三）工作保障措施</w:t>
      </w:r>
    </w:p>
    <w:p>
      <w:pPr>
        <w:pStyle w:val="28"/>
      </w:pPr>
      <w:r>
        <w:t xml:space="preserve">为进一步规范财务活动行为，有效防范财务风险，确保资金使用安全、规范，提高我部门 （单位）整体绩效目标，在原有的财务制度的基础上进行优化完善，规范了各项管理。具体措施如下： </w:t>
      </w:r>
    </w:p>
    <w:p>
      <w:pPr>
        <w:pStyle w:val="28"/>
      </w:pPr>
      <w:r>
        <w:t>1、完善制度建设</w:t>
      </w:r>
    </w:p>
    <w:p>
      <w:pPr>
        <w:pStyle w:val="28"/>
      </w:pPr>
      <w: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28"/>
      </w:pPr>
      <w:r>
        <w:t>2、加强支出管理</w:t>
      </w:r>
    </w:p>
    <w:p>
      <w:pPr>
        <w:pStyle w:val="28"/>
      </w:pPr>
      <w:r>
        <w:t xml:space="preserve">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部门按规定拨付资金。同时，财政局会同主管部门不定期监督检查项目资金实施进度和资金使用情况，每年抽样进行绩效评估，对查出的问题及时提出处理意见和改进措施。 </w:t>
      </w:r>
    </w:p>
    <w:p>
      <w:pPr>
        <w:pStyle w:val="28"/>
      </w:pPr>
      <w:r>
        <w:t>3、加强绩效运行监控</w:t>
      </w:r>
    </w:p>
    <w:p>
      <w:pPr>
        <w:pStyle w:val="28"/>
      </w:pPr>
      <w:r>
        <w:t xml:space="preserve">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部门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 </w:t>
      </w:r>
    </w:p>
    <w:p>
      <w:pPr>
        <w:pStyle w:val="28"/>
      </w:pPr>
      <w:r>
        <w:t>4、做好绩效自评</w:t>
      </w:r>
    </w:p>
    <w:p>
      <w:pPr>
        <w:pStyle w:val="28"/>
      </w:pPr>
      <w:r>
        <w:t xml:space="preserve">依照《广阳区财政局关于开展部门整体绩效自评》的通知，我单位每年年底对本单位执行财务纪律及有关政策情况和内部财务管理制度的建立健全、执行情况开展认真自查，及时纠正。 </w:t>
      </w:r>
    </w:p>
    <w:p>
      <w:pPr>
        <w:pStyle w:val="28"/>
      </w:pPr>
      <w:r>
        <w:t>5、规范财务资产管理</w:t>
      </w:r>
    </w:p>
    <w:p>
      <w:pPr>
        <w:pStyle w:val="28"/>
      </w:pPr>
      <w:r>
        <w:t xml:space="preserve">为更加规范固定资产的管理，我单位财务人员对机关所有资产进行统一登记，对没有使用价值的固定资产进行报废处理，改善资产结构，优化资源配置，减少无效资产占用，提高资产使用效率。 </w:t>
      </w:r>
    </w:p>
    <w:p>
      <w:pPr>
        <w:pStyle w:val="28"/>
      </w:pPr>
      <w:r>
        <w:t>6、加强内部监督</w:t>
      </w:r>
    </w:p>
    <w:p>
      <w:pPr>
        <w:pStyle w:val="28"/>
      </w:pPr>
      <w:r>
        <w:t xml:space="preserve">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 </w:t>
      </w:r>
    </w:p>
    <w:p>
      <w:pPr>
        <w:pStyle w:val="28"/>
      </w:pPr>
      <w:r>
        <w:t>7、加强宣传培训调研</w:t>
      </w:r>
    </w:p>
    <w:p>
      <w:pPr>
        <w:pStyle w:val="28"/>
      </w:pPr>
      <w: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1275"/>
        <w:gridCol w:w="1560"/>
        <w:gridCol w:w="4393"/>
        <w:gridCol w:w="2554"/>
        <w:gridCol w:w="991"/>
        <w:gridCol w:w="851"/>
        <w:gridCol w:w="851"/>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43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52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481"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861"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908"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5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430"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26" w:type="pct"/>
            <w:vMerge w:val="continue"/>
            <w:shd w:val="clear" w:color="auto" w:fill="auto"/>
            <w:vAlign w:val="center"/>
          </w:tcPr>
          <w:p>
            <w:pPr>
              <w:rPr>
                <w:rFonts w:ascii="方正书宋_GBK" w:hAnsi="宋体" w:eastAsia="方正书宋_GBK" w:cs="宋体"/>
                <w:b/>
                <w:bCs/>
                <w:color w:val="000000"/>
              </w:rPr>
            </w:pPr>
          </w:p>
        </w:tc>
        <w:tc>
          <w:tcPr>
            <w:tcW w:w="1481" w:type="pct"/>
            <w:vMerge w:val="continue"/>
            <w:shd w:val="clear" w:color="auto" w:fill="auto"/>
            <w:vAlign w:val="center"/>
          </w:tcPr>
          <w:p>
            <w:pPr>
              <w:rPr>
                <w:rFonts w:ascii="方正书宋_GBK" w:hAnsi="宋体" w:eastAsia="方正书宋_GBK" w:cs="宋体"/>
                <w:b/>
                <w:bCs/>
                <w:color w:val="000000"/>
              </w:rPr>
            </w:pPr>
          </w:p>
        </w:tc>
        <w:tc>
          <w:tcPr>
            <w:tcW w:w="861" w:type="pct"/>
            <w:vMerge w:val="continue"/>
            <w:shd w:val="clear" w:color="auto" w:fill="auto"/>
            <w:vAlign w:val="center"/>
          </w:tcPr>
          <w:p>
            <w:pPr>
              <w:rPr>
                <w:rFonts w:ascii="方正书宋_GBK" w:hAnsi="宋体" w:eastAsia="方正书宋_GBK" w:cs="宋体"/>
                <w:b/>
                <w:bCs/>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50"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526"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档案移交、接收、整理、保存数量</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每少完成100册，扣权重分值10%</w:t>
            </w:r>
          </w:p>
        </w:tc>
        <w:tc>
          <w:tcPr>
            <w:tcW w:w="86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文件级目录数据</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2000</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册</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526"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档案资料完好无破损率</w:t>
            </w:r>
          </w:p>
        </w:tc>
        <w:tc>
          <w:tcPr>
            <w:tcW w:w="1481"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破损率每下降5%，扣权重10%</w:t>
            </w:r>
          </w:p>
        </w:tc>
        <w:tc>
          <w:tcPr>
            <w:tcW w:w="86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档案资料完好无破损率</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98</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526" w:type="pct"/>
            <w:vMerge w:val="restar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保障档案馆内设备正常运转率</w:t>
            </w:r>
          </w:p>
        </w:tc>
        <w:tc>
          <w:tcPr>
            <w:tcW w:w="1481" w:type="pct"/>
            <w:vMerge w:val="restar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运转率每下降5%，扣权重10%</w:t>
            </w:r>
          </w:p>
        </w:tc>
        <w:tc>
          <w:tcPr>
            <w:tcW w:w="861"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保障档案馆内设备正常运转</w:t>
            </w:r>
          </w:p>
        </w:tc>
        <w:tc>
          <w:tcPr>
            <w:tcW w:w="334"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287"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95</w:t>
            </w:r>
          </w:p>
        </w:tc>
        <w:tc>
          <w:tcPr>
            <w:tcW w:w="287"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550"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vMerge w:val="continue"/>
            <w:shd w:val="clear" w:color="auto" w:fill="auto"/>
            <w:vAlign w:val="center"/>
          </w:tcPr>
          <w:p>
            <w:pPr>
              <w:rPr>
                <w:rFonts w:ascii="方正书宋_GBK" w:hAnsi="宋体" w:eastAsia="方正书宋_GBK" w:cs="宋体"/>
                <w:color w:val="000000"/>
              </w:rPr>
            </w:pPr>
          </w:p>
        </w:tc>
        <w:tc>
          <w:tcPr>
            <w:tcW w:w="526" w:type="pct"/>
            <w:vMerge w:val="continue"/>
            <w:shd w:val="clear" w:color="auto" w:fill="auto"/>
            <w:vAlign w:val="center"/>
          </w:tcPr>
          <w:p>
            <w:pPr>
              <w:rPr>
                <w:rFonts w:ascii="仿宋_GB2312" w:hAnsi="宋体" w:eastAsia="仿宋_GB2312" w:cs="宋体"/>
                <w:color w:val="000000"/>
                <w:sz w:val="22"/>
                <w:szCs w:val="22"/>
              </w:rPr>
            </w:pPr>
          </w:p>
        </w:tc>
        <w:tc>
          <w:tcPr>
            <w:tcW w:w="1481" w:type="pct"/>
            <w:vMerge w:val="continue"/>
            <w:shd w:val="clear" w:color="auto" w:fill="auto"/>
            <w:vAlign w:val="center"/>
          </w:tcPr>
          <w:p>
            <w:pPr>
              <w:rPr>
                <w:rFonts w:ascii="仿宋_GB2312" w:hAnsi="宋体" w:eastAsia="仿宋_GB2312" w:cs="宋体"/>
                <w:color w:val="000000"/>
                <w:sz w:val="22"/>
                <w:szCs w:val="22"/>
              </w:rPr>
            </w:pPr>
          </w:p>
        </w:tc>
        <w:tc>
          <w:tcPr>
            <w:tcW w:w="861" w:type="pct"/>
            <w:vMerge w:val="continue"/>
            <w:shd w:val="clear" w:color="auto" w:fill="auto"/>
            <w:vAlign w:val="center"/>
          </w:tcPr>
          <w:p>
            <w:pPr>
              <w:rPr>
                <w:rFonts w:ascii="仿宋_GB2312" w:hAnsi="宋体" w:eastAsia="仿宋_GB2312" w:cs="宋体"/>
                <w:color w:val="000000"/>
                <w:sz w:val="22"/>
                <w:szCs w:val="22"/>
              </w:rPr>
            </w:pPr>
          </w:p>
        </w:tc>
        <w:tc>
          <w:tcPr>
            <w:tcW w:w="334" w:type="pct"/>
            <w:vMerge w:val="continue"/>
            <w:shd w:val="clear" w:color="auto" w:fill="auto"/>
            <w:vAlign w:val="center"/>
          </w:tcPr>
          <w:p>
            <w:pPr>
              <w:rPr>
                <w:rFonts w:ascii="仿宋_GB2312" w:hAnsi="宋体" w:eastAsia="仿宋_GB2312" w:cs="宋体"/>
                <w:color w:val="000000"/>
                <w:sz w:val="22"/>
                <w:szCs w:val="22"/>
              </w:rPr>
            </w:pPr>
          </w:p>
        </w:tc>
        <w:tc>
          <w:tcPr>
            <w:tcW w:w="287" w:type="pct"/>
            <w:vMerge w:val="continue"/>
            <w:shd w:val="clear" w:color="auto" w:fill="auto"/>
            <w:vAlign w:val="center"/>
          </w:tcPr>
          <w:p>
            <w:pPr>
              <w:rPr>
                <w:rFonts w:ascii="仿宋_GB2312" w:hAnsi="宋体" w:eastAsia="仿宋_GB2312" w:cs="宋体"/>
                <w:color w:val="000000"/>
                <w:sz w:val="22"/>
                <w:szCs w:val="22"/>
              </w:rPr>
            </w:pPr>
          </w:p>
        </w:tc>
        <w:tc>
          <w:tcPr>
            <w:tcW w:w="287" w:type="pct"/>
            <w:vMerge w:val="continue"/>
            <w:shd w:val="clear" w:color="auto" w:fill="auto"/>
            <w:vAlign w:val="center"/>
          </w:tcPr>
          <w:p>
            <w:pPr>
              <w:rPr>
                <w:rFonts w:ascii="仿宋_GB2312" w:hAnsi="宋体" w:eastAsia="仿宋_GB2312" w:cs="宋体"/>
                <w:color w:val="000000"/>
                <w:sz w:val="22"/>
                <w:szCs w:val="22"/>
              </w:rPr>
            </w:pPr>
          </w:p>
        </w:tc>
        <w:tc>
          <w:tcPr>
            <w:tcW w:w="550" w:type="pct"/>
            <w:vMerge w:val="continue"/>
            <w:shd w:val="clear" w:color="auto" w:fill="auto"/>
            <w:vAlign w:val="center"/>
          </w:tcPr>
          <w:p>
            <w:pPr>
              <w:rPr>
                <w:rFonts w:ascii="仿宋_GB2312" w:hAnsi="宋体" w:eastAsia="仿宋_GB2312"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41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526"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档案移交、接收、整理、保存的合格率</w:t>
            </w:r>
          </w:p>
        </w:tc>
        <w:tc>
          <w:tcPr>
            <w:tcW w:w="1481"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合格率每下降5%，扣权重10%</w:t>
            </w:r>
          </w:p>
        </w:tc>
        <w:tc>
          <w:tcPr>
            <w:tcW w:w="861"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档案移交、接收、整理、保存合格率</w:t>
            </w:r>
          </w:p>
        </w:tc>
        <w:tc>
          <w:tcPr>
            <w:tcW w:w="334"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287"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90</w:t>
            </w:r>
          </w:p>
        </w:tc>
        <w:tc>
          <w:tcPr>
            <w:tcW w:w="287"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550"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vMerge w:val="continue"/>
            <w:shd w:val="clear" w:color="auto" w:fill="auto"/>
            <w:vAlign w:val="center"/>
          </w:tcPr>
          <w:p>
            <w:pPr>
              <w:rPr>
                <w:rFonts w:ascii="方正书宋_GBK" w:hAnsi="宋体" w:eastAsia="方正书宋_GBK" w:cs="宋体"/>
                <w:color w:val="000000"/>
              </w:rPr>
            </w:pPr>
          </w:p>
        </w:tc>
        <w:tc>
          <w:tcPr>
            <w:tcW w:w="526" w:type="pct"/>
            <w:vMerge w:val="continue"/>
            <w:shd w:val="clear" w:color="auto" w:fill="auto"/>
            <w:vAlign w:val="center"/>
          </w:tcPr>
          <w:p>
            <w:pPr>
              <w:rPr>
                <w:rFonts w:ascii="仿宋_GB2312" w:hAnsi="宋体" w:eastAsia="仿宋_GB2312" w:cs="宋体"/>
                <w:color w:val="000000"/>
                <w:sz w:val="22"/>
                <w:szCs w:val="22"/>
              </w:rPr>
            </w:pPr>
          </w:p>
        </w:tc>
        <w:tc>
          <w:tcPr>
            <w:tcW w:w="1481" w:type="pct"/>
            <w:vMerge w:val="continue"/>
            <w:shd w:val="clear" w:color="auto" w:fill="auto"/>
            <w:vAlign w:val="center"/>
          </w:tcPr>
          <w:p>
            <w:pPr>
              <w:rPr>
                <w:rFonts w:ascii="仿宋_GB2312" w:hAnsi="宋体" w:eastAsia="仿宋_GB2312" w:cs="宋体"/>
                <w:color w:val="000000"/>
                <w:sz w:val="22"/>
                <w:szCs w:val="22"/>
              </w:rPr>
            </w:pPr>
          </w:p>
        </w:tc>
        <w:tc>
          <w:tcPr>
            <w:tcW w:w="861" w:type="pct"/>
            <w:vMerge w:val="continue"/>
            <w:shd w:val="clear" w:color="auto" w:fill="auto"/>
            <w:vAlign w:val="center"/>
          </w:tcPr>
          <w:p>
            <w:pPr>
              <w:rPr>
                <w:rFonts w:ascii="仿宋_GB2312" w:hAnsi="宋体" w:eastAsia="仿宋_GB2312" w:cs="宋体"/>
                <w:color w:val="000000"/>
                <w:sz w:val="22"/>
                <w:szCs w:val="22"/>
              </w:rPr>
            </w:pPr>
          </w:p>
        </w:tc>
        <w:tc>
          <w:tcPr>
            <w:tcW w:w="334" w:type="pct"/>
            <w:vMerge w:val="continue"/>
            <w:shd w:val="clear" w:color="auto" w:fill="auto"/>
            <w:vAlign w:val="center"/>
          </w:tcPr>
          <w:p>
            <w:pPr>
              <w:rPr>
                <w:rFonts w:ascii="仿宋_GB2312" w:hAnsi="宋体" w:eastAsia="仿宋_GB2312" w:cs="宋体"/>
                <w:color w:val="000000"/>
                <w:sz w:val="22"/>
                <w:szCs w:val="22"/>
              </w:rPr>
            </w:pPr>
          </w:p>
        </w:tc>
        <w:tc>
          <w:tcPr>
            <w:tcW w:w="287" w:type="pct"/>
            <w:vMerge w:val="continue"/>
            <w:shd w:val="clear" w:color="auto" w:fill="auto"/>
            <w:vAlign w:val="center"/>
          </w:tcPr>
          <w:p>
            <w:pPr>
              <w:rPr>
                <w:rFonts w:ascii="仿宋_GB2312" w:hAnsi="宋体" w:eastAsia="仿宋_GB2312" w:cs="宋体"/>
                <w:color w:val="000000"/>
                <w:sz w:val="22"/>
                <w:szCs w:val="22"/>
              </w:rPr>
            </w:pPr>
          </w:p>
        </w:tc>
        <w:tc>
          <w:tcPr>
            <w:tcW w:w="287" w:type="pct"/>
            <w:vMerge w:val="continue"/>
            <w:shd w:val="clear" w:color="auto" w:fill="auto"/>
            <w:vAlign w:val="center"/>
          </w:tcPr>
          <w:p>
            <w:pPr>
              <w:rPr>
                <w:rFonts w:ascii="仿宋_GB2312" w:hAnsi="宋体" w:eastAsia="仿宋_GB2312" w:cs="宋体"/>
                <w:color w:val="000000"/>
                <w:sz w:val="22"/>
                <w:szCs w:val="22"/>
              </w:rPr>
            </w:pPr>
          </w:p>
        </w:tc>
        <w:tc>
          <w:tcPr>
            <w:tcW w:w="550" w:type="pct"/>
            <w:vMerge w:val="continue"/>
            <w:shd w:val="clear" w:color="auto" w:fill="auto"/>
            <w:vAlign w:val="center"/>
          </w:tcPr>
          <w:p>
            <w:pPr>
              <w:rPr>
                <w:rFonts w:ascii="仿宋_GB2312" w:hAnsi="宋体" w:eastAsia="仿宋_GB2312"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41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526" w:type="pct"/>
            <w:vMerge w:val="restar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档案库房环境建设符合国家标准率</w:t>
            </w:r>
          </w:p>
        </w:tc>
        <w:tc>
          <w:tcPr>
            <w:tcW w:w="1481" w:type="pct"/>
            <w:vMerge w:val="restar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达到标准得满分，否则不得分</w:t>
            </w:r>
          </w:p>
        </w:tc>
        <w:tc>
          <w:tcPr>
            <w:tcW w:w="861"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档案库房环境建设符合国家标准率</w:t>
            </w:r>
          </w:p>
        </w:tc>
        <w:tc>
          <w:tcPr>
            <w:tcW w:w="334"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287"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80</w:t>
            </w:r>
          </w:p>
        </w:tc>
        <w:tc>
          <w:tcPr>
            <w:tcW w:w="287"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550" w:type="pct"/>
            <w:vMerge w:val="restar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档案库房环境建设标准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vMerge w:val="continue"/>
            <w:shd w:val="clear" w:color="auto" w:fill="auto"/>
            <w:vAlign w:val="center"/>
          </w:tcPr>
          <w:p>
            <w:pPr>
              <w:rPr>
                <w:rFonts w:ascii="方正书宋_GBK" w:hAnsi="宋体" w:eastAsia="方正书宋_GBK" w:cs="宋体"/>
                <w:color w:val="000000"/>
              </w:rPr>
            </w:pPr>
          </w:p>
        </w:tc>
        <w:tc>
          <w:tcPr>
            <w:tcW w:w="526" w:type="pct"/>
            <w:vMerge w:val="continue"/>
            <w:shd w:val="clear" w:color="auto" w:fill="auto"/>
            <w:vAlign w:val="center"/>
          </w:tcPr>
          <w:p>
            <w:pPr>
              <w:rPr>
                <w:rFonts w:ascii="仿宋_GB2312" w:hAnsi="宋体" w:eastAsia="仿宋_GB2312" w:cs="宋体"/>
                <w:color w:val="000000"/>
                <w:sz w:val="22"/>
                <w:szCs w:val="22"/>
              </w:rPr>
            </w:pPr>
          </w:p>
        </w:tc>
        <w:tc>
          <w:tcPr>
            <w:tcW w:w="1481" w:type="pct"/>
            <w:vMerge w:val="continue"/>
            <w:shd w:val="clear" w:color="auto" w:fill="auto"/>
            <w:vAlign w:val="center"/>
          </w:tcPr>
          <w:p>
            <w:pPr>
              <w:rPr>
                <w:rFonts w:ascii="仿宋_GB2312" w:hAnsi="宋体" w:eastAsia="仿宋_GB2312" w:cs="宋体"/>
                <w:color w:val="000000"/>
                <w:sz w:val="22"/>
                <w:szCs w:val="22"/>
              </w:rPr>
            </w:pPr>
          </w:p>
        </w:tc>
        <w:tc>
          <w:tcPr>
            <w:tcW w:w="861" w:type="pct"/>
            <w:vMerge w:val="continue"/>
            <w:shd w:val="clear" w:color="auto" w:fill="auto"/>
            <w:vAlign w:val="center"/>
          </w:tcPr>
          <w:p>
            <w:pPr>
              <w:rPr>
                <w:rFonts w:ascii="仿宋_GB2312" w:hAnsi="宋体" w:eastAsia="仿宋_GB2312" w:cs="宋体"/>
                <w:color w:val="000000"/>
                <w:sz w:val="22"/>
                <w:szCs w:val="22"/>
              </w:rPr>
            </w:pPr>
          </w:p>
        </w:tc>
        <w:tc>
          <w:tcPr>
            <w:tcW w:w="334" w:type="pct"/>
            <w:vMerge w:val="continue"/>
            <w:shd w:val="clear" w:color="auto" w:fill="auto"/>
            <w:vAlign w:val="center"/>
          </w:tcPr>
          <w:p>
            <w:pPr>
              <w:rPr>
                <w:rFonts w:ascii="仿宋_GB2312" w:hAnsi="宋体" w:eastAsia="仿宋_GB2312" w:cs="宋体"/>
                <w:color w:val="000000"/>
                <w:sz w:val="22"/>
                <w:szCs w:val="22"/>
              </w:rPr>
            </w:pPr>
          </w:p>
        </w:tc>
        <w:tc>
          <w:tcPr>
            <w:tcW w:w="287" w:type="pct"/>
            <w:vMerge w:val="continue"/>
            <w:shd w:val="clear" w:color="auto" w:fill="auto"/>
            <w:vAlign w:val="center"/>
          </w:tcPr>
          <w:p>
            <w:pPr>
              <w:rPr>
                <w:rFonts w:ascii="仿宋_GB2312" w:hAnsi="宋体" w:eastAsia="仿宋_GB2312" w:cs="宋体"/>
                <w:color w:val="000000"/>
                <w:sz w:val="22"/>
                <w:szCs w:val="22"/>
              </w:rPr>
            </w:pPr>
          </w:p>
        </w:tc>
        <w:tc>
          <w:tcPr>
            <w:tcW w:w="287" w:type="pct"/>
            <w:vMerge w:val="continue"/>
            <w:shd w:val="clear" w:color="auto" w:fill="auto"/>
            <w:vAlign w:val="center"/>
          </w:tcPr>
          <w:p>
            <w:pPr>
              <w:rPr>
                <w:rFonts w:ascii="仿宋_GB2312" w:hAnsi="宋体" w:eastAsia="仿宋_GB2312" w:cs="宋体"/>
                <w:color w:val="000000"/>
                <w:sz w:val="22"/>
                <w:szCs w:val="22"/>
              </w:rPr>
            </w:pPr>
          </w:p>
        </w:tc>
        <w:tc>
          <w:tcPr>
            <w:tcW w:w="550" w:type="pct"/>
            <w:vMerge w:val="continue"/>
            <w:shd w:val="clear" w:color="auto" w:fill="auto"/>
            <w:vAlign w:val="center"/>
          </w:tcPr>
          <w:p>
            <w:pPr>
              <w:rPr>
                <w:rFonts w:ascii="仿宋_GB2312" w:hAnsi="宋体" w:eastAsia="仿宋_GB2312"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526"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保障机关工作正常高效运转率</w:t>
            </w:r>
          </w:p>
        </w:tc>
        <w:tc>
          <w:tcPr>
            <w:tcW w:w="1481"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运转率每下降5%，扣权重10%</w:t>
            </w:r>
          </w:p>
        </w:tc>
        <w:tc>
          <w:tcPr>
            <w:tcW w:w="86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保障机关工作正常高效运转率</w:t>
            </w:r>
          </w:p>
        </w:tc>
        <w:tc>
          <w:tcPr>
            <w:tcW w:w="334"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等于</w:t>
            </w:r>
          </w:p>
        </w:tc>
        <w:tc>
          <w:tcPr>
            <w:tcW w:w="287"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100</w:t>
            </w:r>
          </w:p>
        </w:tc>
        <w:tc>
          <w:tcPr>
            <w:tcW w:w="287"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w:t>
            </w:r>
          </w:p>
        </w:tc>
        <w:tc>
          <w:tcPr>
            <w:tcW w:w="550"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526"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按时完成档案整理、移交、接收、管理、保存工作</w:t>
            </w:r>
          </w:p>
        </w:tc>
        <w:tc>
          <w:tcPr>
            <w:tcW w:w="1481"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按时完成得满分，否则不得分</w:t>
            </w:r>
          </w:p>
        </w:tc>
        <w:tc>
          <w:tcPr>
            <w:tcW w:w="861"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完成档案整理、移交、接收、管理、保存工作时间</w:t>
            </w:r>
          </w:p>
        </w:tc>
        <w:tc>
          <w:tcPr>
            <w:tcW w:w="334" w:type="pct"/>
            <w:shd w:val="clear" w:color="auto" w:fill="auto"/>
            <w:tcMar>
              <w:top w:w="15" w:type="dxa"/>
              <w:left w:w="15" w:type="dxa"/>
              <w:bottom w:w="0" w:type="dxa"/>
              <w:right w:w="15" w:type="dxa"/>
            </w:tcMar>
          </w:tcPr>
          <w:p>
            <w:pPr>
              <w:rPr>
                <w:rFonts w:ascii="仿宋_GB2312" w:eastAsia="仿宋_GB2312"/>
                <w:color w:val="000000"/>
                <w:sz w:val="22"/>
                <w:szCs w:val="22"/>
              </w:rPr>
            </w:pPr>
          </w:p>
        </w:tc>
        <w:tc>
          <w:tcPr>
            <w:tcW w:w="287" w:type="pct"/>
            <w:shd w:val="clear" w:color="auto" w:fill="auto"/>
            <w:tcMar>
              <w:top w:w="15" w:type="dxa"/>
              <w:left w:w="15" w:type="dxa"/>
              <w:bottom w:w="0" w:type="dxa"/>
              <w:right w:w="15" w:type="dxa"/>
            </w:tcMar>
          </w:tcPr>
          <w:p>
            <w:pPr>
              <w:rPr>
                <w:rFonts w:ascii="仿宋_GB2312" w:hAnsi="宋体" w:eastAsia="仿宋_GB2312" w:cs="宋体"/>
                <w:color w:val="000000"/>
                <w:sz w:val="22"/>
                <w:szCs w:val="22"/>
              </w:rPr>
            </w:pPr>
            <w:r>
              <w:rPr>
                <w:rFonts w:hint="eastAsia" w:ascii="仿宋_GB2312" w:eastAsia="仿宋_GB2312"/>
                <w:color w:val="000000"/>
                <w:sz w:val="22"/>
                <w:szCs w:val="22"/>
              </w:rPr>
              <w:t>12月底前</w:t>
            </w:r>
          </w:p>
        </w:tc>
        <w:tc>
          <w:tcPr>
            <w:tcW w:w="287" w:type="pct"/>
            <w:shd w:val="clear" w:color="auto" w:fill="auto"/>
            <w:tcMar>
              <w:top w:w="15" w:type="dxa"/>
              <w:left w:w="15" w:type="dxa"/>
              <w:bottom w:w="0" w:type="dxa"/>
              <w:right w:w="15" w:type="dxa"/>
            </w:tcMar>
          </w:tcPr>
          <w:p>
            <w:pPr>
              <w:rPr>
                <w:rFonts w:ascii="仿宋_GB2312" w:eastAsia="仿宋_GB2312"/>
                <w:color w:val="000000"/>
                <w:sz w:val="22"/>
                <w:szCs w:val="22"/>
              </w:rPr>
            </w:pPr>
          </w:p>
        </w:tc>
        <w:tc>
          <w:tcPr>
            <w:tcW w:w="550"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526"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公用经费控制率</w:t>
            </w:r>
          </w:p>
        </w:tc>
        <w:tc>
          <w:tcPr>
            <w:tcW w:w="1481"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1.：“三公”经费实际支出数≤预算安排数，得权重*50%，否则不得分；2.日常公用经费决算数≤日常公用经费调整预算数，得权重*50%，否则不得分</w:t>
            </w:r>
          </w:p>
        </w:tc>
        <w:tc>
          <w:tcPr>
            <w:tcW w:w="861" w:type="pct"/>
            <w:shd w:val="clear" w:color="auto" w:fill="auto"/>
            <w:tcMar>
              <w:top w:w="15" w:type="dxa"/>
              <w:left w:w="15" w:type="dxa"/>
              <w:bottom w:w="0" w:type="dxa"/>
              <w:right w:w="15" w:type="dxa"/>
            </w:tcMar>
          </w:tcPr>
          <w:p>
            <w:pPr>
              <w:rPr>
                <w:rFonts w:ascii="仿宋_GB2312" w:eastAsia="仿宋_GB2312"/>
                <w:color w:val="000000"/>
                <w:sz w:val="22"/>
                <w:szCs w:val="22"/>
              </w:rPr>
            </w:pPr>
            <w:r>
              <w:rPr>
                <w:rFonts w:hint="eastAsia" w:ascii="仿宋_GB2312" w:eastAsia="仿宋_GB2312"/>
                <w:color w:val="000000"/>
                <w:sz w:val="22"/>
                <w:szCs w:val="22"/>
              </w:rPr>
              <w:t>本年实际支出的公用经费总额/预算安排的公用经费总额</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100</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财务支出凭证，银行流水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526"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提升档案服务水平,方便存档单位查阅档案，提供精准信息资料</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完成指标值得满分，否则不得分</w:t>
            </w:r>
          </w:p>
        </w:tc>
        <w:tc>
          <w:tcPr>
            <w:tcW w:w="86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提升档案服务水平,方便存档单位查阅档案，提供精准信息资料</w:t>
            </w:r>
          </w:p>
        </w:tc>
        <w:tc>
          <w:tcPr>
            <w:tcW w:w="334"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p>
        </w:tc>
        <w:tc>
          <w:tcPr>
            <w:tcW w:w="287" w:type="pct"/>
            <w:shd w:val="clear" w:color="auto" w:fill="auto"/>
            <w:tcMar>
              <w:top w:w="15" w:type="dxa"/>
              <w:left w:w="15" w:type="dxa"/>
              <w:bottom w:w="0" w:type="dxa"/>
              <w:right w:w="15" w:type="dxa"/>
            </w:tcMar>
            <w:vAlign w:val="center"/>
          </w:tcPr>
          <w:p>
            <w:pPr>
              <w:rPr>
                <w:rFonts w:ascii="仿宋_GB2312" w:hAnsi="宋体" w:eastAsia="仿宋_GB2312" w:cs="宋体"/>
                <w:color w:val="000000"/>
                <w:sz w:val="22"/>
                <w:szCs w:val="22"/>
              </w:rPr>
            </w:pPr>
            <w:r>
              <w:rPr>
                <w:rFonts w:hint="eastAsia" w:ascii="仿宋_GB2312" w:eastAsia="仿宋_GB2312"/>
                <w:color w:val="000000"/>
                <w:sz w:val="22"/>
                <w:szCs w:val="22"/>
              </w:rPr>
              <w:t>提升</w:t>
            </w:r>
          </w:p>
        </w:tc>
        <w:tc>
          <w:tcPr>
            <w:tcW w:w="287"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p>
        </w:tc>
        <w:tc>
          <w:tcPr>
            <w:tcW w:w="550" w:type="pct"/>
            <w:shd w:val="clear" w:color="auto" w:fill="auto"/>
            <w:tcMar>
              <w:top w:w="15" w:type="dxa"/>
              <w:left w:w="15" w:type="dxa"/>
              <w:bottom w:w="0" w:type="dxa"/>
              <w:right w:w="15" w:type="dxa"/>
            </w:tcMar>
            <w:vAlign w:val="center"/>
          </w:tcPr>
          <w:p>
            <w:pPr>
              <w:rPr>
                <w:rFonts w:ascii="仿宋_GB2312" w:hAnsi="宋体" w:eastAsia="仿宋_GB2312" w:cs="宋体"/>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526"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持续提升档案管理现代化服务水平。</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完成指标值得满分，否则不得分</w:t>
            </w:r>
          </w:p>
        </w:tc>
        <w:tc>
          <w:tcPr>
            <w:tcW w:w="861"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持续提升档案管理现代化服务水平。</w:t>
            </w:r>
          </w:p>
        </w:tc>
        <w:tc>
          <w:tcPr>
            <w:tcW w:w="334" w:type="pct"/>
            <w:shd w:val="clear" w:color="auto" w:fill="auto"/>
            <w:tcMar>
              <w:top w:w="15" w:type="dxa"/>
              <w:left w:w="15" w:type="dxa"/>
              <w:bottom w:w="0" w:type="dxa"/>
              <w:right w:w="15" w:type="dxa"/>
            </w:tcMar>
            <w:vAlign w:val="center"/>
          </w:tcPr>
          <w:p>
            <w:pPr>
              <w:rPr>
                <w:rFonts w:ascii="仿宋_GB2312" w:eastAsia="仿宋_GB2312"/>
                <w:color w:val="000000"/>
                <w:sz w:val="22"/>
                <w:szCs w:val="22"/>
              </w:rPr>
            </w:pPr>
          </w:p>
        </w:tc>
        <w:tc>
          <w:tcPr>
            <w:tcW w:w="287"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2"/>
                <w:szCs w:val="22"/>
              </w:rPr>
            </w:pPr>
            <w:r>
              <w:rPr>
                <w:rFonts w:hint="eastAsia" w:ascii="仿宋_GB2312" w:eastAsia="仿宋_GB2312"/>
                <w:color w:val="000000"/>
                <w:sz w:val="22"/>
                <w:szCs w:val="22"/>
              </w:rPr>
              <w:t>提升</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p>
        </w:tc>
        <w:tc>
          <w:tcPr>
            <w:tcW w:w="550"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2"/>
                <w:szCs w:val="22"/>
              </w:rPr>
            </w:pPr>
            <w:r>
              <w:rPr>
                <w:rFonts w:hint="eastAsia" w:ascii="仿宋_GB2312" w:eastAsia="仿宋_GB2312"/>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430"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526" w:type="pct"/>
            <w:shd w:val="clear" w:color="auto" w:fill="auto"/>
            <w:noWrap/>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服务对象满意度指标</w:t>
            </w:r>
          </w:p>
        </w:tc>
        <w:tc>
          <w:tcPr>
            <w:tcW w:w="1481" w:type="pct"/>
            <w:shd w:val="clear" w:color="auto" w:fill="auto"/>
            <w:noWrap/>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满意度指标每下降5%，扣除权重10%</w:t>
            </w:r>
          </w:p>
        </w:tc>
        <w:tc>
          <w:tcPr>
            <w:tcW w:w="861" w:type="pct"/>
            <w:shd w:val="clear" w:color="auto" w:fill="auto"/>
            <w:noWrap/>
            <w:tcMar>
              <w:top w:w="15" w:type="dxa"/>
              <w:left w:w="15" w:type="dxa"/>
              <w:bottom w:w="0" w:type="dxa"/>
              <w:right w:w="15" w:type="dxa"/>
            </w:tcMar>
            <w:vAlign w:val="center"/>
          </w:tcPr>
          <w:p>
            <w:pPr>
              <w:rPr>
                <w:rFonts w:ascii="仿宋_GB2312" w:eastAsia="仿宋_GB2312"/>
                <w:color w:val="000000"/>
                <w:sz w:val="22"/>
                <w:szCs w:val="22"/>
              </w:rPr>
            </w:pPr>
            <w:r>
              <w:rPr>
                <w:rFonts w:hint="eastAsia" w:ascii="仿宋_GB2312" w:eastAsia="仿宋_GB2312"/>
                <w:color w:val="000000"/>
                <w:sz w:val="22"/>
                <w:szCs w:val="22"/>
              </w:rPr>
              <w:t>服务对象满意度指标</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95</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2"/>
                <w:szCs w:val="22"/>
              </w:rPr>
            </w:pPr>
            <w:r>
              <w:rPr>
                <w:rFonts w:hint="eastAsia" w:ascii="仿宋_GB2312" w:eastAsia="仿宋_GB2312"/>
                <w:color w:val="000000"/>
                <w:sz w:val="22"/>
                <w:szCs w:val="22"/>
              </w:rPr>
              <w:t>实际调查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p>
            <w:pPr>
              <w:pStyle w:val="17"/>
            </w:pPr>
          </w:p>
        </w:tc>
        <w:tc>
          <w:tcPr>
            <w:tcW w:w="2835" w:type="dxa"/>
            <w:vAlign w:val="center"/>
          </w:tcPr>
          <w:p>
            <w:pPr>
              <w:pStyle w:val="17"/>
            </w:pPr>
            <w:r>
              <w:t>国有企业已退休人员管理服务工作与原企业分离的比例</w:t>
            </w:r>
          </w:p>
          <w:p>
            <w:pPr>
              <w:pStyle w:val="17"/>
            </w:pPr>
            <w:r>
              <w:t>"</w:t>
            </w:r>
          </w:p>
          <w:p>
            <w:pPr>
              <w:pStyle w:val="17"/>
            </w:pP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p>
            <w:pPr>
              <w:pStyle w:val="17"/>
            </w:pPr>
          </w:p>
        </w:tc>
        <w:tc>
          <w:tcPr>
            <w:tcW w:w="2551" w:type="dxa"/>
            <w:vAlign w:val="center"/>
          </w:tcPr>
          <w:p>
            <w:pPr>
              <w:pStyle w:val="17"/>
            </w:pPr>
            <w:r>
              <w:t>≥90%</w:t>
            </w:r>
          </w:p>
          <w:p>
            <w:pPr>
              <w:pStyle w:val="17"/>
            </w:pP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p>
            <w:pPr>
              <w:pStyle w:val="17"/>
            </w:pPr>
          </w:p>
        </w:tc>
        <w:tc>
          <w:tcPr>
            <w:tcW w:w="2551" w:type="dxa"/>
            <w:vAlign w:val="center"/>
          </w:tcPr>
          <w:p>
            <w:pPr>
              <w:pStyle w:val="17"/>
            </w:pPr>
            <w:r>
              <w:t>及时拨付</w:t>
            </w:r>
          </w:p>
          <w:p>
            <w:pPr>
              <w:pStyle w:val="17"/>
            </w:pPr>
          </w:p>
        </w:tc>
        <w:tc>
          <w:tcPr>
            <w:tcW w:w="2268" w:type="dxa"/>
            <w:vAlign w:val="center"/>
          </w:tcPr>
          <w:p>
            <w:pPr>
              <w:pStyle w:val="17"/>
            </w:pPr>
            <w:r>
              <w:t>关于下达国有企业退休人员社会化管理市级财政补助资金的通知廊财建[110]号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p>
            <w:pPr>
              <w:pStyle w:val="17"/>
            </w:pPr>
          </w:p>
        </w:tc>
        <w:tc>
          <w:tcPr>
            <w:tcW w:w="2835" w:type="dxa"/>
            <w:vAlign w:val="center"/>
          </w:tcPr>
          <w:p>
            <w:pPr>
              <w:pStyle w:val="17"/>
            </w:pPr>
            <w:r>
              <w:t>资金成本</w:t>
            </w:r>
          </w:p>
          <w:p>
            <w:pPr>
              <w:pStyle w:val="17"/>
            </w:pPr>
          </w:p>
        </w:tc>
        <w:tc>
          <w:tcPr>
            <w:tcW w:w="2551" w:type="dxa"/>
            <w:vAlign w:val="center"/>
          </w:tcPr>
          <w:p>
            <w:pPr>
              <w:pStyle w:val="17"/>
            </w:pPr>
            <w:r>
              <w:t>≤15680元</w:t>
            </w:r>
          </w:p>
        </w:tc>
        <w:tc>
          <w:tcPr>
            <w:tcW w:w="2268" w:type="dxa"/>
            <w:vAlign w:val="center"/>
          </w:tcPr>
          <w:p>
            <w:pPr>
              <w:pStyle w:val="17"/>
            </w:pPr>
            <w:r>
              <w:t>关于下达国有企业退休人员社会化管理市级财政补助资金的通知廊财建[110]号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国有企业退休人员社会化服务满意度</w:t>
            </w:r>
          </w:p>
        </w:tc>
        <w:tc>
          <w:tcPr>
            <w:tcW w:w="2835" w:type="dxa"/>
            <w:vAlign w:val="center"/>
          </w:tcPr>
          <w:p>
            <w:pPr>
              <w:pStyle w:val="17"/>
            </w:pPr>
            <w:r>
              <w:t>国有企业退休人员社会化服务满意度</w:t>
            </w:r>
          </w:p>
        </w:tc>
        <w:tc>
          <w:tcPr>
            <w:tcW w:w="2551" w:type="dxa"/>
            <w:vAlign w:val="center"/>
          </w:tcPr>
          <w:p>
            <w:pPr>
              <w:pStyle w:val="17"/>
            </w:pPr>
            <w:r>
              <w:t>≥90%</w:t>
            </w:r>
          </w:p>
        </w:tc>
        <w:tc>
          <w:tcPr>
            <w:tcW w:w="2268" w:type="dxa"/>
            <w:vAlign w:val="center"/>
          </w:tcPr>
          <w:p>
            <w:pPr>
              <w:pStyle w:val="17"/>
            </w:pPr>
            <w:r>
              <w:t>调查问卷</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1.国有企业退休人员管理服务工作与原企业分离</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已退休人员档案管理服务工作与原企业分离</w:t>
            </w:r>
          </w:p>
          <w:p>
            <w:pPr>
              <w:pStyle w:val="17"/>
            </w:pPr>
          </w:p>
        </w:tc>
        <w:tc>
          <w:tcPr>
            <w:tcW w:w="2835" w:type="dxa"/>
            <w:vAlign w:val="center"/>
          </w:tcPr>
          <w:p>
            <w:pPr>
              <w:pStyle w:val="17"/>
            </w:pPr>
            <w:r>
              <w:t>已退休人员档案管理服务工作与原企业分离</w:t>
            </w:r>
          </w:p>
          <w:p>
            <w:pPr>
              <w:pStyle w:val="17"/>
            </w:pPr>
          </w:p>
        </w:tc>
        <w:tc>
          <w:tcPr>
            <w:tcW w:w="2551" w:type="dxa"/>
            <w:vAlign w:val="center"/>
          </w:tcPr>
          <w:p>
            <w:pPr>
              <w:pStyle w:val="17"/>
            </w:pPr>
            <w:r>
              <w:t>100%</w:t>
            </w:r>
          </w:p>
        </w:tc>
        <w:tc>
          <w:tcPr>
            <w:tcW w:w="2268" w:type="dxa"/>
            <w:vAlign w:val="center"/>
          </w:tcPr>
          <w:p>
            <w:pPr>
              <w:pStyle w:val="17"/>
            </w:pPr>
            <w:r>
              <w:t>划拨名单</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w:t>
            </w:r>
          </w:p>
        </w:tc>
        <w:tc>
          <w:tcPr>
            <w:tcW w:w="2835" w:type="dxa"/>
            <w:vAlign w:val="center"/>
          </w:tcPr>
          <w:p>
            <w:pPr>
              <w:pStyle w:val="17"/>
            </w:pPr>
            <w:r>
              <w:t>已退休人员享受社会化管理服务所占比</w:t>
            </w:r>
          </w:p>
        </w:tc>
        <w:tc>
          <w:tcPr>
            <w:tcW w:w="2551" w:type="dxa"/>
            <w:vAlign w:val="center"/>
          </w:tcPr>
          <w:p>
            <w:pPr>
              <w:pStyle w:val="17"/>
            </w:pPr>
            <w:r>
              <w:t>≥90%</w:t>
            </w:r>
          </w:p>
        </w:tc>
        <w:tc>
          <w:tcPr>
            <w:tcW w:w="2268" w:type="dxa"/>
            <w:vAlign w:val="center"/>
          </w:tcPr>
          <w:p>
            <w:pPr>
              <w:pStyle w:val="17"/>
            </w:pPr>
            <w:r>
              <w:t>划拨名单</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廊坊市人民政府办公室[2022]27号、关于下达国有企业退休人员社会化管理中央、省、市三级财政补助资金的通知</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p>
            <w:pPr>
              <w:pStyle w:val="17"/>
            </w:pPr>
          </w:p>
        </w:tc>
        <w:tc>
          <w:tcPr>
            <w:tcW w:w="2551" w:type="dxa"/>
            <w:vAlign w:val="center"/>
          </w:tcPr>
          <w:p>
            <w:pPr>
              <w:pStyle w:val="17"/>
            </w:pPr>
            <w:r>
              <w:t>≤127775元</w:t>
            </w:r>
          </w:p>
        </w:tc>
        <w:tc>
          <w:tcPr>
            <w:tcW w:w="2268" w:type="dxa"/>
            <w:vAlign w:val="center"/>
          </w:tcPr>
          <w:p>
            <w:pPr>
              <w:pStyle w:val="17"/>
            </w:pPr>
            <w:r>
              <w:t>"廊坊市人民政府办公室[2022]27号、关于下达国有企业退休人员社会化管理中央、省、市三级财政补助资金的通知</w:t>
            </w:r>
          </w:p>
          <w:p>
            <w:pPr>
              <w:pStyle w:val="17"/>
            </w:pPr>
            <w:r>
              <w:t>"</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w:t>
            </w:r>
          </w:p>
        </w:tc>
        <w:tc>
          <w:tcPr>
            <w:tcW w:w="2835" w:type="dxa"/>
            <w:vAlign w:val="center"/>
          </w:tcPr>
          <w:p>
            <w:pPr>
              <w:pStyle w:val="17"/>
            </w:pPr>
            <w:r>
              <w:t>企业不承担退休人员社会化管理服务费</w:t>
            </w:r>
          </w:p>
          <w:p>
            <w:pPr>
              <w:pStyle w:val="17"/>
            </w:pPr>
          </w:p>
        </w:tc>
        <w:tc>
          <w:tcPr>
            <w:tcW w:w="2551" w:type="dxa"/>
            <w:vAlign w:val="center"/>
          </w:tcPr>
          <w:p>
            <w:pPr>
              <w:pStyle w:val="17"/>
            </w:pPr>
            <w:r>
              <w:t>100%</w:t>
            </w:r>
          </w:p>
        </w:tc>
        <w:tc>
          <w:tcPr>
            <w:tcW w:w="2268" w:type="dxa"/>
            <w:vAlign w:val="center"/>
          </w:tcPr>
          <w:p>
            <w:pPr>
              <w:pStyle w:val="17"/>
            </w:pPr>
            <w:r>
              <w:t>划拨名单</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421廊坊市广阳区档案馆</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廊坊市广阳区档案馆（含所属单位）上年末固定资产金额为74.53万元（详见下表）。本年度拟购置固定资产总额为0.00万元，已按要求列入政府采购预算，详见政府采购预算表。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421廊坊市广阳区档案馆</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65.09</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E795B"/>
    <w:rsid w:val="005E2F49"/>
    <w:rsid w:val="006C4E74"/>
    <w:rsid w:val="00735AB2"/>
    <w:rsid w:val="007B6B5C"/>
    <w:rsid w:val="00AE0102"/>
    <w:rsid w:val="00C65CDE"/>
    <w:rsid w:val="00C93C80"/>
    <w:rsid w:val="00DE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2023-03-13T11:06:30Z</dcterms:created>
  <dcterms:modified xsi:type="dcterms:W3CDTF">2023-03-13T03:06:30Z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2023-03-13T11:06:34Z</dcterms:created>
  <dcterms:modified xsi:type="dcterms:W3CDTF">2023-03-13T03:06:34Z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2023-03-13T11:06:34Z</dcterms:created>
  <dcterms:modified xsi:type="dcterms:W3CDTF">2023-03-13T03:06:34Z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2023-03-13T11:06:34Z</dcterms:created>
  <dcterms:modified xsi:type="dcterms:W3CDTF">2023-03-13T03:06:34Z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2023-03-13T11:06:35Z</dcterms:created>
  <dcterms:modified xsi:type="dcterms:W3CDTF">2023-03-13T03:06:34Z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21F535-E944-4066-97C1-7AC839BCC524}">
  <ds:schemaRefs/>
</ds:datastoreItem>
</file>

<file path=customXml/itemProps10.xml><?xml version="1.0" encoding="utf-8"?>
<ds:datastoreItem xmlns:ds="http://schemas.openxmlformats.org/officeDocument/2006/customXml" ds:itemID="{D0BE8416-E5AA-4DFC-A211-C0FA53B04147}">
  <ds:schemaRefs/>
</ds:datastoreItem>
</file>

<file path=customXml/itemProps11.xml><?xml version="1.0" encoding="utf-8"?>
<ds:datastoreItem xmlns:ds="http://schemas.openxmlformats.org/officeDocument/2006/customXml" ds:itemID="{B70D09A3-DEAD-4E86-98C6-118874C606B4}">
  <ds:schemaRefs/>
</ds:datastoreItem>
</file>

<file path=customXml/itemProps12.xml><?xml version="1.0" encoding="utf-8"?>
<ds:datastoreItem xmlns:ds="http://schemas.openxmlformats.org/officeDocument/2006/customXml" ds:itemID="{025723FB-91BF-4456-B5C1-6B199BB3B8F3}">
  <ds:schemaRefs/>
</ds:datastoreItem>
</file>

<file path=customXml/itemProps13.xml><?xml version="1.0" encoding="utf-8"?>
<ds:datastoreItem xmlns:ds="http://schemas.openxmlformats.org/officeDocument/2006/customXml" ds:itemID="{32E556B5-8BF7-46F2-A30A-EFF86DD6B05F}">
  <ds:schemaRefs/>
</ds:datastoreItem>
</file>

<file path=customXml/itemProps14.xml><?xml version="1.0" encoding="utf-8"?>
<ds:datastoreItem xmlns:ds="http://schemas.openxmlformats.org/officeDocument/2006/customXml" ds:itemID="{17D17A15-CC8C-4A6A-B87E-32907AC690B3}">
  <ds:schemaRefs/>
</ds:datastoreItem>
</file>

<file path=customXml/itemProps15.xml><?xml version="1.0" encoding="utf-8"?>
<ds:datastoreItem xmlns:ds="http://schemas.openxmlformats.org/officeDocument/2006/customXml" ds:itemID="{5F140FD4-684F-4E37-97AB-5B228A783D7C}">
  <ds:schemaRefs/>
</ds:datastoreItem>
</file>

<file path=customXml/itemProps16.xml><?xml version="1.0" encoding="utf-8"?>
<ds:datastoreItem xmlns:ds="http://schemas.openxmlformats.org/officeDocument/2006/customXml" ds:itemID="{3D0C1CF3-5D16-4453-80A2-F71A72A19005}">
  <ds:schemaRefs/>
</ds:datastoreItem>
</file>

<file path=customXml/itemProps17.xml><?xml version="1.0" encoding="utf-8"?>
<ds:datastoreItem xmlns:ds="http://schemas.openxmlformats.org/officeDocument/2006/customXml" ds:itemID="{B2EF7558-E78A-42FF-9FA2-F56DA7782445}">
  <ds:schemaRefs/>
</ds:datastoreItem>
</file>

<file path=customXml/itemProps18.xml><?xml version="1.0" encoding="utf-8"?>
<ds:datastoreItem xmlns:ds="http://schemas.openxmlformats.org/officeDocument/2006/customXml" ds:itemID="{78088342-57D6-4CFB-94D0-D1B46C9ABC24}">
  <ds:schemaRefs/>
</ds:datastoreItem>
</file>

<file path=customXml/itemProps2.xml><?xml version="1.0" encoding="utf-8"?>
<ds:datastoreItem xmlns:ds="http://schemas.openxmlformats.org/officeDocument/2006/customXml" ds:itemID="{9CE36C5A-59B7-47BA-B150-CDD0BDC23EE5}">
  <ds:schemaRefs/>
</ds:datastoreItem>
</file>

<file path=customXml/itemProps3.xml><?xml version="1.0" encoding="utf-8"?>
<ds:datastoreItem xmlns:ds="http://schemas.openxmlformats.org/officeDocument/2006/customXml" ds:itemID="{E7359B91-5DA7-4AB8-B561-AA20E1B8ED4D}">
  <ds:schemaRefs/>
</ds:datastoreItem>
</file>

<file path=customXml/itemProps4.xml><?xml version="1.0" encoding="utf-8"?>
<ds:datastoreItem xmlns:ds="http://schemas.openxmlformats.org/officeDocument/2006/customXml" ds:itemID="{236B2A59-8C7A-45F9-B412-26BBA3D2D872}">
  <ds:schemaRefs/>
</ds:datastoreItem>
</file>

<file path=customXml/itemProps5.xml><?xml version="1.0" encoding="utf-8"?>
<ds:datastoreItem xmlns:ds="http://schemas.openxmlformats.org/officeDocument/2006/customXml" ds:itemID="{9CB0F011-6ECC-4C20-AAD9-1AE8A8AB220D}">
  <ds:schemaRefs/>
</ds:datastoreItem>
</file>

<file path=customXml/itemProps6.xml><?xml version="1.0" encoding="utf-8"?>
<ds:datastoreItem xmlns:ds="http://schemas.openxmlformats.org/officeDocument/2006/customXml" ds:itemID="{B39F5E23-7992-4EA7-99B0-C59A370190F9}">
  <ds:schemaRefs/>
</ds:datastoreItem>
</file>

<file path=customXml/itemProps7.xml><?xml version="1.0" encoding="utf-8"?>
<ds:datastoreItem xmlns:ds="http://schemas.openxmlformats.org/officeDocument/2006/customXml" ds:itemID="{6996F682-4A4B-4CE4-A223-1D4FD4C780DD}">
  <ds:schemaRefs/>
</ds:datastoreItem>
</file>

<file path=customXml/itemProps8.xml><?xml version="1.0" encoding="utf-8"?>
<ds:datastoreItem xmlns:ds="http://schemas.openxmlformats.org/officeDocument/2006/customXml" ds:itemID="{73043132-4E87-4DDA-8D09-5FF18B9FC73C}">
  <ds:schemaRefs/>
</ds:datastoreItem>
</file>

<file path=customXml/itemProps9.xml><?xml version="1.0" encoding="utf-8"?>
<ds:datastoreItem xmlns:ds="http://schemas.openxmlformats.org/officeDocument/2006/customXml" ds:itemID="{7EC56630-54A6-4D30-8765-2E6042FF71B5}">
  <ds:schemaRefs/>
</ds:datastoreItem>
</file>

<file path=docProps/app.xml><?xml version="1.0" encoding="utf-8"?>
<Properties xmlns="http://schemas.openxmlformats.org/officeDocument/2006/extended-properties" xmlns:vt="http://schemas.openxmlformats.org/officeDocument/2006/docPropsVTypes">
  <Template>Normal</Template>
  <Pages>33</Pages>
  <Words>1995</Words>
  <Characters>11376</Characters>
  <Lines>94</Lines>
  <Paragraphs>26</Paragraphs>
  <TotalTime>6</TotalTime>
  <ScaleCrop>false</ScaleCrop>
  <LinksUpToDate>false</LinksUpToDate>
  <CharactersWithSpaces>13345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2024-01-11T00:49:33Z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3435FCD59F9F47FEAF616E71CA74F5E8</vt:lpwstr>
  </property>
</Properties>
</file>