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部门预算收支总表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部门预算收入总表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部门预算支出总表</w:t>
      </w:r>
      <w:r>
        <w:rPr>
          <w:rStyle w:val="11"/>
        </w:rPr>
        <w:tab/>
      </w:r>
      <w:r>
        <w:rPr>
          <w:rStyle w:val="11"/>
        </w:rPr>
        <w:t>6</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部门预算财政拨款收支总表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部门预算一般公共预算财政拨款支出表</w:t>
      </w:r>
      <w:r>
        <w:rPr>
          <w:rStyle w:val="11"/>
        </w:rPr>
        <w:tab/>
      </w:r>
      <w:r>
        <w:rPr>
          <w:rStyle w:val="11"/>
        </w:rPr>
        <w:t>10</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部门预算一般公共预算财政拨款基本支出表</w:t>
      </w:r>
      <w:r>
        <w:rPr>
          <w:rStyle w:val="11"/>
        </w:rPr>
        <w:tab/>
      </w:r>
      <w:r>
        <w:rPr>
          <w:rStyle w:val="11"/>
        </w:rPr>
        <w:t>11</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部门预算政府基金预算财政拨款支出表</w:t>
      </w:r>
      <w:r>
        <w:rPr>
          <w:rStyle w:val="11"/>
        </w:rPr>
        <w:tab/>
      </w:r>
      <w:r>
        <w:rPr>
          <w:rStyle w:val="11"/>
        </w:rPr>
        <w:t>12</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部门预算国有资本经营预算财政拨款支出表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部门预算财政拨款“三公”经费支出表</w:t>
      </w:r>
      <w:r>
        <w:rPr>
          <w:rStyle w:val="11"/>
        </w:rPr>
        <w:tab/>
      </w:r>
      <w:r>
        <w:rPr>
          <w:rStyle w:val="11"/>
        </w:rPr>
        <w:t>14</w:t>
      </w:r>
      <w:r>
        <w:rPr>
          <w:rStyle w:val="11"/>
        </w:rP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一、部门职责及机构设置情况</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二、部门预算安排的总体情况</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23</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23</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24</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25</w:t>
      </w:r>
      <w:r>
        <w:rPr>
          <w:rStyle w:val="11"/>
        </w:rPr>
        <w:fldChar w:fldCharType="end"/>
      </w:r>
    </w:p>
    <w:p>
      <w:r>
        <w:fldChar w:fldCharType="end"/>
      </w:r>
    </w:p>
    <w:p>
      <w:pPr>
        <w:pStyle w:val="5"/>
        <w:tabs>
          <w:tab w:val="right" w:leader="dot" w:pos="14562"/>
        </w:tabs>
      </w:pPr>
      <w:r>
        <w:fldChar w:fldCharType="begin"/>
      </w:r>
      <w:r>
        <w:instrText xml:space="preserve">TOC \o "4-4" \h \z \u</w:instrText>
      </w:r>
      <w:r>
        <w:fldChar w:fldCharType="separate"/>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tz_0001_0001"/>
      <w:bookmarkEnd w:id="0"/>
      <w:bookmarkStart w:id="1" w:name="_Toc_2_2_0000000001"/>
      <w:r>
        <w:rPr>
          <w:rFonts w:ascii="方正小标宋_GBK" w:hAnsi="方正小标宋_GBK" w:eastAsia="方正小标宋_GBK" w:cs="方正小标宋_GBK"/>
          <w:color w:val="000000"/>
          <w:sz w:val="36"/>
        </w:rPr>
        <w:t>部门预算收支总表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458廊坊市第十一小学</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1527.63</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r>
              <w:t>1527.63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1527.63</w:t>
            </w:r>
          </w:p>
        </w:tc>
        <w:tc>
          <w:tcPr>
            <w:tcW w:w="4535" w:type="dxa"/>
            <w:vAlign w:val="center"/>
          </w:tcPr>
          <w:p>
            <w:pPr>
              <w:pStyle w:val="19"/>
            </w:pPr>
            <w:r>
              <w:t>本年支出合计</w:t>
            </w:r>
          </w:p>
        </w:tc>
        <w:tc>
          <w:tcPr>
            <w:tcW w:w="2126" w:type="dxa"/>
            <w:vAlign w:val="center"/>
          </w:tcPr>
          <w:p>
            <w:pPr>
              <w:pStyle w:val="20"/>
            </w:pPr>
            <w:r>
              <w:t>1527.63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1527.63</w:t>
            </w:r>
          </w:p>
        </w:tc>
        <w:tc>
          <w:tcPr>
            <w:tcW w:w="4535" w:type="dxa"/>
            <w:vAlign w:val="center"/>
          </w:tcPr>
          <w:p>
            <w:pPr>
              <w:pStyle w:val="19"/>
            </w:pPr>
            <w:r>
              <w:t>支出总计</w:t>
            </w:r>
          </w:p>
        </w:tc>
        <w:tc>
          <w:tcPr>
            <w:tcW w:w="2126" w:type="dxa"/>
            <w:vAlign w:val="center"/>
          </w:tcPr>
          <w:p>
            <w:pPr>
              <w:pStyle w:val="20"/>
            </w:pPr>
            <w:r>
              <w:t>1527.63</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2" w:name="tz_0001_0002"/>
      <w:bookmarkEnd w:id="2"/>
      <w:bookmarkStart w:id="3" w:name="_Toc_2_2_0000000002"/>
      <w:r>
        <w:rPr>
          <w:rFonts w:ascii="方正小标宋_GBK" w:hAnsi="方正小标宋_GBK" w:eastAsia="方正小标宋_GBK" w:cs="方正小标宋_GBK"/>
          <w:color w:val="000000"/>
          <w:sz w:val="36"/>
        </w:rPr>
        <w:t>部门预算收入总表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458廊坊市第十一小学</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1527.63</w:t>
            </w:r>
          </w:p>
        </w:tc>
        <w:tc>
          <w:tcPr>
            <w:tcW w:w="1134" w:type="dxa"/>
            <w:vAlign w:val="center"/>
          </w:tcPr>
          <w:p>
            <w:pPr>
              <w:pStyle w:val="20"/>
            </w:pPr>
            <w:r>
              <w:t>1527.63</w:t>
            </w:r>
          </w:p>
        </w:tc>
        <w:tc>
          <w:tcPr>
            <w:tcW w:w="1134" w:type="dxa"/>
            <w:vAlign w:val="center"/>
          </w:tcPr>
          <w:p>
            <w:pPr>
              <w:pStyle w:val="20"/>
            </w:pPr>
            <w:r>
              <w:t>1527.63</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205</w:t>
            </w:r>
          </w:p>
        </w:tc>
        <w:tc>
          <w:tcPr>
            <w:tcW w:w="1559" w:type="dxa"/>
            <w:vAlign w:val="center"/>
          </w:tcPr>
          <w:p>
            <w:pPr>
              <w:pStyle w:val="17"/>
            </w:pPr>
            <w:r>
              <w:t>教育支出</w:t>
            </w:r>
          </w:p>
        </w:tc>
        <w:tc>
          <w:tcPr>
            <w:tcW w:w="1134" w:type="dxa"/>
            <w:vAlign w:val="center"/>
          </w:tcPr>
          <w:p>
            <w:pPr>
              <w:pStyle w:val="16"/>
            </w:pPr>
            <w:r>
              <w:t>1527.63</w:t>
            </w:r>
          </w:p>
        </w:tc>
        <w:tc>
          <w:tcPr>
            <w:tcW w:w="1134" w:type="dxa"/>
            <w:vAlign w:val="center"/>
          </w:tcPr>
          <w:p>
            <w:pPr>
              <w:pStyle w:val="16"/>
            </w:pPr>
            <w:r>
              <w:t>1527.63</w:t>
            </w:r>
          </w:p>
        </w:tc>
        <w:tc>
          <w:tcPr>
            <w:tcW w:w="1134" w:type="dxa"/>
            <w:vAlign w:val="center"/>
          </w:tcPr>
          <w:p>
            <w:pPr>
              <w:pStyle w:val="16"/>
            </w:pPr>
            <w:r>
              <w:t>1527.63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20502</w:t>
            </w:r>
          </w:p>
        </w:tc>
        <w:tc>
          <w:tcPr>
            <w:tcW w:w="1559" w:type="dxa"/>
            <w:vAlign w:val="center"/>
          </w:tcPr>
          <w:p>
            <w:pPr>
              <w:pStyle w:val="17"/>
            </w:pPr>
            <w:r>
              <w:t>普通教育</w:t>
            </w:r>
          </w:p>
        </w:tc>
        <w:tc>
          <w:tcPr>
            <w:tcW w:w="1134" w:type="dxa"/>
            <w:vAlign w:val="center"/>
          </w:tcPr>
          <w:p>
            <w:pPr>
              <w:pStyle w:val="16"/>
            </w:pPr>
            <w:r>
              <w:t>1527.63</w:t>
            </w:r>
          </w:p>
        </w:tc>
        <w:tc>
          <w:tcPr>
            <w:tcW w:w="1134" w:type="dxa"/>
            <w:vAlign w:val="center"/>
          </w:tcPr>
          <w:p>
            <w:pPr>
              <w:pStyle w:val="16"/>
            </w:pPr>
            <w:r>
              <w:t>1527.63</w:t>
            </w:r>
          </w:p>
        </w:tc>
        <w:tc>
          <w:tcPr>
            <w:tcW w:w="1134" w:type="dxa"/>
            <w:vAlign w:val="center"/>
          </w:tcPr>
          <w:p>
            <w:pPr>
              <w:pStyle w:val="16"/>
            </w:pPr>
            <w:r>
              <w:t>1527.63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2050202</w:t>
            </w:r>
          </w:p>
        </w:tc>
        <w:tc>
          <w:tcPr>
            <w:tcW w:w="1559" w:type="dxa"/>
            <w:vAlign w:val="center"/>
          </w:tcPr>
          <w:p>
            <w:pPr>
              <w:pStyle w:val="17"/>
            </w:pPr>
            <w:r>
              <w:t>小学教育</w:t>
            </w:r>
          </w:p>
        </w:tc>
        <w:tc>
          <w:tcPr>
            <w:tcW w:w="1134" w:type="dxa"/>
            <w:vAlign w:val="center"/>
          </w:tcPr>
          <w:p>
            <w:pPr>
              <w:pStyle w:val="16"/>
            </w:pPr>
            <w:r>
              <w:t>1527.63</w:t>
            </w:r>
          </w:p>
        </w:tc>
        <w:tc>
          <w:tcPr>
            <w:tcW w:w="1134" w:type="dxa"/>
            <w:vAlign w:val="center"/>
          </w:tcPr>
          <w:p>
            <w:pPr>
              <w:pStyle w:val="16"/>
            </w:pPr>
            <w:r>
              <w:t>1527.63</w:t>
            </w:r>
          </w:p>
        </w:tc>
        <w:tc>
          <w:tcPr>
            <w:tcW w:w="1134" w:type="dxa"/>
            <w:vAlign w:val="center"/>
          </w:tcPr>
          <w:p>
            <w:pPr>
              <w:pStyle w:val="16"/>
            </w:pPr>
            <w:r>
              <w:t>1527.63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tz_0001_0003"/>
      <w:bookmarkEnd w:id="4"/>
      <w:bookmarkStart w:id="5" w:name="_Toc_2_2_0000000003"/>
      <w:r>
        <w:rPr>
          <w:rFonts w:ascii="方正小标宋_GBK" w:hAnsi="方正小标宋_GBK" w:eastAsia="方正小标宋_GBK" w:cs="方正小标宋_GBK"/>
          <w:color w:val="000000"/>
          <w:sz w:val="36"/>
        </w:rPr>
        <w:t>部门预算支出总表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458廊坊市第十一小学</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1527.63</w:t>
            </w:r>
          </w:p>
        </w:tc>
        <w:tc>
          <w:tcPr>
            <w:tcW w:w="1361" w:type="dxa"/>
            <w:vAlign w:val="center"/>
          </w:tcPr>
          <w:p>
            <w:pPr>
              <w:pStyle w:val="20"/>
            </w:pPr>
            <w:r>
              <w:t>1518.37</w:t>
            </w:r>
          </w:p>
        </w:tc>
        <w:tc>
          <w:tcPr>
            <w:tcW w:w="1361" w:type="dxa"/>
            <w:vAlign w:val="center"/>
          </w:tcPr>
          <w:p>
            <w:pPr>
              <w:pStyle w:val="20"/>
            </w:pPr>
            <w:r>
              <w:t>9.25</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205</w:t>
            </w:r>
          </w:p>
        </w:tc>
        <w:tc>
          <w:tcPr>
            <w:tcW w:w="4535" w:type="dxa"/>
            <w:vAlign w:val="center"/>
          </w:tcPr>
          <w:p>
            <w:pPr>
              <w:pStyle w:val="17"/>
            </w:pPr>
            <w:r>
              <w:t>教育支出</w:t>
            </w:r>
          </w:p>
        </w:tc>
        <w:tc>
          <w:tcPr>
            <w:tcW w:w="1361" w:type="dxa"/>
            <w:vAlign w:val="center"/>
          </w:tcPr>
          <w:p>
            <w:pPr>
              <w:pStyle w:val="16"/>
            </w:pPr>
            <w:r>
              <w:t>1527.63</w:t>
            </w:r>
          </w:p>
        </w:tc>
        <w:tc>
          <w:tcPr>
            <w:tcW w:w="1361" w:type="dxa"/>
            <w:vAlign w:val="center"/>
          </w:tcPr>
          <w:p>
            <w:pPr>
              <w:pStyle w:val="16"/>
            </w:pPr>
            <w:r>
              <w:t>1518.37</w:t>
            </w:r>
          </w:p>
        </w:tc>
        <w:tc>
          <w:tcPr>
            <w:tcW w:w="1361" w:type="dxa"/>
            <w:vAlign w:val="center"/>
          </w:tcPr>
          <w:p>
            <w:pPr>
              <w:pStyle w:val="16"/>
            </w:pPr>
            <w:r>
              <w:t>9.25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20502</w:t>
            </w:r>
          </w:p>
        </w:tc>
        <w:tc>
          <w:tcPr>
            <w:tcW w:w="4535" w:type="dxa"/>
            <w:vAlign w:val="center"/>
          </w:tcPr>
          <w:p>
            <w:pPr>
              <w:pStyle w:val="17"/>
            </w:pPr>
            <w:r>
              <w:t>普通教育</w:t>
            </w:r>
          </w:p>
        </w:tc>
        <w:tc>
          <w:tcPr>
            <w:tcW w:w="1361" w:type="dxa"/>
            <w:vAlign w:val="center"/>
          </w:tcPr>
          <w:p>
            <w:pPr>
              <w:pStyle w:val="16"/>
            </w:pPr>
            <w:r>
              <w:t>1527.63</w:t>
            </w:r>
          </w:p>
        </w:tc>
        <w:tc>
          <w:tcPr>
            <w:tcW w:w="1361" w:type="dxa"/>
            <w:vAlign w:val="center"/>
          </w:tcPr>
          <w:p>
            <w:pPr>
              <w:pStyle w:val="16"/>
            </w:pPr>
            <w:r>
              <w:t>1518.37</w:t>
            </w:r>
          </w:p>
        </w:tc>
        <w:tc>
          <w:tcPr>
            <w:tcW w:w="1361" w:type="dxa"/>
            <w:vAlign w:val="center"/>
          </w:tcPr>
          <w:p>
            <w:pPr>
              <w:pStyle w:val="16"/>
            </w:pPr>
            <w:r>
              <w:t>9.25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2050202</w:t>
            </w:r>
          </w:p>
        </w:tc>
        <w:tc>
          <w:tcPr>
            <w:tcW w:w="4535" w:type="dxa"/>
            <w:vAlign w:val="center"/>
          </w:tcPr>
          <w:p>
            <w:pPr>
              <w:pStyle w:val="17"/>
            </w:pPr>
            <w:r>
              <w:t>小学教育</w:t>
            </w:r>
          </w:p>
        </w:tc>
        <w:tc>
          <w:tcPr>
            <w:tcW w:w="1361" w:type="dxa"/>
            <w:vAlign w:val="center"/>
          </w:tcPr>
          <w:p>
            <w:pPr>
              <w:pStyle w:val="16"/>
            </w:pPr>
            <w:r>
              <w:t>1527.63</w:t>
            </w:r>
          </w:p>
        </w:tc>
        <w:tc>
          <w:tcPr>
            <w:tcW w:w="1361" w:type="dxa"/>
            <w:vAlign w:val="center"/>
          </w:tcPr>
          <w:p>
            <w:pPr>
              <w:pStyle w:val="16"/>
            </w:pPr>
            <w:r>
              <w:t>1518.37</w:t>
            </w:r>
          </w:p>
        </w:tc>
        <w:tc>
          <w:tcPr>
            <w:tcW w:w="1361" w:type="dxa"/>
            <w:vAlign w:val="center"/>
          </w:tcPr>
          <w:p>
            <w:pPr>
              <w:pStyle w:val="16"/>
            </w:pPr>
            <w:r>
              <w:t>9.25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6" w:name="tz_0001_0004"/>
      <w:bookmarkEnd w:id="6"/>
      <w:bookmarkStart w:id="7" w:name="_Toc_2_2_0000000004"/>
      <w:r>
        <w:rPr>
          <w:rFonts w:ascii="方正小标宋_GBK" w:hAnsi="方正小标宋_GBK" w:eastAsia="方正小标宋_GBK" w:cs="方正小标宋_GBK"/>
          <w:color w:val="000000"/>
          <w:sz w:val="36"/>
        </w:rPr>
        <w:t>部门预算财政拨款收支总表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458廊坊市第十一小学</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1527.63</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r>
              <w:t>1527.63</w:t>
            </w:r>
          </w:p>
        </w:tc>
        <w:tc>
          <w:tcPr>
            <w:tcW w:w="1474" w:type="dxa"/>
            <w:vAlign w:val="center"/>
          </w:tcPr>
          <w:p>
            <w:pPr>
              <w:pStyle w:val="16"/>
            </w:pPr>
            <w:r>
              <w:t>1527.63</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1527.63</w:t>
            </w:r>
          </w:p>
        </w:tc>
        <w:tc>
          <w:tcPr>
            <w:tcW w:w="3402" w:type="dxa"/>
            <w:vAlign w:val="center"/>
          </w:tcPr>
          <w:p>
            <w:pPr>
              <w:pStyle w:val="19"/>
            </w:pPr>
            <w:r>
              <w:t>本年支出合计</w:t>
            </w:r>
          </w:p>
        </w:tc>
        <w:tc>
          <w:tcPr>
            <w:tcW w:w="1474" w:type="dxa"/>
            <w:vAlign w:val="center"/>
          </w:tcPr>
          <w:p>
            <w:pPr>
              <w:pStyle w:val="20"/>
            </w:pPr>
            <w:r>
              <w:t>1527.63</w:t>
            </w:r>
          </w:p>
        </w:tc>
        <w:tc>
          <w:tcPr>
            <w:tcW w:w="1474" w:type="dxa"/>
            <w:vAlign w:val="center"/>
          </w:tcPr>
          <w:p>
            <w:pPr>
              <w:pStyle w:val="20"/>
            </w:pPr>
            <w:r>
              <w:t>1527.63</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1527.63</w:t>
            </w:r>
          </w:p>
        </w:tc>
        <w:tc>
          <w:tcPr>
            <w:tcW w:w="3402" w:type="dxa"/>
            <w:vAlign w:val="center"/>
          </w:tcPr>
          <w:p>
            <w:pPr>
              <w:pStyle w:val="19"/>
            </w:pPr>
            <w:r>
              <w:t>支出总计</w:t>
            </w:r>
          </w:p>
        </w:tc>
        <w:tc>
          <w:tcPr>
            <w:tcW w:w="1474" w:type="dxa"/>
            <w:vAlign w:val="center"/>
          </w:tcPr>
          <w:p>
            <w:pPr>
              <w:pStyle w:val="20"/>
            </w:pPr>
            <w:r>
              <w:t>1527.63</w:t>
            </w:r>
          </w:p>
        </w:tc>
        <w:tc>
          <w:tcPr>
            <w:tcW w:w="1474" w:type="dxa"/>
            <w:vAlign w:val="center"/>
          </w:tcPr>
          <w:p>
            <w:pPr>
              <w:pStyle w:val="20"/>
            </w:pPr>
            <w:r>
              <w:t>1527.63</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1"/>
      </w:pPr>
      <w:bookmarkStart w:id="8" w:name="tz_0001_0005"/>
      <w:bookmarkEnd w:id="8"/>
      <w:bookmarkStart w:id="9" w:name="_Toc_2_2_0000000005"/>
      <w:r>
        <w:rPr>
          <w:rFonts w:ascii="方正小标宋_GBK" w:hAnsi="方正小标宋_GBK" w:eastAsia="方正小标宋_GBK" w:cs="方正小标宋_GBK"/>
          <w:color w:val="000000"/>
          <w:sz w:val="36"/>
        </w:rPr>
        <w:t>部门预算一般公共预算财政拨款支出表</w:t>
      </w:r>
      <w:bookmarkEnd w:id="9"/>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458廊坊市第十一小学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1527.63</w:t>
            </w:r>
          </w:p>
        </w:tc>
        <w:tc>
          <w:tcPr>
            <w:tcW w:w="2551" w:type="dxa"/>
            <w:vAlign w:val="center"/>
          </w:tcPr>
          <w:p>
            <w:pPr>
              <w:pStyle w:val="20"/>
            </w:pPr>
            <w:r>
              <w:t>1518.37</w:t>
            </w:r>
          </w:p>
        </w:tc>
        <w:tc>
          <w:tcPr>
            <w:tcW w:w="2551" w:type="dxa"/>
            <w:vAlign w:val="center"/>
          </w:tcPr>
          <w:p>
            <w:pPr>
              <w:pStyle w:val="20"/>
            </w:pPr>
            <w:r>
              <w:t>9.25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205</w:t>
            </w:r>
          </w:p>
        </w:tc>
        <w:tc>
          <w:tcPr>
            <w:tcW w:w="4535" w:type="dxa"/>
            <w:vAlign w:val="center"/>
          </w:tcPr>
          <w:p>
            <w:pPr>
              <w:pStyle w:val="17"/>
            </w:pPr>
            <w:r>
              <w:t>教育支出</w:t>
            </w:r>
          </w:p>
        </w:tc>
        <w:tc>
          <w:tcPr>
            <w:tcW w:w="2551" w:type="dxa"/>
            <w:vAlign w:val="center"/>
          </w:tcPr>
          <w:p>
            <w:pPr>
              <w:pStyle w:val="16"/>
            </w:pPr>
            <w:r>
              <w:t>1527.63</w:t>
            </w:r>
          </w:p>
        </w:tc>
        <w:tc>
          <w:tcPr>
            <w:tcW w:w="2551" w:type="dxa"/>
            <w:vAlign w:val="center"/>
          </w:tcPr>
          <w:p>
            <w:pPr>
              <w:pStyle w:val="16"/>
            </w:pPr>
            <w:r>
              <w:t>1518.37</w:t>
            </w:r>
          </w:p>
        </w:tc>
        <w:tc>
          <w:tcPr>
            <w:tcW w:w="2551" w:type="dxa"/>
            <w:vAlign w:val="center"/>
          </w:tcPr>
          <w:p>
            <w:pPr>
              <w:pStyle w:val="16"/>
            </w:pPr>
            <w:r>
              <w:t>9.25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20502</w:t>
            </w:r>
          </w:p>
        </w:tc>
        <w:tc>
          <w:tcPr>
            <w:tcW w:w="4535" w:type="dxa"/>
            <w:vAlign w:val="center"/>
          </w:tcPr>
          <w:p>
            <w:pPr>
              <w:pStyle w:val="17"/>
            </w:pPr>
            <w:r>
              <w:t>普通教育</w:t>
            </w:r>
          </w:p>
        </w:tc>
        <w:tc>
          <w:tcPr>
            <w:tcW w:w="2551" w:type="dxa"/>
            <w:vAlign w:val="center"/>
          </w:tcPr>
          <w:p>
            <w:pPr>
              <w:pStyle w:val="16"/>
            </w:pPr>
            <w:r>
              <w:t>1527.63</w:t>
            </w:r>
          </w:p>
        </w:tc>
        <w:tc>
          <w:tcPr>
            <w:tcW w:w="2551" w:type="dxa"/>
            <w:vAlign w:val="center"/>
          </w:tcPr>
          <w:p>
            <w:pPr>
              <w:pStyle w:val="16"/>
            </w:pPr>
            <w:r>
              <w:t>1518.37</w:t>
            </w:r>
          </w:p>
        </w:tc>
        <w:tc>
          <w:tcPr>
            <w:tcW w:w="2551" w:type="dxa"/>
            <w:vAlign w:val="center"/>
          </w:tcPr>
          <w:p>
            <w:pPr>
              <w:pStyle w:val="16"/>
            </w:pPr>
            <w:r>
              <w:t>9.25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2050202</w:t>
            </w:r>
          </w:p>
        </w:tc>
        <w:tc>
          <w:tcPr>
            <w:tcW w:w="4535" w:type="dxa"/>
            <w:vAlign w:val="center"/>
          </w:tcPr>
          <w:p>
            <w:pPr>
              <w:pStyle w:val="17"/>
            </w:pPr>
            <w:r>
              <w:t>小学教育</w:t>
            </w:r>
          </w:p>
        </w:tc>
        <w:tc>
          <w:tcPr>
            <w:tcW w:w="2551" w:type="dxa"/>
            <w:vAlign w:val="center"/>
          </w:tcPr>
          <w:p>
            <w:pPr>
              <w:pStyle w:val="16"/>
            </w:pPr>
            <w:r>
              <w:t>1527.63</w:t>
            </w:r>
          </w:p>
        </w:tc>
        <w:tc>
          <w:tcPr>
            <w:tcW w:w="2551" w:type="dxa"/>
            <w:vAlign w:val="center"/>
          </w:tcPr>
          <w:p>
            <w:pPr>
              <w:pStyle w:val="16"/>
            </w:pPr>
            <w:r>
              <w:t>1518.37</w:t>
            </w:r>
          </w:p>
        </w:tc>
        <w:tc>
          <w:tcPr>
            <w:tcW w:w="2551" w:type="dxa"/>
            <w:vAlign w:val="center"/>
          </w:tcPr>
          <w:p>
            <w:pPr>
              <w:pStyle w:val="16"/>
            </w:pPr>
            <w:r>
              <w:t>9.25</w:t>
            </w:r>
          </w:p>
        </w:tc>
      </w:tr>
    </w:tbl>
    <w:p>
      <w:pPr>
        <w:sectPr>
          <w:pgSz w:w="16840" w:h="11900" w:orient="landscape"/>
          <w:pgMar w:top="1361" w:right="1020" w:bottom="1134" w:left="1020" w:header="720" w:footer="720" w:gutter="0"/>
          <w:cols w:space="720" w:num="1"/>
        </w:sectPr>
      </w:pPr>
    </w:p>
    <w:p>
      <w:pPr>
        <w:jc w:val="center"/>
        <w:outlineLvl w:val="1"/>
      </w:pPr>
      <w:bookmarkStart w:id="10" w:name="tz_0001_0006"/>
      <w:bookmarkEnd w:id="10"/>
      <w:bookmarkStart w:id="11" w:name="_Toc_2_2_0000000006"/>
      <w:r>
        <w:rPr>
          <w:rFonts w:ascii="方正小标宋_GBK" w:hAnsi="方正小标宋_GBK" w:eastAsia="方正小标宋_GBK" w:cs="方正小标宋_GBK"/>
          <w:color w:val="000000"/>
          <w:sz w:val="36"/>
        </w:rPr>
        <w:t>部门预算一般公共预算财政拨款基本支出表</w:t>
      </w:r>
      <w:bookmarkEnd w:id="1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458廊坊市第十一小学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1518.37</w:t>
            </w:r>
          </w:p>
        </w:tc>
        <w:tc>
          <w:tcPr>
            <w:tcW w:w="2551" w:type="dxa"/>
            <w:vAlign w:val="center"/>
          </w:tcPr>
          <w:p>
            <w:pPr>
              <w:pStyle w:val="20"/>
            </w:pPr>
            <w:r>
              <w:t>1508.74</w:t>
            </w:r>
          </w:p>
        </w:tc>
        <w:tc>
          <w:tcPr>
            <w:tcW w:w="2551" w:type="dxa"/>
            <w:vAlign w:val="center"/>
          </w:tcPr>
          <w:p>
            <w:pPr>
              <w:pStyle w:val="20"/>
            </w:pPr>
            <w:r>
              <w:t>9.63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1307.53</w:t>
            </w:r>
          </w:p>
        </w:tc>
        <w:tc>
          <w:tcPr>
            <w:tcW w:w="2551" w:type="dxa"/>
            <w:vAlign w:val="center"/>
          </w:tcPr>
          <w:p>
            <w:pPr>
              <w:pStyle w:val="16"/>
            </w:pPr>
            <w:r>
              <w:t>1307.53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384.18</w:t>
            </w:r>
          </w:p>
        </w:tc>
        <w:tc>
          <w:tcPr>
            <w:tcW w:w="2551" w:type="dxa"/>
            <w:vAlign w:val="center"/>
          </w:tcPr>
          <w:p>
            <w:pPr>
              <w:pStyle w:val="16"/>
            </w:pPr>
            <w:r>
              <w:t>384.18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146.18</w:t>
            </w:r>
          </w:p>
        </w:tc>
        <w:tc>
          <w:tcPr>
            <w:tcW w:w="2551" w:type="dxa"/>
            <w:vAlign w:val="center"/>
          </w:tcPr>
          <w:p>
            <w:pPr>
              <w:pStyle w:val="16"/>
            </w:pPr>
            <w:r>
              <w:t>146.18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229.45</w:t>
            </w:r>
          </w:p>
        </w:tc>
        <w:tc>
          <w:tcPr>
            <w:tcW w:w="2551" w:type="dxa"/>
            <w:vAlign w:val="center"/>
          </w:tcPr>
          <w:p>
            <w:pPr>
              <w:pStyle w:val="16"/>
            </w:pPr>
            <w:r>
              <w:t>229.45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273.75</w:t>
            </w:r>
          </w:p>
        </w:tc>
        <w:tc>
          <w:tcPr>
            <w:tcW w:w="2551" w:type="dxa"/>
            <w:vAlign w:val="center"/>
          </w:tcPr>
          <w:p>
            <w:pPr>
              <w:pStyle w:val="16"/>
            </w:pPr>
            <w:r>
              <w:t>273.75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125.36</w:t>
            </w:r>
          </w:p>
        </w:tc>
        <w:tc>
          <w:tcPr>
            <w:tcW w:w="2551" w:type="dxa"/>
            <w:vAlign w:val="center"/>
          </w:tcPr>
          <w:p>
            <w:pPr>
              <w:pStyle w:val="16"/>
            </w:pPr>
            <w:r>
              <w:t>125.36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38.92</w:t>
            </w:r>
          </w:p>
        </w:tc>
        <w:tc>
          <w:tcPr>
            <w:tcW w:w="2551" w:type="dxa"/>
            <w:vAlign w:val="center"/>
          </w:tcPr>
          <w:p>
            <w:pPr>
              <w:pStyle w:val="16"/>
            </w:pPr>
            <w:r>
              <w:t>38.92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4.00</w:t>
            </w:r>
          </w:p>
        </w:tc>
        <w:tc>
          <w:tcPr>
            <w:tcW w:w="2551" w:type="dxa"/>
            <w:vAlign w:val="center"/>
          </w:tcPr>
          <w:p>
            <w:pPr>
              <w:pStyle w:val="16"/>
            </w:pPr>
            <w:r>
              <w:t>4.00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103.13</w:t>
            </w:r>
          </w:p>
        </w:tc>
        <w:tc>
          <w:tcPr>
            <w:tcW w:w="2551" w:type="dxa"/>
            <w:vAlign w:val="center"/>
          </w:tcPr>
          <w:p>
            <w:pPr>
              <w:pStyle w:val="16"/>
            </w:pPr>
            <w:r>
              <w:t>103.13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2.56</w:t>
            </w:r>
          </w:p>
        </w:tc>
        <w:tc>
          <w:tcPr>
            <w:tcW w:w="2551" w:type="dxa"/>
            <w:vAlign w:val="center"/>
          </w:tcPr>
          <w:p>
            <w:pPr>
              <w:pStyle w:val="16"/>
            </w:pPr>
            <w:r>
              <w:t>2.56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9.63</w:t>
            </w:r>
          </w:p>
        </w:tc>
        <w:tc>
          <w:tcPr>
            <w:tcW w:w="2551" w:type="dxa"/>
            <w:vAlign w:val="center"/>
          </w:tcPr>
          <w:p>
            <w:pPr>
              <w:pStyle w:val="16"/>
            </w:pPr>
          </w:p>
        </w:tc>
        <w:tc>
          <w:tcPr>
            <w:tcW w:w="2551" w:type="dxa"/>
            <w:vAlign w:val="center"/>
          </w:tcPr>
          <w:p>
            <w:pPr>
              <w:pStyle w:val="16"/>
            </w:pPr>
            <w:r>
              <w:t>9.63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4.81</w:t>
            </w:r>
          </w:p>
        </w:tc>
        <w:tc>
          <w:tcPr>
            <w:tcW w:w="2551" w:type="dxa"/>
            <w:vAlign w:val="center"/>
          </w:tcPr>
          <w:p>
            <w:pPr>
              <w:pStyle w:val="16"/>
            </w:pPr>
          </w:p>
        </w:tc>
        <w:tc>
          <w:tcPr>
            <w:tcW w:w="2551" w:type="dxa"/>
            <w:vAlign w:val="center"/>
          </w:tcPr>
          <w:p>
            <w:pPr>
              <w:pStyle w:val="16"/>
            </w:pPr>
            <w:r>
              <w:t>4.81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4.82</w:t>
            </w:r>
          </w:p>
        </w:tc>
        <w:tc>
          <w:tcPr>
            <w:tcW w:w="2551" w:type="dxa"/>
            <w:vAlign w:val="center"/>
          </w:tcPr>
          <w:p>
            <w:pPr>
              <w:pStyle w:val="16"/>
            </w:pPr>
          </w:p>
        </w:tc>
        <w:tc>
          <w:tcPr>
            <w:tcW w:w="2551" w:type="dxa"/>
            <w:vAlign w:val="center"/>
          </w:tcPr>
          <w:p>
            <w:pPr>
              <w:pStyle w:val="16"/>
            </w:pPr>
            <w:r>
              <w:t>4.82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201.22</w:t>
            </w:r>
          </w:p>
        </w:tc>
        <w:tc>
          <w:tcPr>
            <w:tcW w:w="2551" w:type="dxa"/>
            <w:vAlign w:val="center"/>
          </w:tcPr>
          <w:p>
            <w:pPr>
              <w:pStyle w:val="16"/>
            </w:pPr>
            <w:r>
              <w:t>201.22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197.84</w:t>
            </w:r>
          </w:p>
        </w:tc>
        <w:tc>
          <w:tcPr>
            <w:tcW w:w="2551" w:type="dxa"/>
            <w:vAlign w:val="center"/>
          </w:tcPr>
          <w:p>
            <w:pPr>
              <w:pStyle w:val="16"/>
            </w:pPr>
            <w:r>
              <w:t>197.84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30305</w:t>
            </w:r>
          </w:p>
        </w:tc>
        <w:tc>
          <w:tcPr>
            <w:tcW w:w="4535" w:type="dxa"/>
            <w:vAlign w:val="center"/>
          </w:tcPr>
          <w:p>
            <w:pPr>
              <w:pStyle w:val="17"/>
            </w:pPr>
            <w:r>
              <w:t>生活补助</w:t>
            </w:r>
          </w:p>
        </w:tc>
        <w:tc>
          <w:tcPr>
            <w:tcW w:w="2551" w:type="dxa"/>
            <w:vAlign w:val="center"/>
          </w:tcPr>
          <w:p>
            <w:pPr>
              <w:pStyle w:val="16"/>
            </w:pPr>
            <w:r>
              <w:t>3.29</w:t>
            </w:r>
          </w:p>
        </w:tc>
        <w:tc>
          <w:tcPr>
            <w:tcW w:w="2551" w:type="dxa"/>
            <w:vAlign w:val="center"/>
          </w:tcPr>
          <w:p>
            <w:pPr>
              <w:pStyle w:val="16"/>
            </w:pPr>
            <w:r>
              <w:t>3.29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0.08</w:t>
            </w:r>
          </w:p>
        </w:tc>
        <w:tc>
          <w:tcPr>
            <w:tcW w:w="2551" w:type="dxa"/>
            <w:vAlign w:val="center"/>
          </w:tcPr>
          <w:p>
            <w:pPr>
              <w:pStyle w:val="16"/>
            </w:pPr>
            <w:r>
              <w:t>0.08</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2" w:name="tz_0001_0007"/>
      <w:bookmarkEnd w:id="12"/>
      <w:bookmarkStart w:id="13" w:name="_Toc_2_2_0000000007"/>
      <w:r>
        <w:rPr>
          <w:rFonts w:ascii="方正小标宋_GBK" w:hAnsi="方正小标宋_GBK" w:eastAsia="方正小标宋_GBK" w:cs="方正小标宋_GBK"/>
          <w:color w:val="000000"/>
          <w:sz w:val="36"/>
        </w:rPr>
        <w:t>部门预算政府基金预算财政拨款支出表</w:t>
      </w:r>
      <w:bookmarkEnd w:id="1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458廊坊市第十一小学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14" w:name="tz_0001_0008"/>
      <w:bookmarkEnd w:id="14"/>
      <w:bookmarkStart w:id="15" w:name="_Toc_2_2_0000000008"/>
      <w:r>
        <w:rPr>
          <w:rFonts w:ascii="方正小标宋_GBK" w:hAnsi="方正小标宋_GBK" w:eastAsia="方正小标宋_GBK" w:cs="方正小标宋_GBK"/>
          <w:color w:val="000000"/>
          <w:sz w:val="36"/>
        </w:rPr>
        <w:t>部门预算国有资本经营预算财政拨款支出表</w:t>
      </w:r>
      <w:bookmarkEnd w:id="1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458廊坊市第十一小学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16" w:name="tz_0001_0009"/>
      <w:bookmarkEnd w:id="16"/>
      <w:bookmarkStart w:id="17" w:name="_Toc_2_2_0000000009"/>
      <w:r>
        <w:rPr>
          <w:rFonts w:ascii="方正小标宋_GBK" w:hAnsi="方正小标宋_GBK" w:eastAsia="方正小标宋_GBK" w:cs="方正小标宋_GBK"/>
          <w:color w:val="000000"/>
          <w:sz w:val="36"/>
        </w:rPr>
        <w:t>部门预算财政拨款“三公”经费支出表</w:t>
      </w:r>
      <w:bookmarkEnd w:id="1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458廊坊市第十一小学</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p>
        </w:tc>
        <w:tc>
          <w:tcPr>
            <w:tcW w:w="3798" w:type="dxa"/>
            <w:vAlign w:val="center"/>
          </w:tcPr>
          <w:p>
            <w:pPr>
              <w:pStyle w:val="17"/>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廊坊市第十一小学2023年部门预算信息公开情况说明</w:t>
      </w:r>
    </w:p>
    <w:p>
      <w:pPr>
        <w:jc w:val="center"/>
      </w:pPr>
      <w:r>
        <w:rPr>
          <w:rFonts w:ascii="方正小标宋_GBK" w:hAnsi="方正小标宋_GBK" w:eastAsia="方正小标宋_GBK" w:cs="方正小标宋_GBK"/>
          <w:color w:val="000000"/>
          <w:sz w:val="44"/>
        </w:rPr>
        <w:t>廊坊市第十一小学2023年部门预算信息公开情况说明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bookmarkStart w:id="36" w:name="_GoBack"/>
      <w:bookmarkEnd w:id="36"/>
      <w:r>
        <w:rPr>
          <w:rFonts w:eastAsia="方正仿宋_GBK"/>
          <w:color w:val="000000"/>
          <w:sz w:val="28"/>
        </w:rPr>
        <w:t>预算法》、《地方预决算公开操作规程》和《关于进一步推进预算公开工作的实施意见》规定，现将廊坊市第十一小学2023年部门预算公开如下：</w:t>
      </w:r>
    </w:p>
    <w:p>
      <w:pPr>
        <w:spacing w:before="10" w:after="10" w:line="360" w:lineRule="auto"/>
        <w:ind w:firstLine="640"/>
        <w:outlineLvl w:val="2"/>
      </w:pPr>
      <w:bookmarkStart w:id="18" w:name="tz_0002_0001"/>
      <w:bookmarkEnd w:id="18"/>
      <w:bookmarkStart w:id="19" w:name="_Toc_3_3_0000000010"/>
      <w:r>
        <w:rPr>
          <w:rFonts w:ascii="黑体" w:hAnsi="黑体" w:eastAsia="黑体" w:cs="黑体"/>
          <w:color w:val="000000"/>
          <w:sz w:val="32"/>
        </w:rPr>
        <w:t>一、部门职责及机构设置情况</w:t>
      </w:r>
      <w:bookmarkEnd w:id="19"/>
    </w:p>
    <w:p>
      <w:pPr>
        <w:ind w:firstLine="640"/>
      </w:pPr>
      <w:r>
        <w:rPr>
          <w:rFonts w:ascii="方正楷体_GBK" w:hAnsi="方正楷体_GBK" w:eastAsia="方正楷体_GBK" w:cs="方正楷体_GBK"/>
          <w:b/>
          <w:color w:val="000000"/>
          <w:sz w:val="32"/>
        </w:rPr>
        <w:t>部门职责：</w:t>
      </w:r>
    </w:p>
    <w:p>
      <w:pPr>
        <w:pStyle w:val="22"/>
      </w:pPr>
      <w:r>
        <w:t>（一）贯彻执行党和国家的教育方针、政策、法律法规，制</w:t>
      </w:r>
      <w:r>
        <w:rPr>
          <w:rFonts w:hint="eastAsia"/>
          <w:lang w:eastAsia="zh-CN"/>
        </w:rPr>
        <w:t>订</w:t>
      </w:r>
      <w:r>
        <w:t>我校的长远规划和年度计划，并组织实施。</w:t>
      </w:r>
    </w:p>
    <w:p>
      <w:pPr>
        <w:pStyle w:val="22"/>
      </w:pPr>
      <w:r>
        <w:t>（二）负责教育基本信息的统计、分析。</w:t>
      </w:r>
    </w:p>
    <w:p>
      <w:pPr>
        <w:pStyle w:val="22"/>
      </w:pPr>
      <w:r>
        <w:t>（三）负责基础教育的管理。推进义务教育均衡发展和促进教育公平，全面实施素质教育。</w:t>
      </w:r>
    </w:p>
    <w:p>
      <w:pPr>
        <w:pStyle w:val="22"/>
      </w:pPr>
      <w:r>
        <w:t>（四）负责学校教师队伍的建设和管理，提高教师队伍素质。</w:t>
      </w:r>
    </w:p>
    <w:p>
      <w:pPr>
        <w:pStyle w:val="22"/>
      </w:pPr>
      <w:r>
        <w:t>（五）负责本部门教育经费的统筹管理，教育经费预决算工作，教育经费的管理和使用；统筹规划和管理学校基本建设和设施的配置及计划统计工作。</w:t>
      </w:r>
    </w:p>
    <w:p>
      <w:pPr>
        <w:pStyle w:val="22"/>
      </w:pPr>
      <w:r>
        <w:t>（六）管理学校的党建、思想政治、宣传统战和维护稳定以及德育、体育、卫生防疫与艺术教育、国防教育工作；负责学校的安全监督管理。</w:t>
      </w:r>
    </w:p>
    <w:p>
      <w:pPr>
        <w:pStyle w:val="22"/>
      </w:pPr>
      <w:r>
        <w:t>（七）负责做好学校的招生、考试工作；负责管理本校教师学历教育及考试工作。</w:t>
      </w:r>
    </w:p>
    <w:p>
      <w:pPr>
        <w:pStyle w:val="22"/>
      </w:pPr>
      <w:r>
        <w:t>（八）负责组织开展学校教育的督导评估、检查验收、质量监测等工作。</w:t>
      </w:r>
    </w:p>
    <w:p>
      <w:pPr>
        <w:pStyle w:val="22"/>
      </w:pPr>
      <w:r>
        <w:t>（九）负责学校党的政治建设、思想建设、组织建设、作风建设、纪律建设和制度建设。</w:t>
      </w:r>
    </w:p>
    <w:p>
      <w:pPr>
        <w:pStyle w:val="22"/>
      </w:pPr>
      <w:r>
        <w:t>（十）负责学校学生和教师的思想政治工作，学校思想政治队伍建设和学校校本课程教育教学。</w:t>
      </w:r>
    </w:p>
    <w:p>
      <w:pPr>
        <w:pStyle w:val="22"/>
      </w:pPr>
      <w:r>
        <w:t>（十一）负责学校安全稳定工作。</w:t>
      </w:r>
    </w:p>
    <w:p>
      <w:pPr>
        <w:pStyle w:val="22"/>
      </w:pPr>
      <w:r>
        <w:t>（十二）做好本校体育事业发展规划、全民健身计划，开展群众性体育活动。</w:t>
      </w:r>
    </w:p>
    <w:p>
      <w:pPr>
        <w:pStyle w:val="22"/>
      </w:pPr>
      <w:r>
        <w:t>（十三）做好上级部门交办的其他事项。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廊坊市第十一小学</w:t>
            </w:r>
          </w:p>
        </w:tc>
        <w:tc>
          <w:tcPr>
            <w:tcW w:w="1843" w:type="dxa"/>
            <w:vAlign w:val="center"/>
          </w:tcPr>
          <w:p>
            <w:pPr>
              <w:pStyle w:val="18"/>
            </w:pPr>
            <w:r>
              <w:t>事业</w:t>
            </w:r>
          </w:p>
        </w:tc>
        <w:tc>
          <w:tcPr>
            <w:tcW w:w="2126" w:type="dxa"/>
            <w:vAlign w:val="center"/>
          </w:tcPr>
          <w:p>
            <w:pPr>
              <w:pStyle w:val="18"/>
            </w:pPr>
            <w:r>
              <w:t>副科级</w:t>
            </w:r>
          </w:p>
        </w:tc>
        <w:tc>
          <w:tcPr>
            <w:tcW w:w="3827" w:type="dxa"/>
            <w:vAlign w:val="center"/>
          </w:tcPr>
          <w:p>
            <w:pPr>
              <w:pStyle w:val="18"/>
            </w:pPr>
            <w:r>
              <w:t>财政性资金基本保证</w:t>
            </w:r>
          </w:p>
        </w:tc>
      </w:tr>
    </w:tbl>
    <w:p>
      <w:pPr>
        <w:spacing w:before="10" w:after="10" w:line="360" w:lineRule="auto"/>
        <w:ind w:firstLine="640"/>
        <w:outlineLvl w:val="2"/>
      </w:pPr>
      <w:bookmarkStart w:id="20" w:name="tz_0002_0002"/>
      <w:bookmarkEnd w:id="20"/>
      <w:bookmarkStart w:id="21" w:name="_Toc_3_3_0000000011"/>
      <w:r>
        <w:rPr>
          <w:rFonts w:ascii="黑体" w:hAnsi="黑体" w:eastAsia="黑体" w:cs="黑体"/>
          <w:color w:val="000000"/>
          <w:sz w:val="32"/>
        </w:rPr>
        <w:t>二、部门预算安排的总体情况</w:t>
      </w:r>
      <w:bookmarkEnd w:id="21"/>
    </w:p>
    <w:p>
      <w:pPr>
        <w:spacing w:line="500" w:lineRule="exact"/>
        <w:ind w:firstLine="560"/>
      </w:pPr>
      <w:r>
        <w:rPr>
          <w:rFonts w:eastAsia="方正仿宋_GBK"/>
          <w:color w:val="000000"/>
          <w:sz w:val="28"/>
        </w:rPr>
        <w:t>按照预算管理有关规定，目前我区部门预算的编制实行综合预算管理，即全部收入和支出都反映在预算中。廊坊市第十一小学机关及所属事业单位的收支包含在部门预算中。</w:t>
      </w:r>
    </w:p>
    <w:p>
      <w:pPr>
        <w:pStyle w:val="23"/>
      </w:pPr>
      <w:r>
        <w:t>1、收入说明</w:t>
      </w:r>
    </w:p>
    <w:p>
      <w:pPr>
        <w:pStyle w:val="23"/>
      </w:pPr>
      <w:r>
        <w:t>反映本部门当年全部收入。2023年预算收入1527.63万元，其中：一般公共预算收入1527.63万元，基金预算收入0万元，财政专户核拨收入0万元，其他来源收入0万元，上年结转0万元。</w:t>
      </w:r>
    </w:p>
    <w:p>
      <w:pPr>
        <w:pStyle w:val="23"/>
      </w:pPr>
      <w:r>
        <w:t>2、支出说明</w:t>
      </w:r>
    </w:p>
    <w:p>
      <w:pPr>
        <w:pStyle w:val="23"/>
      </w:pPr>
      <w:r>
        <w:t>收支预算总表支出栏、基本支出表、项目支出表按经济分类和支出功能分类科目编制，反映廊坊市第十一小学2023年度部门预算中支出预算的总体情况。2023年支出预算1527.63万元，其中：基本支出1518.37万元，包括人员经费1508.74万元和日常公用经费9.63万元；项目支出9.25万元，全部为本级支出，主要为义务教育学校生均公用经费资金[区级]项目。</w:t>
      </w:r>
    </w:p>
    <w:p>
      <w:pPr>
        <w:pStyle w:val="23"/>
      </w:pPr>
      <w:r>
        <w:t>3、比上年增减情况</w:t>
      </w:r>
    </w:p>
    <w:p>
      <w:pPr>
        <w:pStyle w:val="23"/>
      </w:pPr>
      <w:r>
        <w:t>2023年预算收支安排1527.63万元，较2022年预算增加167.02万元，其中：基本支出增加653.2万元，增加原因主要为人员经费支出增加；项目支出减少486.19万元，减少原因主要为基建、修缮项目支出减少。</w:t>
      </w:r>
    </w:p>
    <w:p>
      <w:pPr>
        <w:pStyle w:val="23"/>
      </w:pPr>
    </w:p>
    <w:p>
      <w:pPr>
        <w:spacing w:before="10" w:after="10" w:line="360" w:lineRule="auto"/>
        <w:ind w:firstLine="640"/>
        <w:outlineLvl w:val="2"/>
      </w:pPr>
      <w:bookmarkStart w:id="22" w:name="tz_0002_0003"/>
      <w:bookmarkEnd w:id="22"/>
      <w:bookmarkStart w:id="23" w:name="_Toc_3_3_0000000012"/>
      <w:r>
        <w:rPr>
          <w:rFonts w:ascii="黑体" w:hAnsi="黑体" w:eastAsia="黑体" w:cs="黑体"/>
          <w:color w:val="000000"/>
          <w:sz w:val="32"/>
        </w:rPr>
        <w:t>三、机关运行经费安排情况</w:t>
      </w:r>
      <w:bookmarkEnd w:id="23"/>
    </w:p>
    <w:p>
      <w:pPr>
        <w:pStyle w:val="24"/>
      </w:pPr>
      <w:r>
        <w:t>2023年，我部门运行经费共计安排9.63万元，主要用于办公区的日常维修、办公费用、办公用房水电费、办公用房取暖费、邮电费、差旅费、办公用房物业管理费、公务用车运行维护费等日常运行支出。</w:t>
      </w:r>
    </w:p>
    <w:p>
      <w:pPr>
        <w:spacing w:before="10" w:after="10" w:line="360" w:lineRule="auto"/>
        <w:ind w:firstLine="640"/>
        <w:outlineLvl w:val="2"/>
      </w:pPr>
      <w:bookmarkStart w:id="24" w:name="tz_0002_0004"/>
      <w:bookmarkEnd w:id="24"/>
      <w:bookmarkStart w:id="25" w:name="_Toc_3_3_0000000013"/>
      <w:r>
        <w:rPr>
          <w:rFonts w:ascii="黑体" w:hAnsi="黑体" w:eastAsia="黑体" w:cs="黑体"/>
          <w:color w:val="000000"/>
          <w:sz w:val="32"/>
        </w:rPr>
        <w:t>四、财政拨款“三公”经费预算情况及增减变化原因</w:t>
      </w:r>
      <w:bookmarkEnd w:id="25"/>
    </w:p>
    <w:p>
      <w:pPr>
        <w:pStyle w:val="25"/>
      </w:pPr>
      <w:r>
        <w:t>2023年，我部门财政拨款“三公”经费预算安排0万元。其中，因公出国（境）费0万元；公务用车购置及运维费0万元（其中：公务用车购置费为0万元，公务用车运维费0万元)；公务接待费0万元。与2022年相比持平，无增减变化。</w:t>
      </w:r>
    </w:p>
    <w:p>
      <w:pPr>
        <w:spacing w:before="10" w:after="10" w:line="360" w:lineRule="auto"/>
        <w:ind w:firstLine="640"/>
        <w:outlineLvl w:val="2"/>
      </w:pPr>
      <w:bookmarkStart w:id="26" w:name="tz_0002_0005"/>
      <w:bookmarkEnd w:id="26"/>
      <w:bookmarkStart w:id="27" w:name="_Toc_3_3_0000000014"/>
      <w:r>
        <w:rPr>
          <w:rFonts w:ascii="黑体" w:hAnsi="黑体" w:eastAsia="黑体" w:cs="黑体"/>
          <w:color w:val="000000"/>
          <w:sz w:val="32"/>
        </w:rPr>
        <w:t>五、预算绩效信息</w:t>
      </w:r>
      <w:bookmarkEnd w:id="27"/>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6"/>
      </w:pPr>
      <w:r>
        <w:t>廊坊市第十一小学坚持执行党和国家的教育方针、政策、法规，维护学校的教学秩序，为学生创造良好的学习环境；积极稳妥地推进教育改革，按教育规律办事，不断提高教育质量，建立健全各项规章制度和岗位责任制；通过完善我校教育基础设施，推进学校建设，改善师生学习环境；加强教师队伍建设，提高教师专业素质、学生综合素质、学生学习效率，提升教育教学水平；坚持教书育人，服务育人，环境育人方针，加强对学生的思想品德教育，使学生的德智体全面发展；抓好教师队伍建设，使每个教师都热心于教育事业，做好安全防范，保证学生的人身安全。</w:t>
      </w:r>
    </w:p>
    <w:p>
      <w:pPr>
        <w:spacing w:line="500" w:lineRule="exact"/>
        <w:ind w:firstLine="560"/>
      </w:pPr>
      <w:r>
        <w:rPr>
          <w:rFonts w:eastAsia="方正仿宋_GBK"/>
          <w:color w:val="000000"/>
          <w:sz w:val="28"/>
        </w:rPr>
        <w:t>（二）分项绩效目标</w:t>
      </w:r>
    </w:p>
    <w:p>
      <w:pPr>
        <w:pStyle w:val="27"/>
      </w:pPr>
      <w:r>
        <w:t>1、教育教学绩效</w:t>
      </w:r>
    </w:p>
    <w:p>
      <w:pPr>
        <w:pStyle w:val="27"/>
      </w:pPr>
      <w:r>
        <w:t>绩效目标：按质按量完成教育教学方面的各项任务，稳步提升学校的教育教学质量。深化教育教学改革创新，推行义务教育质量检测。</w:t>
      </w:r>
    </w:p>
    <w:p>
      <w:pPr>
        <w:pStyle w:val="27"/>
      </w:pPr>
      <w:r>
        <w:t>绩效指标：各项工作完成情况达到100%；提升教师教学及备课质量，提高学生综合素质。</w:t>
      </w:r>
    </w:p>
    <w:p>
      <w:pPr>
        <w:pStyle w:val="27"/>
      </w:pPr>
      <w:r>
        <w:t>2、培养高素质的教师队伍</w:t>
      </w:r>
    </w:p>
    <w:p>
      <w:pPr>
        <w:pStyle w:val="27"/>
      </w:pPr>
      <w:r>
        <w:t>绩效目标：提高教师培训质量，提升教师业务能力和水平，不断提高教学质量。</w:t>
      </w:r>
    </w:p>
    <w:p>
      <w:pPr>
        <w:pStyle w:val="27"/>
      </w:pPr>
      <w:r>
        <w:t>绩效指标：及时组织教师参加培训；教师培训合格率达到100%。</w:t>
      </w:r>
    </w:p>
    <w:p>
      <w:pPr>
        <w:pStyle w:val="27"/>
      </w:pPr>
      <w:r>
        <w:t>3、加强学校安全工作</w:t>
      </w:r>
    </w:p>
    <w:p>
      <w:pPr>
        <w:pStyle w:val="27"/>
      </w:pPr>
      <w:r>
        <w:t>绩效目标：防范化解学校安全风险，排查整改安全隐患，提高学生安全防范意识。</w:t>
      </w:r>
    </w:p>
    <w:p>
      <w:pPr>
        <w:pStyle w:val="27"/>
      </w:pPr>
      <w:r>
        <w:t>绩效指标：通过项目的开展，提升学校安防级别；师生对项目的满意度达到95%。</w:t>
      </w:r>
    </w:p>
    <w:p>
      <w:pPr>
        <w:pStyle w:val="27"/>
      </w:pPr>
      <w:r>
        <w:t>4、办满意的学校</w:t>
      </w:r>
    </w:p>
    <w:p>
      <w:pPr>
        <w:pStyle w:val="27"/>
      </w:pPr>
      <w:r>
        <w:t>绩效目标：不断改善办学条件，提升学校基础设施设备的整体水平，不断提高教育质量。</w:t>
      </w:r>
    </w:p>
    <w:p>
      <w:pPr>
        <w:pStyle w:val="27"/>
      </w:pPr>
      <w:r>
        <w:t>绩效指标：教师、学生、家长整体满意度达到90%以上。</w:t>
      </w:r>
    </w:p>
    <w:p>
      <w:pPr>
        <w:spacing w:line="500" w:lineRule="exact"/>
        <w:ind w:firstLine="560"/>
      </w:pPr>
      <w:r>
        <w:rPr>
          <w:rFonts w:eastAsia="方正仿宋_GBK"/>
          <w:color w:val="000000"/>
          <w:sz w:val="28"/>
        </w:rPr>
        <w:t>（三）工作保障措施</w:t>
      </w:r>
    </w:p>
    <w:p>
      <w:pPr>
        <w:pStyle w:val="28"/>
      </w:pPr>
      <w:r>
        <w:t>1、完善制度建设</w:t>
      </w:r>
    </w:p>
    <w:p>
      <w:pPr>
        <w:pStyle w:val="28"/>
      </w:pPr>
      <w:r>
        <w:t>完善工作制度，制定完善预算绩效管理制度、资金管理办法等，为全年预算绩效目标的实现奠定坚实的基础。</w:t>
      </w:r>
    </w:p>
    <w:p>
      <w:pPr>
        <w:pStyle w:val="28"/>
      </w:pPr>
      <w:r>
        <w:t>2、加强绩效运行监控</w:t>
      </w:r>
    </w:p>
    <w:p>
      <w:pPr>
        <w:pStyle w:val="28"/>
      </w:pPr>
      <w:r>
        <w:t>按要求开展绩效运行监控，发现问题及时采取措施，确保绩效目标如期保质实现。</w:t>
      </w:r>
    </w:p>
    <w:p>
      <w:pPr>
        <w:pStyle w:val="28"/>
      </w:pPr>
      <w:r>
        <w:t>3、做好绩效自评</w:t>
      </w:r>
    </w:p>
    <w:p>
      <w:pPr>
        <w:pStyle w:val="28"/>
      </w:pPr>
      <w:r>
        <w:t>按要求做好预算绩效自评工作，加强对重点预算项目的自评工作，通过对评价中发现的问题进行整改，提高财政资金使用效益。</w:t>
      </w:r>
    </w:p>
    <w:p>
      <w:pPr>
        <w:pStyle w:val="28"/>
      </w:pPr>
      <w:r>
        <w:t>4、规范财务资产管理</w:t>
      </w:r>
    </w:p>
    <w:p>
      <w:pPr>
        <w:pStyle w:val="28"/>
      </w:pPr>
      <w:r>
        <w:t>进一步完善财务管理制度，严格审批程序，规范审批流程，加强固定资产登记、使用和报废处置管理，做到支出合理，物尽其用。</w:t>
      </w:r>
    </w:p>
    <w:p>
      <w:pPr>
        <w:pStyle w:val="28"/>
      </w:pPr>
      <w:r>
        <w:t>5、做好工会工作</w:t>
      </w:r>
    </w:p>
    <w:p>
      <w:pPr>
        <w:pStyle w:val="28"/>
      </w:pPr>
      <w:r>
        <w:t>贯彻落实中央和省、市、区委关于重大节日开展对离退休干部进行走访慰问的指示精神，做好困难党员、群众、老教师、优抚对象、劳动模范的关心帮扶工作，充分体现党和政府对教育工作者的关怀。</w:t>
      </w:r>
    </w:p>
    <w:p>
      <w:pPr>
        <w:pStyle w:val="28"/>
      </w:pPr>
      <w:r>
        <w:t>6、完善拓展德育队伍建设。</w:t>
      </w:r>
    </w:p>
    <w:p>
      <w:pPr>
        <w:pStyle w:val="28"/>
      </w:pPr>
      <w:r>
        <w:t>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pStyle w:val="28"/>
      </w:pPr>
      <w:r>
        <w:t>7、加强政治理论学习，强化党风廉政建设。</w:t>
      </w:r>
    </w:p>
    <w:p>
      <w:pPr>
        <w:pStyle w:val="28"/>
      </w:pPr>
      <w:r>
        <w:t>做好师德传承活动，落实老中青传帮带。弘扬办学精神。加强师德宣传与学习活动。开展形式多样、扎实有效的师德教育活动。</w:t>
      </w: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（四）部门整体支出绩效指标</w:t>
      </w:r>
    </w:p>
    <w:tbl>
      <w:tblPr>
        <w:tblStyle w:val="8"/>
        <w:tblW w:w="0" w:type="auto"/>
        <w:jc w:val="center"/>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724"/>
        <w:gridCol w:w="709"/>
        <w:gridCol w:w="1701"/>
        <w:gridCol w:w="6237"/>
        <w:gridCol w:w="2268"/>
        <w:gridCol w:w="567"/>
        <w:gridCol w:w="567"/>
        <w:gridCol w:w="1134"/>
        <w:gridCol w:w="923"/>
      </w:tblGrid>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lang w:eastAsia="zh-CN"/>
              </w:rPr>
            </w:pPr>
            <w:r>
              <w:rPr>
                <w:rFonts w:hint="eastAsia" w:ascii="方正书宋_GBK" w:eastAsia="方正书宋_GBK"/>
                <w:b/>
                <w:bCs/>
                <w:color w:val="000000"/>
              </w:rPr>
              <w:t>一级指标</w:t>
            </w:r>
          </w:p>
        </w:tc>
        <w:tc>
          <w:tcPr>
            <w:tcW w:w="709"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二级</w:t>
            </w:r>
          </w:p>
          <w:p>
            <w:pPr>
              <w:jc w:val="center"/>
              <w:rPr>
                <w:rFonts w:ascii="方正书宋_GBK" w:eastAsia="方正书宋_GBK"/>
                <w:b/>
                <w:bCs/>
                <w:color w:val="000000"/>
              </w:rPr>
            </w:pPr>
            <w:r>
              <w:rPr>
                <w:rFonts w:hint="eastAsia" w:ascii="方正书宋_GBK" w:eastAsia="方正书宋_GBK"/>
                <w:b/>
                <w:bCs/>
                <w:color w:val="000000"/>
              </w:rPr>
              <w:t>指标</w:t>
            </w:r>
          </w:p>
        </w:tc>
        <w:tc>
          <w:tcPr>
            <w:tcW w:w="1701"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三级指标</w:t>
            </w:r>
          </w:p>
        </w:tc>
        <w:tc>
          <w:tcPr>
            <w:tcW w:w="6237"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评（扣）分标准</w:t>
            </w:r>
          </w:p>
        </w:tc>
        <w:tc>
          <w:tcPr>
            <w:tcW w:w="2268"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绩效指标描述</w:t>
            </w:r>
          </w:p>
        </w:tc>
        <w:tc>
          <w:tcPr>
            <w:tcW w:w="2268" w:type="dxa"/>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tc>
        <w:tc>
          <w:tcPr>
            <w:tcW w:w="923"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p>
            <w:pPr>
              <w:jc w:val="center"/>
              <w:rPr>
                <w:rFonts w:ascii="方正书宋_GBK" w:eastAsia="方正书宋_GBK"/>
                <w:b/>
                <w:bCs/>
                <w:color w:val="000000"/>
              </w:rPr>
            </w:pPr>
            <w:r>
              <w:rPr>
                <w:rFonts w:hint="eastAsia" w:ascii="方正书宋_GBK" w:eastAsia="方正书宋_GBK"/>
                <w:b/>
                <w:bCs/>
                <w:color w:val="000000"/>
              </w:rPr>
              <w:t>确定依据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jc w:val="center"/>
              <w:rPr>
                <w:rFonts w:ascii="方正书宋_GBK" w:hAnsi="宋体" w:eastAsia="方正书宋_GBK" w:cs="宋体"/>
                <w:b/>
                <w:bCs/>
                <w:color w:val="000000"/>
              </w:rPr>
            </w:pPr>
          </w:p>
        </w:tc>
        <w:tc>
          <w:tcPr>
            <w:tcW w:w="709" w:type="dxa"/>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c>
          <w:tcPr>
            <w:tcW w:w="1701" w:type="dxa"/>
            <w:vMerge w:val="continue"/>
            <w:shd w:val="clear" w:color="auto" w:fill="auto"/>
            <w:tcMar>
              <w:top w:w="15" w:type="dxa"/>
              <w:left w:w="15" w:type="dxa"/>
              <w:bottom w:w="0" w:type="dxa"/>
              <w:right w:w="15" w:type="dxa"/>
            </w:tcMar>
            <w:vAlign w:val="center"/>
          </w:tcPr>
          <w:p>
            <w:pPr>
              <w:jc w:val="center"/>
              <w:rPr>
                <w:rFonts w:ascii="方正书宋_GBK" w:hAnsi="宋体" w:eastAsia="方正书宋_GBK" w:cs="宋体"/>
                <w:b/>
                <w:bCs/>
                <w:color w:val="000000"/>
              </w:rPr>
            </w:pPr>
          </w:p>
        </w:tc>
        <w:tc>
          <w:tcPr>
            <w:tcW w:w="6237" w:type="dxa"/>
            <w:vMerge w:val="continue"/>
            <w:shd w:val="clear" w:color="auto" w:fill="auto"/>
            <w:tcMar>
              <w:top w:w="15" w:type="dxa"/>
              <w:left w:w="15" w:type="dxa"/>
              <w:bottom w:w="0" w:type="dxa"/>
              <w:right w:w="15" w:type="dxa"/>
            </w:tcMar>
            <w:vAlign w:val="center"/>
          </w:tcPr>
          <w:p>
            <w:pPr>
              <w:jc w:val="center"/>
              <w:rPr>
                <w:rFonts w:ascii="方正书宋_GBK" w:hAnsi="宋体" w:eastAsia="方正书宋_GBK" w:cs="宋体"/>
                <w:b/>
                <w:bCs/>
                <w:color w:val="000000"/>
              </w:rPr>
            </w:pPr>
          </w:p>
        </w:tc>
        <w:tc>
          <w:tcPr>
            <w:tcW w:w="2268" w:type="dxa"/>
            <w:vMerge w:val="continue"/>
            <w:shd w:val="clear" w:color="auto" w:fill="auto"/>
            <w:tcMar>
              <w:top w:w="15" w:type="dxa"/>
              <w:left w:w="15" w:type="dxa"/>
              <w:bottom w:w="0" w:type="dxa"/>
              <w:right w:w="15" w:type="dxa"/>
            </w:tcMar>
            <w:vAlign w:val="center"/>
          </w:tcPr>
          <w:p>
            <w:pPr>
              <w:jc w:val="center"/>
              <w:rPr>
                <w:rFonts w:ascii="方正书宋_GBK" w:hAnsi="宋体" w:eastAsia="方正书宋_GBK" w:cs="宋体"/>
                <w:b/>
                <w:bCs/>
                <w:color w:val="000000"/>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符号</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值</w:t>
            </w:r>
          </w:p>
        </w:tc>
        <w:tc>
          <w:tcPr>
            <w:tcW w:w="1134"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单位</w:t>
            </w:r>
          </w:p>
        </w:tc>
        <w:tc>
          <w:tcPr>
            <w:tcW w:w="923" w:type="dxa"/>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724"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部门产出</w:t>
            </w:r>
          </w:p>
        </w:tc>
        <w:tc>
          <w:tcPr>
            <w:tcW w:w="709"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1701" w:type="dxa"/>
            <w:vMerge w:val="restart"/>
            <w:shd w:val="clear" w:color="auto" w:fill="auto"/>
            <w:tcMar>
              <w:top w:w="15" w:type="dxa"/>
              <w:left w:w="15" w:type="dxa"/>
              <w:bottom w:w="0" w:type="dxa"/>
              <w:right w:w="15" w:type="dxa"/>
            </w:tcMar>
            <w:vAlign w:val="center"/>
          </w:tcPr>
          <w:p>
            <w:pPr>
              <w:jc w:val="center"/>
              <w:rPr>
                <w:rFonts w:ascii="宋体" w:eastAsia="宋体"/>
                <w:color w:val="000000"/>
                <w:sz w:val="22"/>
                <w:szCs w:val="22"/>
              </w:rPr>
            </w:pPr>
            <w:r>
              <w:rPr>
                <w:rFonts w:hint="eastAsia" w:ascii="宋体" w:hAnsi="宋体" w:eastAsia="宋体" w:cs="宋体"/>
                <w:color w:val="000000"/>
                <w:sz w:val="22"/>
                <w:szCs w:val="22"/>
              </w:rPr>
              <w:t>小学生毕业生合格率</w:t>
            </w:r>
          </w:p>
        </w:tc>
        <w:tc>
          <w:tcPr>
            <w:tcW w:w="6237" w:type="dxa"/>
            <w:vMerge w:val="restart"/>
            <w:shd w:val="clear" w:color="auto" w:fill="auto"/>
            <w:tcMar>
              <w:top w:w="15" w:type="dxa"/>
              <w:left w:w="15" w:type="dxa"/>
              <w:bottom w:w="0" w:type="dxa"/>
              <w:right w:w="15" w:type="dxa"/>
            </w:tcMar>
            <w:vAlign w:val="center"/>
          </w:tcPr>
          <w:p>
            <w:pPr>
              <w:jc w:val="center"/>
              <w:rPr>
                <w:rFonts w:ascii="Calibri" w:hAnsi="Calibri" w:cs="Calibri"/>
                <w:color w:val="000000"/>
                <w:sz w:val="22"/>
                <w:szCs w:val="22"/>
              </w:rPr>
            </w:pPr>
            <w:r>
              <w:rPr>
                <w:rStyle w:val="34"/>
              </w:rPr>
              <w:t>20</w:t>
            </w:r>
            <w:r>
              <w:rPr>
                <w:rStyle w:val="35"/>
                <w:rFonts w:hint="default" w:cs="Calibri"/>
              </w:rPr>
              <w:t>分毕业生合格率</w:t>
            </w:r>
            <w:r>
              <w:rPr>
                <w:rStyle w:val="34"/>
              </w:rPr>
              <w:t>100%</w:t>
            </w:r>
            <w:r>
              <w:rPr>
                <w:rStyle w:val="35"/>
                <w:rFonts w:hint="default" w:cs="Calibri"/>
              </w:rPr>
              <w:t>得满分，否则不得分</w:t>
            </w:r>
          </w:p>
        </w:tc>
        <w:tc>
          <w:tcPr>
            <w:tcW w:w="2268" w:type="dxa"/>
            <w:vMerge w:val="restart"/>
            <w:shd w:val="clear" w:color="auto" w:fill="auto"/>
            <w:tcMar>
              <w:top w:w="15" w:type="dxa"/>
              <w:left w:w="15" w:type="dxa"/>
              <w:bottom w:w="0" w:type="dxa"/>
              <w:right w:w="15" w:type="dxa"/>
            </w:tcMar>
            <w:vAlign w:val="center"/>
          </w:tcPr>
          <w:p>
            <w:pPr>
              <w:jc w:val="center"/>
              <w:rPr>
                <w:rFonts w:ascii="宋体" w:hAnsi="宋体" w:cs="宋体"/>
                <w:color w:val="000000"/>
                <w:sz w:val="22"/>
                <w:szCs w:val="22"/>
              </w:rPr>
            </w:pPr>
            <w:r>
              <w:rPr>
                <w:rFonts w:hint="eastAsia" w:ascii="宋体" w:hAnsi="宋体" w:eastAsia="宋体" w:cs="宋体"/>
                <w:color w:val="000000"/>
                <w:sz w:val="22"/>
                <w:szCs w:val="22"/>
              </w:rPr>
              <w:t>小学生毕业生合格率</w:t>
            </w:r>
          </w:p>
        </w:tc>
        <w:tc>
          <w:tcPr>
            <w:tcW w:w="567" w:type="dxa"/>
            <w:vMerge w:val="restart"/>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567" w:type="dxa"/>
            <w:vMerge w:val="restar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100</w:t>
            </w:r>
          </w:p>
        </w:tc>
        <w:tc>
          <w:tcPr>
            <w:tcW w:w="1134" w:type="dxa"/>
            <w:vMerge w:val="restart"/>
            <w:shd w:val="clear" w:color="auto" w:fill="auto"/>
            <w:tcMar>
              <w:top w:w="15" w:type="dxa"/>
              <w:left w:w="15" w:type="dxa"/>
              <w:bottom w:w="0" w:type="dxa"/>
              <w:right w:w="15" w:type="dxa"/>
            </w:tcMar>
            <w:vAlign w:val="center"/>
          </w:tcPr>
          <w:p>
            <w:pPr>
              <w:jc w:val="center"/>
              <w:rPr>
                <w:rFonts w:ascii="宋体" w:eastAsia="宋体"/>
                <w:color w:val="000000"/>
                <w:sz w:val="22"/>
                <w:szCs w:val="22"/>
              </w:rPr>
            </w:pPr>
            <w:r>
              <w:rPr>
                <w:rFonts w:hint="eastAsia" w:ascii="宋体" w:hAnsi="宋体" w:eastAsia="宋体" w:cs="宋体"/>
                <w:color w:val="000000"/>
                <w:sz w:val="22"/>
                <w:szCs w:val="22"/>
              </w:rPr>
              <w:t>百分比</w:t>
            </w:r>
          </w:p>
        </w:tc>
        <w:tc>
          <w:tcPr>
            <w:tcW w:w="923" w:type="dxa"/>
            <w:vMerge w:val="restart"/>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岗位职责</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724" w:type="dxa"/>
            <w:vMerge w:val="continue"/>
            <w:shd w:val="clear" w:color="auto" w:fill="auto"/>
            <w:vAlign w:val="center"/>
          </w:tcPr>
          <w:p>
            <w:pPr>
              <w:jc w:val="center"/>
              <w:rPr>
                <w:rFonts w:ascii="方正书宋_GBK" w:hAnsi="宋体" w:eastAsia="方正书宋_GBK" w:cs="宋体"/>
                <w:color w:val="000000"/>
              </w:rPr>
            </w:pPr>
          </w:p>
        </w:tc>
        <w:tc>
          <w:tcPr>
            <w:tcW w:w="709" w:type="dxa"/>
            <w:vMerge w:val="continue"/>
            <w:shd w:val="clear" w:color="auto" w:fill="auto"/>
            <w:vAlign w:val="center"/>
          </w:tcPr>
          <w:p>
            <w:pPr>
              <w:jc w:val="center"/>
              <w:rPr>
                <w:rFonts w:ascii="方正书宋_GBK" w:hAnsi="宋体" w:eastAsia="方正书宋_GBK" w:cs="宋体"/>
                <w:color w:val="000000"/>
              </w:rPr>
            </w:pPr>
          </w:p>
        </w:tc>
        <w:tc>
          <w:tcPr>
            <w:tcW w:w="1701" w:type="dxa"/>
            <w:vMerge w:val="continue"/>
            <w:shd w:val="clear" w:color="auto" w:fill="auto"/>
            <w:vAlign w:val="center"/>
          </w:tcPr>
          <w:p>
            <w:pPr>
              <w:jc w:val="center"/>
              <w:rPr>
                <w:rFonts w:ascii="宋体" w:hAnsi="宋体" w:eastAsia="宋体" w:cs="宋体"/>
                <w:color w:val="000000"/>
                <w:sz w:val="22"/>
                <w:szCs w:val="22"/>
              </w:rPr>
            </w:pPr>
          </w:p>
        </w:tc>
        <w:tc>
          <w:tcPr>
            <w:tcW w:w="6237" w:type="dxa"/>
            <w:vMerge w:val="continue"/>
            <w:shd w:val="clear" w:color="auto" w:fill="auto"/>
            <w:vAlign w:val="center"/>
          </w:tcPr>
          <w:p>
            <w:pPr>
              <w:jc w:val="center"/>
              <w:rPr>
                <w:rFonts w:ascii="Calibri" w:hAnsi="Calibri" w:eastAsia="宋体" w:cs="Calibri"/>
                <w:color w:val="000000"/>
                <w:sz w:val="22"/>
                <w:szCs w:val="22"/>
              </w:rPr>
            </w:pPr>
          </w:p>
        </w:tc>
        <w:tc>
          <w:tcPr>
            <w:tcW w:w="2268" w:type="dxa"/>
            <w:vMerge w:val="continue"/>
            <w:shd w:val="clear" w:color="auto" w:fill="auto"/>
            <w:vAlign w:val="center"/>
          </w:tcPr>
          <w:p>
            <w:pPr>
              <w:jc w:val="center"/>
              <w:rPr>
                <w:rFonts w:ascii="宋体" w:hAnsi="宋体" w:eastAsia="宋体" w:cs="宋体"/>
                <w:color w:val="000000"/>
                <w:sz w:val="22"/>
                <w:szCs w:val="22"/>
              </w:rPr>
            </w:pPr>
          </w:p>
        </w:tc>
        <w:tc>
          <w:tcPr>
            <w:tcW w:w="567" w:type="dxa"/>
            <w:vMerge w:val="continue"/>
            <w:shd w:val="clear" w:color="auto" w:fill="auto"/>
            <w:vAlign w:val="center"/>
          </w:tcPr>
          <w:p>
            <w:pPr>
              <w:jc w:val="center"/>
              <w:rPr>
                <w:rFonts w:eastAsia="宋体"/>
                <w:color w:val="000000"/>
                <w:sz w:val="22"/>
                <w:szCs w:val="22"/>
              </w:rPr>
            </w:pPr>
          </w:p>
        </w:tc>
        <w:tc>
          <w:tcPr>
            <w:tcW w:w="567" w:type="dxa"/>
            <w:vMerge w:val="continue"/>
            <w:shd w:val="clear" w:color="auto" w:fill="auto"/>
            <w:vAlign w:val="center"/>
          </w:tcPr>
          <w:p>
            <w:pPr>
              <w:jc w:val="center"/>
              <w:rPr>
                <w:rFonts w:ascii="方正书宋_GBK" w:hAnsi="宋体" w:eastAsia="方正书宋_GBK" w:cs="宋体"/>
                <w:color w:val="000000"/>
              </w:rPr>
            </w:pPr>
          </w:p>
        </w:tc>
        <w:tc>
          <w:tcPr>
            <w:tcW w:w="1134" w:type="dxa"/>
            <w:vMerge w:val="continue"/>
            <w:shd w:val="clear" w:color="auto" w:fill="auto"/>
            <w:vAlign w:val="center"/>
          </w:tcPr>
          <w:p>
            <w:pPr>
              <w:jc w:val="center"/>
              <w:rPr>
                <w:rFonts w:ascii="宋体" w:hAnsi="宋体" w:eastAsia="宋体" w:cs="宋体"/>
                <w:color w:val="000000"/>
                <w:sz w:val="22"/>
                <w:szCs w:val="22"/>
              </w:rPr>
            </w:pPr>
          </w:p>
        </w:tc>
        <w:tc>
          <w:tcPr>
            <w:tcW w:w="923" w:type="dxa"/>
            <w:vMerge w:val="continue"/>
            <w:shd w:val="clear" w:color="auto" w:fill="auto"/>
            <w:vAlign w:val="center"/>
          </w:tcPr>
          <w:p>
            <w:pPr>
              <w:jc w:val="center"/>
              <w:rPr>
                <w:rFonts w:ascii="宋体" w:hAnsi="宋体" w:eastAsia="宋体" w:cs="宋体"/>
                <w:color w:val="000000"/>
                <w:sz w:val="22"/>
                <w:szCs w:val="22"/>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PrEx>
        <w:trPr>
          <w:cantSplit/>
          <w:trHeight w:val="20" w:hRule="atLeast"/>
          <w:jc w:val="center"/>
        </w:trPr>
        <w:tc>
          <w:tcPr>
            <w:tcW w:w="724" w:type="dxa"/>
            <w:vMerge w:val="continue"/>
            <w:shd w:val="clear" w:color="auto" w:fill="auto"/>
            <w:vAlign w:val="center"/>
          </w:tcPr>
          <w:p>
            <w:pPr>
              <w:jc w:val="cente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170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宋体" w:hAnsi="宋体" w:eastAsia="宋体" w:cs="宋体"/>
                <w:color w:val="000000"/>
                <w:sz w:val="22"/>
                <w:szCs w:val="22"/>
              </w:rPr>
              <w:t>重点工作实际完成率</w:t>
            </w:r>
          </w:p>
        </w:tc>
        <w:tc>
          <w:tcPr>
            <w:tcW w:w="6237" w:type="dxa"/>
            <w:shd w:val="clear" w:color="auto" w:fill="auto"/>
            <w:tcMar>
              <w:top w:w="15" w:type="dxa"/>
              <w:left w:w="15" w:type="dxa"/>
              <w:bottom w:w="0" w:type="dxa"/>
              <w:right w:w="15" w:type="dxa"/>
            </w:tcMar>
            <w:vAlign w:val="center"/>
          </w:tcPr>
          <w:p>
            <w:pPr>
              <w:jc w:val="center"/>
              <w:rPr>
                <w:rFonts w:ascii="Calibri" w:hAnsi="Calibri" w:eastAsia="宋体" w:cs="Calibri"/>
                <w:color w:val="000000"/>
                <w:sz w:val="22"/>
                <w:szCs w:val="22"/>
              </w:rPr>
            </w:pPr>
            <w:r>
              <w:rPr>
                <w:rStyle w:val="34"/>
              </w:rPr>
              <w:t>10</w:t>
            </w:r>
            <w:r>
              <w:rPr>
                <w:rStyle w:val="35"/>
                <w:rFonts w:hint="default" w:cs="Calibri"/>
              </w:rPr>
              <w:t>分不低于</w:t>
            </w:r>
            <w:r>
              <w:rPr>
                <w:rStyle w:val="34"/>
              </w:rPr>
              <w:t>95%</w:t>
            </w:r>
            <w:r>
              <w:rPr>
                <w:rStyle w:val="35"/>
                <w:rFonts w:hint="default" w:cs="Calibri"/>
              </w:rPr>
              <w:t>得满分，否则不得分</w:t>
            </w:r>
            <w:r>
              <w:rPr>
                <w:rStyle w:val="34"/>
              </w:rPr>
              <w:t>5</w:t>
            </w:r>
            <w:r>
              <w:rPr>
                <w:rStyle w:val="35"/>
                <w:rFonts w:hint="default" w:cs="Calibri"/>
              </w:rPr>
              <w:t>每减少</w:t>
            </w:r>
            <w:r>
              <w:rPr>
                <w:rStyle w:val="34"/>
              </w:rPr>
              <w:t>1%</w:t>
            </w:r>
            <w:r>
              <w:rPr>
                <w:rStyle w:val="35"/>
                <w:rFonts w:hint="default" w:cs="Calibri"/>
              </w:rPr>
              <w:t>扣</w:t>
            </w:r>
            <w:r>
              <w:rPr>
                <w:rStyle w:val="34"/>
              </w:rPr>
              <w:t>1</w:t>
            </w:r>
            <w:r>
              <w:rPr>
                <w:rStyle w:val="35"/>
                <w:rFonts w:hint="default" w:cs="Calibri"/>
              </w:rPr>
              <w:t>分，扣完为止</w:t>
            </w:r>
          </w:p>
        </w:tc>
        <w:tc>
          <w:tcPr>
            <w:tcW w:w="2268" w:type="dxa"/>
            <w:shd w:val="clear" w:color="auto" w:fill="auto"/>
            <w:tcMar>
              <w:top w:w="15" w:type="dxa"/>
              <w:left w:w="15" w:type="dxa"/>
              <w:bottom w:w="0" w:type="dxa"/>
              <w:right w:w="15" w:type="dxa"/>
            </w:tcMar>
            <w:vAlign w:val="center"/>
          </w:tcPr>
          <w:p>
            <w:pPr>
              <w:jc w:val="center"/>
              <w:rPr>
                <w:rFonts w:ascii="宋体" w:hAnsi="宋体" w:cs="宋体"/>
                <w:color w:val="000000"/>
                <w:sz w:val="22"/>
                <w:szCs w:val="22"/>
              </w:rPr>
            </w:pPr>
            <w:r>
              <w:rPr>
                <w:rFonts w:hint="eastAsia" w:ascii="宋体" w:hAnsi="宋体" w:eastAsia="宋体" w:cs="宋体"/>
                <w:color w:val="000000"/>
                <w:sz w:val="22"/>
                <w:szCs w:val="22"/>
              </w:rPr>
              <w:t>重点工作实际完成率</w:t>
            </w:r>
          </w:p>
        </w:tc>
        <w:tc>
          <w:tcPr>
            <w:tcW w:w="567" w:type="dxa"/>
            <w:shd w:val="clear" w:color="auto" w:fill="auto"/>
            <w:tcMar>
              <w:top w:w="15" w:type="dxa"/>
              <w:left w:w="15" w:type="dxa"/>
              <w:bottom w:w="0" w:type="dxa"/>
              <w:right w:w="15" w:type="dxa"/>
            </w:tcMar>
            <w:vAlign w:val="center"/>
          </w:tcPr>
          <w:p>
            <w:pPr>
              <w:jc w:val="center"/>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95</w:t>
            </w:r>
          </w:p>
        </w:tc>
        <w:tc>
          <w:tcPr>
            <w:tcW w:w="1134" w:type="dxa"/>
            <w:shd w:val="clear" w:color="auto" w:fill="auto"/>
            <w:tcMar>
              <w:top w:w="15" w:type="dxa"/>
              <w:left w:w="15" w:type="dxa"/>
              <w:bottom w:w="0" w:type="dxa"/>
              <w:right w:w="15" w:type="dxa"/>
            </w:tcMar>
            <w:vAlign w:val="center"/>
          </w:tcPr>
          <w:p>
            <w:pPr>
              <w:jc w:val="center"/>
              <w:rPr>
                <w:rFonts w:ascii="宋体" w:hAnsi="宋体" w:cs="宋体"/>
                <w:color w:val="000000"/>
                <w:sz w:val="22"/>
                <w:szCs w:val="22"/>
              </w:rPr>
            </w:pPr>
            <w:r>
              <w:rPr>
                <w:rFonts w:hint="eastAsia" w:ascii="宋体" w:hAnsi="宋体" w:eastAsia="宋体" w:cs="宋体"/>
                <w:color w:val="000000"/>
                <w:sz w:val="22"/>
                <w:szCs w:val="22"/>
              </w:rPr>
              <w:t>百分比</w:t>
            </w:r>
          </w:p>
        </w:tc>
        <w:tc>
          <w:tcPr>
            <w:tcW w:w="923"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实际工作</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724" w:type="dxa"/>
            <w:vMerge w:val="continue"/>
            <w:shd w:val="clear" w:color="auto" w:fill="auto"/>
            <w:vAlign w:val="center"/>
          </w:tcPr>
          <w:p>
            <w:pPr>
              <w:jc w:val="center"/>
              <w:rPr>
                <w:rFonts w:ascii="方正书宋_GBK" w:hAnsi="宋体" w:eastAsia="方正书宋_GBK" w:cs="宋体"/>
                <w:color w:val="000000"/>
              </w:rPr>
            </w:pPr>
          </w:p>
        </w:tc>
        <w:tc>
          <w:tcPr>
            <w:tcW w:w="709" w:type="dxa"/>
            <w:vMerge w:val="restar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质量</w:t>
            </w:r>
          </w:p>
        </w:tc>
        <w:tc>
          <w:tcPr>
            <w:tcW w:w="1701" w:type="dxa"/>
            <w:vMerge w:val="restart"/>
            <w:shd w:val="clear" w:color="auto" w:fill="auto"/>
            <w:tcMar>
              <w:top w:w="15" w:type="dxa"/>
              <w:left w:w="15" w:type="dxa"/>
              <w:bottom w:w="0" w:type="dxa"/>
              <w:right w:w="15" w:type="dxa"/>
            </w:tcMar>
            <w:vAlign w:val="center"/>
          </w:tcPr>
          <w:p>
            <w:pPr>
              <w:jc w:val="center"/>
              <w:rPr>
                <w:rFonts w:ascii="宋体" w:eastAsia="宋体"/>
                <w:color w:val="000000"/>
                <w:sz w:val="22"/>
                <w:szCs w:val="22"/>
              </w:rPr>
            </w:pPr>
            <w:r>
              <w:rPr>
                <w:rFonts w:hint="eastAsia" w:ascii="宋体" w:hAnsi="宋体" w:eastAsia="宋体" w:cs="宋体"/>
                <w:color w:val="000000"/>
                <w:sz w:val="22"/>
                <w:szCs w:val="22"/>
              </w:rPr>
              <w:t>采购物资合格率</w:t>
            </w:r>
          </w:p>
        </w:tc>
        <w:tc>
          <w:tcPr>
            <w:tcW w:w="6237" w:type="dxa"/>
            <w:vMerge w:val="restart"/>
            <w:shd w:val="clear" w:color="auto" w:fill="auto"/>
            <w:tcMar>
              <w:top w:w="15" w:type="dxa"/>
              <w:left w:w="15" w:type="dxa"/>
              <w:bottom w:w="0" w:type="dxa"/>
              <w:right w:w="15" w:type="dxa"/>
            </w:tcMar>
            <w:vAlign w:val="center"/>
          </w:tcPr>
          <w:p>
            <w:pPr>
              <w:jc w:val="center"/>
              <w:rPr>
                <w:rFonts w:ascii="Calibri" w:hAnsi="Calibri" w:cs="Calibri"/>
                <w:color w:val="000000"/>
                <w:sz w:val="22"/>
                <w:szCs w:val="22"/>
              </w:rPr>
            </w:pPr>
            <w:r>
              <w:rPr>
                <w:rStyle w:val="34"/>
              </w:rPr>
              <w:t>20</w:t>
            </w:r>
            <w:r>
              <w:rPr>
                <w:rStyle w:val="35"/>
                <w:rFonts w:hint="default" w:cs="Calibri"/>
              </w:rPr>
              <w:t>分合格率</w:t>
            </w:r>
            <w:r>
              <w:rPr>
                <w:rStyle w:val="34"/>
              </w:rPr>
              <w:t>100%</w:t>
            </w:r>
            <w:r>
              <w:rPr>
                <w:rStyle w:val="35"/>
                <w:rFonts w:hint="default" w:cs="Calibri"/>
              </w:rPr>
              <w:t>得满分，否则不得分</w:t>
            </w:r>
          </w:p>
        </w:tc>
        <w:tc>
          <w:tcPr>
            <w:tcW w:w="2268" w:type="dxa"/>
            <w:vMerge w:val="restart"/>
            <w:shd w:val="clear" w:color="auto" w:fill="auto"/>
            <w:tcMar>
              <w:top w:w="15" w:type="dxa"/>
              <w:left w:w="15" w:type="dxa"/>
              <w:bottom w:w="0" w:type="dxa"/>
              <w:right w:w="15" w:type="dxa"/>
            </w:tcMar>
            <w:vAlign w:val="center"/>
          </w:tcPr>
          <w:p>
            <w:pPr>
              <w:jc w:val="center"/>
              <w:rPr>
                <w:rFonts w:ascii="宋体" w:hAnsi="宋体" w:cs="宋体"/>
                <w:color w:val="000000"/>
                <w:sz w:val="22"/>
                <w:szCs w:val="22"/>
              </w:rPr>
            </w:pPr>
            <w:r>
              <w:rPr>
                <w:rFonts w:hint="eastAsia" w:ascii="宋体" w:hAnsi="宋体" w:eastAsia="宋体" w:cs="宋体"/>
                <w:color w:val="000000"/>
                <w:sz w:val="22"/>
                <w:szCs w:val="22"/>
              </w:rPr>
              <w:t>采购物资合格率</w:t>
            </w:r>
          </w:p>
        </w:tc>
        <w:tc>
          <w:tcPr>
            <w:tcW w:w="567" w:type="dxa"/>
            <w:vMerge w:val="restart"/>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567" w:type="dxa"/>
            <w:vMerge w:val="restar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100</w:t>
            </w:r>
          </w:p>
        </w:tc>
        <w:tc>
          <w:tcPr>
            <w:tcW w:w="1134" w:type="dxa"/>
            <w:vMerge w:val="restart"/>
            <w:shd w:val="clear" w:color="auto" w:fill="auto"/>
            <w:tcMar>
              <w:top w:w="15" w:type="dxa"/>
              <w:left w:w="15" w:type="dxa"/>
              <w:bottom w:w="0" w:type="dxa"/>
              <w:right w:w="15" w:type="dxa"/>
            </w:tcMar>
            <w:vAlign w:val="center"/>
          </w:tcPr>
          <w:p>
            <w:pPr>
              <w:jc w:val="center"/>
              <w:rPr>
                <w:rFonts w:ascii="宋体" w:eastAsia="宋体"/>
                <w:color w:val="000000"/>
                <w:sz w:val="22"/>
                <w:szCs w:val="22"/>
              </w:rPr>
            </w:pPr>
            <w:r>
              <w:rPr>
                <w:rFonts w:hint="eastAsia" w:ascii="宋体" w:hAnsi="宋体" w:eastAsia="宋体" w:cs="宋体"/>
                <w:color w:val="000000"/>
                <w:sz w:val="22"/>
                <w:szCs w:val="22"/>
              </w:rPr>
              <w:t>百分比</w:t>
            </w:r>
          </w:p>
        </w:tc>
        <w:tc>
          <w:tcPr>
            <w:tcW w:w="923" w:type="dxa"/>
            <w:vMerge w:val="restart"/>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质量评价标准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724" w:type="dxa"/>
            <w:vMerge w:val="continue"/>
            <w:shd w:val="clear" w:color="auto" w:fill="auto"/>
            <w:vAlign w:val="center"/>
          </w:tcPr>
          <w:p>
            <w:pPr>
              <w:jc w:val="center"/>
              <w:rPr>
                <w:rFonts w:ascii="方正书宋_GBK" w:hAnsi="宋体" w:eastAsia="方正书宋_GBK" w:cs="宋体"/>
                <w:color w:val="000000"/>
              </w:rPr>
            </w:pPr>
          </w:p>
        </w:tc>
        <w:tc>
          <w:tcPr>
            <w:tcW w:w="709" w:type="dxa"/>
            <w:vMerge w:val="continue"/>
            <w:shd w:val="clear" w:color="auto" w:fill="auto"/>
            <w:vAlign w:val="center"/>
          </w:tcPr>
          <w:p>
            <w:pPr>
              <w:jc w:val="center"/>
              <w:rPr>
                <w:rFonts w:ascii="方正书宋_GBK" w:hAnsi="宋体" w:eastAsia="方正书宋_GBK" w:cs="宋体"/>
                <w:color w:val="000000"/>
              </w:rPr>
            </w:pPr>
          </w:p>
        </w:tc>
        <w:tc>
          <w:tcPr>
            <w:tcW w:w="1701" w:type="dxa"/>
            <w:vMerge w:val="continue"/>
            <w:shd w:val="clear" w:color="auto" w:fill="auto"/>
            <w:vAlign w:val="center"/>
          </w:tcPr>
          <w:p>
            <w:pPr>
              <w:jc w:val="center"/>
              <w:rPr>
                <w:rFonts w:ascii="宋体" w:hAnsi="宋体" w:eastAsia="宋体" w:cs="宋体"/>
                <w:color w:val="000000"/>
                <w:sz w:val="22"/>
                <w:szCs w:val="22"/>
              </w:rPr>
            </w:pPr>
          </w:p>
        </w:tc>
        <w:tc>
          <w:tcPr>
            <w:tcW w:w="6237" w:type="dxa"/>
            <w:vMerge w:val="continue"/>
            <w:shd w:val="clear" w:color="auto" w:fill="auto"/>
            <w:vAlign w:val="center"/>
          </w:tcPr>
          <w:p>
            <w:pPr>
              <w:jc w:val="center"/>
              <w:rPr>
                <w:rFonts w:ascii="Calibri" w:hAnsi="Calibri" w:eastAsia="宋体" w:cs="Calibri"/>
                <w:color w:val="000000"/>
                <w:sz w:val="22"/>
                <w:szCs w:val="22"/>
              </w:rPr>
            </w:pPr>
          </w:p>
        </w:tc>
        <w:tc>
          <w:tcPr>
            <w:tcW w:w="2268" w:type="dxa"/>
            <w:vMerge w:val="continue"/>
            <w:shd w:val="clear" w:color="auto" w:fill="auto"/>
            <w:vAlign w:val="center"/>
          </w:tcPr>
          <w:p>
            <w:pPr>
              <w:jc w:val="center"/>
              <w:rPr>
                <w:rFonts w:ascii="宋体" w:hAnsi="宋体" w:eastAsia="宋体" w:cs="宋体"/>
                <w:color w:val="000000"/>
                <w:sz w:val="22"/>
                <w:szCs w:val="22"/>
              </w:rPr>
            </w:pPr>
          </w:p>
        </w:tc>
        <w:tc>
          <w:tcPr>
            <w:tcW w:w="567" w:type="dxa"/>
            <w:vMerge w:val="continue"/>
            <w:shd w:val="clear" w:color="auto" w:fill="auto"/>
            <w:vAlign w:val="center"/>
          </w:tcPr>
          <w:p>
            <w:pPr>
              <w:jc w:val="center"/>
              <w:rPr>
                <w:rFonts w:eastAsia="宋体"/>
                <w:color w:val="000000"/>
                <w:sz w:val="22"/>
                <w:szCs w:val="22"/>
              </w:rPr>
            </w:pPr>
          </w:p>
        </w:tc>
        <w:tc>
          <w:tcPr>
            <w:tcW w:w="567" w:type="dxa"/>
            <w:vMerge w:val="continue"/>
            <w:shd w:val="clear" w:color="auto" w:fill="auto"/>
            <w:vAlign w:val="center"/>
          </w:tcPr>
          <w:p>
            <w:pPr>
              <w:jc w:val="center"/>
              <w:rPr>
                <w:rFonts w:ascii="方正书宋_GBK" w:hAnsi="宋体" w:eastAsia="方正书宋_GBK" w:cs="宋体"/>
                <w:color w:val="000000"/>
              </w:rPr>
            </w:pPr>
          </w:p>
        </w:tc>
        <w:tc>
          <w:tcPr>
            <w:tcW w:w="1134" w:type="dxa"/>
            <w:vMerge w:val="continue"/>
            <w:shd w:val="clear" w:color="auto" w:fill="auto"/>
            <w:vAlign w:val="center"/>
          </w:tcPr>
          <w:p>
            <w:pPr>
              <w:jc w:val="center"/>
              <w:rPr>
                <w:rFonts w:ascii="宋体" w:hAnsi="宋体" w:eastAsia="宋体" w:cs="宋体"/>
                <w:color w:val="000000"/>
                <w:sz w:val="22"/>
                <w:szCs w:val="22"/>
              </w:rPr>
            </w:pPr>
          </w:p>
        </w:tc>
        <w:tc>
          <w:tcPr>
            <w:tcW w:w="923" w:type="dxa"/>
            <w:vMerge w:val="continue"/>
            <w:shd w:val="clear" w:color="auto" w:fill="auto"/>
            <w:vAlign w:val="center"/>
          </w:tcPr>
          <w:p>
            <w:pPr>
              <w:jc w:val="center"/>
              <w:rPr>
                <w:rFonts w:ascii="宋体" w:hAnsi="宋体" w:eastAsia="宋体" w:cs="宋体"/>
                <w:color w:val="000000"/>
                <w:sz w:val="22"/>
                <w:szCs w:val="22"/>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56" w:hRule="atLeast"/>
          <w:jc w:val="center"/>
        </w:trPr>
        <w:tc>
          <w:tcPr>
            <w:tcW w:w="724" w:type="dxa"/>
            <w:vMerge w:val="continue"/>
            <w:shd w:val="clear" w:color="auto" w:fill="auto"/>
            <w:vAlign w:val="center"/>
          </w:tcPr>
          <w:p>
            <w:pPr>
              <w:jc w:val="cente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时效</w:t>
            </w:r>
          </w:p>
        </w:tc>
        <w:tc>
          <w:tcPr>
            <w:tcW w:w="1701" w:type="dxa"/>
            <w:shd w:val="clear" w:color="auto" w:fill="auto"/>
            <w:tcMar>
              <w:top w:w="15" w:type="dxa"/>
              <w:left w:w="15" w:type="dxa"/>
              <w:bottom w:w="0" w:type="dxa"/>
              <w:right w:w="15" w:type="dxa"/>
            </w:tcMar>
            <w:vAlign w:val="center"/>
          </w:tcPr>
          <w:p>
            <w:pPr>
              <w:jc w:val="center"/>
              <w:rPr>
                <w:rFonts w:ascii="宋体" w:eastAsia="宋体"/>
                <w:color w:val="000000"/>
                <w:sz w:val="22"/>
                <w:szCs w:val="22"/>
              </w:rPr>
            </w:pPr>
            <w:r>
              <w:rPr>
                <w:rFonts w:hint="eastAsia" w:ascii="宋体" w:hAnsi="宋体" w:eastAsia="宋体" w:cs="宋体"/>
                <w:color w:val="000000"/>
                <w:sz w:val="22"/>
                <w:szCs w:val="22"/>
              </w:rPr>
              <w:t>学校的各项工作任务及时完成情况</w:t>
            </w:r>
          </w:p>
        </w:tc>
        <w:tc>
          <w:tcPr>
            <w:tcW w:w="6237" w:type="dxa"/>
            <w:shd w:val="clear" w:color="auto" w:fill="auto"/>
            <w:tcMar>
              <w:top w:w="15" w:type="dxa"/>
              <w:left w:w="15" w:type="dxa"/>
              <w:bottom w:w="0" w:type="dxa"/>
              <w:right w:w="15" w:type="dxa"/>
            </w:tcMar>
            <w:vAlign w:val="center"/>
          </w:tcPr>
          <w:p>
            <w:pPr>
              <w:jc w:val="center"/>
              <w:rPr>
                <w:rFonts w:ascii="Calibri" w:hAnsi="Calibri" w:cs="Calibri"/>
                <w:color w:val="000000"/>
                <w:sz w:val="22"/>
                <w:szCs w:val="22"/>
              </w:rPr>
            </w:pPr>
            <w:r>
              <w:rPr>
                <w:rStyle w:val="34"/>
              </w:rPr>
              <w:t>10</w:t>
            </w:r>
            <w:r>
              <w:rPr>
                <w:rStyle w:val="35"/>
                <w:rFonts w:hint="default" w:cs="Calibri"/>
              </w:rPr>
              <w:t>分及时完成得满分，否则不得分</w:t>
            </w:r>
          </w:p>
        </w:tc>
        <w:tc>
          <w:tcPr>
            <w:tcW w:w="2268" w:type="dxa"/>
            <w:shd w:val="clear" w:color="auto" w:fill="auto"/>
            <w:tcMar>
              <w:top w:w="15" w:type="dxa"/>
              <w:left w:w="15" w:type="dxa"/>
              <w:bottom w:w="0" w:type="dxa"/>
              <w:right w:w="15" w:type="dxa"/>
            </w:tcMar>
            <w:vAlign w:val="center"/>
          </w:tcPr>
          <w:p>
            <w:pPr>
              <w:jc w:val="center"/>
              <w:rPr>
                <w:rFonts w:ascii="宋体" w:hAnsi="宋体" w:cs="宋体"/>
                <w:color w:val="000000"/>
                <w:sz w:val="22"/>
                <w:szCs w:val="22"/>
              </w:rPr>
            </w:pPr>
            <w:r>
              <w:rPr>
                <w:rFonts w:hint="eastAsia" w:ascii="宋体" w:hAnsi="宋体" w:eastAsia="宋体" w:cs="宋体"/>
                <w:color w:val="000000"/>
                <w:sz w:val="22"/>
                <w:szCs w:val="22"/>
              </w:rPr>
              <w:t>学校的各项工作任务及时完成情况</w:t>
            </w:r>
          </w:p>
        </w:tc>
        <w:tc>
          <w:tcPr>
            <w:tcW w:w="567"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文字描述</w:t>
            </w:r>
          </w:p>
        </w:tc>
        <w:tc>
          <w:tcPr>
            <w:tcW w:w="567" w:type="dxa"/>
            <w:shd w:val="clear" w:color="auto" w:fill="auto"/>
            <w:tcMar>
              <w:top w:w="15" w:type="dxa"/>
              <w:left w:w="15" w:type="dxa"/>
              <w:bottom w:w="0" w:type="dxa"/>
              <w:right w:w="15" w:type="dxa"/>
            </w:tcMar>
            <w:vAlign w:val="center"/>
          </w:tcPr>
          <w:p>
            <w:pPr>
              <w:jc w:val="center"/>
              <w:rPr>
                <w:color w:val="000000"/>
                <w:sz w:val="22"/>
                <w:szCs w:val="22"/>
              </w:rPr>
            </w:pPr>
          </w:p>
        </w:tc>
        <w:tc>
          <w:tcPr>
            <w:tcW w:w="1134" w:type="dxa"/>
            <w:shd w:val="clear" w:color="auto" w:fill="auto"/>
            <w:tcMar>
              <w:top w:w="15" w:type="dxa"/>
              <w:left w:w="15" w:type="dxa"/>
              <w:bottom w:w="0" w:type="dxa"/>
              <w:right w:w="15" w:type="dxa"/>
            </w:tcMar>
            <w:vAlign w:val="center"/>
          </w:tcPr>
          <w:p>
            <w:pPr>
              <w:jc w:val="center"/>
              <w:rPr>
                <w:sz w:val="20"/>
                <w:szCs w:val="20"/>
              </w:rPr>
            </w:pPr>
            <w:r>
              <w:rPr>
                <w:rFonts w:hint="eastAsia" w:ascii="宋体" w:hAnsi="宋体" w:eastAsia="宋体" w:cs="宋体"/>
                <w:color w:val="000000"/>
                <w:sz w:val="22"/>
                <w:szCs w:val="22"/>
              </w:rPr>
              <w:t>及时</w:t>
            </w:r>
          </w:p>
        </w:tc>
        <w:tc>
          <w:tcPr>
            <w:tcW w:w="923" w:type="dxa"/>
            <w:shd w:val="clear" w:color="auto" w:fill="auto"/>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年初工作计划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jc w:val="cente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成本</w:t>
            </w:r>
          </w:p>
        </w:tc>
        <w:tc>
          <w:tcPr>
            <w:tcW w:w="170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宋体" w:hAnsi="宋体" w:eastAsia="宋体" w:cs="宋体"/>
                <w:color w:val="000000"/>
                <w:sz w:val="22"/>
                <w:szCs w:val="22"/>
              </w:rPr>
              <w:t>教育经费使用控制率</w:t>
            </w:r>
          </w:p>
        </w:tc>
        <w:tc>
          <w:tcPr>
            <w:tcW w:w="6237" w:type="dxa"/>
            <w:shd w:val="clear" w:color="auto" w:fill="auto"/>
            <w:tcMar>
              <w:top w:w="15" w:type="dxa"/>
              <w:left w:w="15" w:type="dxa"/>
              <w:bottom w:w="0" w:type="dxa"/>
              <w:right w:w="15" w:type="dxa"/>
            </w:tcMar>
            <w:vAlign w:val="center"/>
          </w:tcPr>
          <w:p>
            <w:pPr>
              <w:jc w:val="center"/>
              <w:rPr>
                <w:sz w:val="20"/>
                <w:szCs w:val="20"/>
              </w:rPr>
            </w:pPr>
            <w:r>
              <w:rPr>
                <w:rStyle w:val="34"/>
              </w:rPr>
              <w:t>10</w:t>
            </w:r>
            <w:r>
              <w:rPr>
                <w:rStyle w:val="35"/>
                <w:rFonts w:hint="default" w:cs="Calibri"/>
              </w:rPr>
              <w:t>分教育经费决算数不大于调整预算数得满分，否则不得分</w:t>
            </w:r>
          </w:p>
        </w:tc>
        <w:tc>
          <w:tcPr>
            <w:tcW w:w="2268" w:type="dxa"/>
            <w:shd w:val="clear" w:color="auto" w:fill="auto"/>
            <w:tcMar>
              <w:top w:w="15" w:type="dxa"/>
              <w:left w:w="15" w:type="dxa"/>
              <w:bottom w:w="0" w:type="dxa"/>
              <w:right w:w="15" w:type="dxa"/>
            </w:tcMar>
            <w:vAlign w:val="center"/>
          </w:tcPr>
          <w:p>
            <w:pPr>
              <w:jc w:val="center"/>
              <w:rPr>
                <w:sz w:val="20"/>
                <w:szCs w:val="20"/>
              </w:rPr>
            </w:pPr>
            <w:r>
              <w:rPr>
                <w:rFonts w:hint="eastAsia" w:ascii="宋体" w:hAnsi="宋体" w:eastAsia="宋体" w:cs="宋体"/>
                <w:color w:val="000000"/>
                <w:sz w:val="22"/>
                <w:szCs w:val="22"/>
              </w:rPr>
              <w:t>教育经费使用控制率</w:t>
            </w:r>
          </w:p>
        </w:tc>
        <w:tc>
          <w:tcPr>
            <w:tcW w:w="567" w:type="dxa"/>
            <w:shd w:val="clear" w:color="auto" w:fill="auto"/>
            <w:tcMar>
              <w:top w:w="15" w:type="dxa"/>
              <w:left w:w="15" w:type="dxa"/>
              <w:bottom w:w="0" w:type="dxa"/>
              <w:right w:w="15" w:type="dxa"/>
            </w:tcMar>
            <w:vAlign w:val="center"/>
          </w:tcPr>
          <w:p>
            <w:pPr>
              <w:jc w:val="center"/>
              <w:rPr>
                <w:sz w:val="20"/>
                <w:szCs w:val="20"/>
              </w:rPr>
            </w:pPr>
            <w:r>
              <w:rPr>
                <w:rFonts w:hint="eastAsia" w:ascii="宋体" w:hAnsi="宋体" w:eastAsia="宋体" w:cs="宋体"/>
                <w:color w:val="000000"/>
                <w:sz w:val="22"/>
                <w:szCs w:val="22"/>
              </w:rPr>
              <w:t>文字描述</w:t>
            </w:r>
          </w:p>
        </w:tc>
        <w:tc>
          <w:tcPr>
            <w:tcW w:w="567" w:type="dxa"/>
            <w:shd w:val="clear" w:color="auto" w:fill="auto"/>
            <w:tcMar>
              <w:top w:w="15" w:type="dxa"/>
              <w:left w:w="15" w:type="dxa"/>
              <w:bottom w:w="0" w:type="dxa"/>
              <w:right w:w="15" w:type="dxa"/>
            </w:tcMar>
            <w:vAlign w:val="center"/>
          </w:tcPr>
          <w:p>
            <w:pPr>
              <w:jc w:val="center"/>
              <w:rPr>
                <w:sz w:val="20"/>
                <w:szCs w:val="20"/>
              </w:rPr>
            </w:pPr>
          </w:p>
        </w:tc>
        <w:tc>
          <w:tcPr>
            <w:tcW w:w="1134" w:type="dxa"/>
            <w:shd w:val="clear" w:color="auto" w:fill="auto"/>
            <w:tcMar>
              <w:top w:w="15" w:type="dxa"/>
              <w:left w:w="15" w:type="dxa"/>
              <w:bottom w:w="0" w:type="dxa"/>
              <w:right w:w="15" w:type="dxa"/>
            </w:tcMar>
            <w:vAlign w:val="center"/>
          </w:tcPr>
          <w:p>
            <w:pPr>
              <w:jc w:val="center"/>
              <w:rPr>
                <w:sz w:val="20"/>
                <w:szCs w:val="20"/>
              </w:rPr>
            </w:pPr>
            <w:r>
              <w:rPr>
                <w:rFonts w:hint="eastAsia" w:ascii="宋体" w:hAnsi="宋体" w:eastAsia="宋体" w:cs="宋体"/>
                <w:color w:val="000000"/>
                <w:sz w:val="22"/>
                <w:szCs w:val="22"/>
              </w:rPr>
              <w:t>教育经费决算数不大于调整预算数</w:t>
            </w:r>
          </w:p>
        </w:tc>
        <w:tc>
          <w:tcPr>
            <w:tcW w:w="923" w:type="dxa"/>
            <w:shd w:val="clear" w:color="auto" w:fill="auto"/>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实际工作</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restar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部门效果</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1701" w:type="dxa"/>
            <w:shd w:val="clear" w:color="auto" w:fill="auto"/>
            <w:tcMar>
              <w:top w:w="15" w:type="dxa"/>
              <w:left w:w="15" w:type="dxa"/>
              <w:bottom w:w="0" w:type="dxa"/>
              <w:right w:w="15" w:type="dxa"/>
            </w:tcMar>
            <w:vAlign w:val="center"/>
          </w:tcPr>
          <w:p>
            <w:pPr>
              <w:jc w:val="center"/>
              <w:rPr>
                <w:rFonts w:ascii="宋体" w:eastAsia="宋体"/>
                <w:color w:val="000000"/>
                <w:sz w:val="22"/>
                <w:szCs w:val="22"/>
              </w:rPr>
            </w:pPr>
            <w:r>
              <w:rPr>
                <w:rFonts w:hint="eastAsia" w:ascii="宋体" w:hAnsi="宋体" w:eastAsia="宋体" w:cs="宋体"/>
                <w:color w:val="000000"/>
                <w:sz w:val="22"/>
                <w:szCs w:val="22"/>
              </w:rPr>
              <w:t>义务教育高质量发展</w:t>
            </w:r>
          </w:p>
        </w:tc>
        <w:tc>
          <w:tcPr>
            <w:tcW w:w="6237" w:type="dxa"/>
            <w:shd w:val="clear" w:color="auto" w:fill="auto"/>
            <w:tcMar>
              <w:top w:w="15" w:type="dxa"/>
              <w:left w:w="15" w:type="dxa"/>
              <w:bottom w:w="0" w:type="dxa"/>
              <w:right w:w="15" w:type="dxa"/>
            </w:tcMar>
            <w:vAlign w:val="center"/>
          </w:tcPr>
          <w:p>
            <w:pPr>
              <w:jc w:val="center"/>
              <w:rPr>
                <w:rFonts w:ascii="Calibri" w:hAnsi="Calibri" w:cs="Calibri"/>
                <w:color w:val="000000"/>
                <w:sz w:val="22"/>
                <w:szCs w:val="22"/>
              </w:rPr>
            </w:pPr>
            <w:r>
              <w:rPr>
                <w:rStyle w:val="34"/>
              </w:rPr>
              <w:t>10</w:t>
            </w:r>
            <w:r>
              <w:rPr>
                <w:rStyle w:val="35"/>
                <w:rFonts w:hint="default" w:cs="Calibri"/>
              </w:rPr>
              <w:t>分学生、家长、社会对学校整体满意度达到</w:t>
            </w:r>
            <w:r>
              <w:rPr>
                <w:rStyle w:val="34"/>
              </w:rPr>
              <w:t>95%</w:t>
            </w:r>
            <w:r>
              <w:rPr>
                <w:rStyle w:val="35"/>
                <w:rFonts w:hint="default" w:cs="Calibri"/>
              </w:rPr>
              <w:t>得满分，每降低</w:t>
            </w:r>
            <w:r>
              <w:rPr>
                <w:rStyle w:val="34"/>
              </w:rPr>
              <w:t>1%</w:t>
            </w:r>
            <w:r>
              <w:rPr>
                <w:rStyle w:val="35"/>
                <w:rFonts w:hint="default" w:cs="Calibri"/>
              </w:rPr>
              <w:t>扣</w:t>
            </w:r>
            <w:r>
              <w:rPr>
                <w:rStyle w:val="34"/>
              </w:rPr>
              <w:t>1</w:t>
            </w:r>
            <w:r>
              <w:rPr>
                <w:rStyle w:val="35"/>
                <w:rFonts w:hint="default" w:cs="Calibri"/>
              </w:rPr>
              <w:t>分，扣完为止。</w:t>
            </w:r>
          </w:p>
        </w:tc>
        <w:tc>
          <w:tcPr>
            <w:tcW w:w="2268" w:type="dxa"/>
            <w:shd w:val="clear" w:color="auto" w:fill="auto"/>
            <w:tcMar>
              <w:top w:w="15" w:type="dxa"/>
              <w:left w:w="15" w:type="dxa"/>
              <w:bottom w:w="0" w:type="dxa"/>
              <w:right w:w="15" w:type="dxa"/>
            </w:tcMar>
            <w:vAlign w:val="center"/>
          </w:tcPr>
          <w:p>
            <w:pPr>
              <w:jc w:val="center"/>
              <w:rPr>
                <w:rFonts w:ascii="宋体" w:hAnsi="宋体" w:cs="宋体"/>
                <w:color w:val="000000"/>
                <w:sz w:val="22"/>
                <w:szCs w:val="22"/>
              </w:rPr>
            </w:pPr>
            <w:r>
              <w:rPr>
                <w:rFonts w:hint="eastAsia" w:ascii="宋体" w:hAnsi="宋体" w:eastAsia="宋体" w:cs="宋体"/>
                <w:color w:val="000000"/>
                <w:sz w:val="22"/>
                <w:szCs w:val="22"/>
              </w:rPr>
              <w:t>义务教育高质量发展</w:t>
            </w:r>
          </w:p>
        </w:tc>
        <w:tc>
          <w:tcPr>
            <w:tcW w:w="567" w:type="dxa"/>
            <w:shd w:val="clear" w:color="auto" w:fill="auto"/>
            <w:tcMar>
              <w:top w:w="15" w:type="dxa"/>
              <w:left w:w="15" w:type="dxa"/>
              <w:bottom w:w="0" w:type="dxa"/>
              <w:right w:w="15" w:type="dxa"/>
            </w:tcMar>
            <w:vAlign w:val="center"/>
          </w:tcPr>
          <w:p>
            <w:pPr>
              <w:jc w:val="center"/>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95</w:t>
            </w:r>
          </w:p>
        </w:tc>
        <w:tc>
          <w:tcPr>
            <w:tcW w:w="1134" w:type="dxa"/>
            <w:shd w:val="clear" w:color="auto" w:fill="auto"/>
            <w:tcMar>
              <w:top w:w="15" w:type="dxa"/>
              <w:left w:w="15" w:type="dxa"/>
              <w:bottom w:w="0" w:type="dxa"/>
              <w:right w:w="15" w:type="dxa"/>
            </w:tcMar>
            <w:vAlign w:val="center"/>
          </w:tcPr>
          <w:p>
            <w:pPr>
              <w:jc w:val="center"/>
              <w:rPr>
                <w:rFonts w:ascii="宋体" w:hAnsi="宋体" w:cs="宋体"/>
                <w:color w:val="000000"/>
                <w:sz w:val="22"/>
                <w:szCs w:val="22"/>
              </w:rPr>
            </w:pPr>
            <w:r>
              <w:rPr>
                <w:rFonts w:hint="eastAsia" w:ascii="宋体" w:hAnsi="宋体" w:eastAsia="宋体" w:cs="宋体"/>
                <w:color w:val="000000"/>
                <w:sz w:val="22"/>
                <w:szCs w:val="22"/>
              </w:rPr>
              <w:t>百分比</w:t>
            </w:r>
          </w:p>
        </w:tc>
        <w:tc>
          <w:tcPr>
            <w:tcW w:w="923"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部门职责</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724" w:type="dxa"/>
            <w:vMerge w:val="continue"/>
            <w:shd w:val="clear" w:color="auto" w:fill="auto"/>
            <w:vAlign w:val="center"/>
          </w:tcPr>
          <w:p>
            <w:pPr>
              <w:jc w:val="center"/>
              <w:rPr>
                <w:rFonts w:ascii="方正书宋_GBK" w:hAnsi="宋体" w:eastAsia="方正书宋_GBK" w:cs="宋体"/>
                <w:color w:val="000000"/>
              </w:rPr>
            </w:pPr>
          </w:p>
        </w:tc>
        <w:tc>
          <w:tcPr>
            <w:tcW w:w="709"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满意度</w:t>
            </w:r>
          </w:p>
        </w:tc>
        <w:tc>
          <w:tcPr>
            <w:tcW w:w="1701" w:type="dxa"/>
            <w:vMerge w:val="restart"/>
            <w:shd w:val="clear" w:color="auto" w:fill="auto"/>
            <w:tcMar>
              <w:top w:w="15" w:type="dxa"/>
              <w:left w:w="15" w:type="dxa"/>
              <w:bottom w:w="0" w:type="dxa"/>
              <w:right w:w="15" w:type="dxa"/>
            </w:tcMar>
            <w:vAlign w:val="center"/>
          </w:tcPr>
          <w:p>
            <w:pPr>
              <w:jc w:val="center"/>
              <w:rPr>
                <w:rFonts w:ascii="宋体" w:eastAsia="宋体"/>
                <w:color w:val="000000"/>
                <w:sz w:val="22"/>
                <w:szCs w:val="22"/>
              </w:rPr>
            </w:pPr>
            <w:r>
              <w:rPr>
                <w:rFonts w:hint="eastAsia" w:ascii="宋体" w:hAnsi="宋体" w:eastAsia="宋体" w:cs="宋体"/>
                <w:color w:val="000000"/>
                <w:sz w:val="22"/>
                <w:szCs w:val="22"/>
              </w:rPr>
              <w:t>在校师生的满意程度</w:t>
            </w:r>
          </w:p>
        </w:tc>
        <w:tc>
          <w:tcPr>
            <w:tcW w:w="6237" w:type="dxa"/>
            <w:vMerge w:val="restart"/>
            <w:shd w:val="clear" w:color="auto" w:fill="auto"/>
            <w:tcMar>
              <w:top w:w="15" w:type="dxa"/>
              <w:left w:w="15" w:type="dxa"/>
              <w:bottom w:w="0" w:type="dxa"/>
              <w:right w:w="15" w:type="dxa"/>
            </w:tcMar>
            <w:vAlign w:val="center"/>
          </w:tcPr>
          <w:p>
            <w:pPr>
              <w:jc w:val="center"/>
              <w:rPr>
                <w:rFonts w:ascii="Calibri" w:hAnsi="Calibri" w:cs="Calibri"/>
                <w:color w:val="000000"/>
                <w:sz w:val="22"/>
                <w:szCs w:val="22"/>
              </w:rPr>
            </w:pPr>
            <w:r>
              <w:rPr>
                <w:rStyle w:val="34"/>
              </w:rPr>
              <w:t>10</w:t>
            </w:r>
            <w:r>
              <w:rPr>
                <w:rStyle w:val="35"/>
                <w:rFonts w:hint="default" w:cs="Calibri"/>
              </w:rPr>
              <w:t>分在校师生的满意度达到</w:t>
            </w:r>
            <w:r>
              <w:rPr>
                <w:rStyle w:val="34"/>
              </w:rPr>
              <w:t>95%</w:t>
            </w:r>
            <w:r>
              <w:rPr>
                <w:rStyle w:val="35"/>
                <w:rFonts w:hint="default" w:cs="Calibri"/>
              </w:rPr>
              <w:t>得满分，每降低</w:t>
            </w:r>
            <w:r>
              <w:rPr>
                <w:rStyle w:val="34"/>
              </w:rPr>
              <w:t>1%</w:t>
            </w:r>
            <w:r>
              <w:rPr>
                <w:rStyle w:val="35"/>
                <w:rFonts w:hint="default" w:cs="Calibri"/>
              </w:rPr>
              <w:t>扣</w:t>
            </w:r>
            <w:r>
              <w:rPr>
                <w:rStyle w:val="34"/>
              </w:rPr>
              <w:t>1</w:t>
            </w:r>
            <w:r>
              <w:rPr>
                <w:rStyle w:val="35"/>
                <w:rFonts w:hint="default" w:cs="Calibri"/>
              </w:rPr>
              <w:t>分，扣完为止。</w:t>
            </w:r>
          </w:p>
        </w:tc>
        <w:tc>
          <w:tcPr>
            <w:tcW w:w="2268" w:type="dxa"/>
            <w:vMerge w:val="restart"/>
            <w:shd w:val="clear" w:color="auto" w:fill="auto"/>
            <w:tcMar>
              <w:top w:w="15" w:type="dxa"/>
              <w:left w:w="15" w:type="dxa"/>
              <w:bottom w:w="0" w:type="dxa"/>
              <w:right w:w="15" w:type="dxa"/>
            </w:tcMar>
            <w:vAlign w:val="center"/>
          </w:tcPr>
          <w:p>
            <w:pPr>
              <w:jc w:val="center"/>
              <w:rPr>
                <w:rFonts w:ascii="宋体" w:hAnsi="宋体" w:cs="宋体"/>
                <w:color w:val="000000"/>
                <w:sz w:val="22"/>
                <w:szCs w:val="22"/>
              </w:rPr>
            </w:pPr>
            <w:r>
              <w:rPr>
                <w:rFonts w:hint="eastAsia" w:ascii="宋体" w:hAnsi="宋体" w:eastAsia="宋体" w:cs="宋体"/>
                <w:color w:val="000000"/>
                <w:sz w:val="22"/>
                <w:szCs w:val="22"/>
              </w:rPr>
              <w:t>在校师生的满意程度</w:t>
            </w:r>
          </w:p>
        </w:tc>
        <w:tc>
          <w:tcPr>
            <w:tcW w:w="567" w:type="dxa"/>
            <w:vMerge w:val="restart"/>
            <w:shd w:val="clear" w:color="auto" w:fill="auto"/>
            <w:tcMar>
              <w:top w:w="15" w:type="dxa"/>
              <w:left w:w="15" w:type="dxa"/>
              <w:bottom w:w="0" w:type="dxa"/>
              <w:right w:w="15" w:type="dxa"/>
            </w:tcMar>
            <w:vAlign w:val="center"/>
          </w:tcPr>
          <w:p>
            <w:pPr>
              <w:jc w:val="center"/>
              <w:rPr>
                <w:rFonts w:ascii="Calibri" w:hAnsi="Calibri" w:cs="Calibri"/>
                <w:color w:val="000000"/>
                <w:sz w:val="22"/>
                <w:szCs w:val="22"/>
              </w:rPr>
            </w:pPr>
            <w:r>
              <w:rPr>
                <w:rFonts w:ascii="Calibri" w:hAnsi="Calibri" w:cs="Calibri"/>
                <w:color w:val="000000"/>
                <w:sz w:val="22"/>
                <w:szCs w:val="22"/>
              </w:rPr>
              <w:t>≥</w:t>
            </w:r>
          </w:p>
        </w:tc>
        <w:tc>
          <w:tcPr>
            <w:tcW w:w="567" w:type="dxa"/>
            <w:vMerge w:val="restart"/>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95</w:t>
            </w:r>
          </w:p>
        </w:tc>
        <w:tc>
          <w:tcPr>
            <w:tcW w:w="1134" w:type="dxa"/>
            <w:vMerge w:val="restart"/>
            <w:shd w:val="clear" w:color="auto" w:fill="auto"/>
            <w:tcMar>
              <w:top w:w="15" w:type="dxa"/>
              <w:left w:w="15" w:type="dxa"/>
              <w:bottom w:w="0" w:type="dxa"/>
              <w:right w:w="15" w:type="dxa"/>
            </w:tcMar>
            <w:vAlign w:val="center"/>
          </w:tcPr>
          <w:p>
            <w:pPr>
              <w:jc w:val="center"/>
              <w:rPr>
                <w:rFonts w:ascii="宋体" w:hAnsi="宋体" w:cs="宋体"/>
                <w:color w:val="000000"/>
                <w:sz w:val="22"/>
                <w:szCs w:val="22"/>
              </w:rPr>
            </w:pPr>
            <w:r>
              <w:rPr>
                <w:rFonts w:hint="eastAsia" w:ascii="宋体" w:hAnsi="宋体" w:eastAsia="宋体" w:cs="宋体"/>
                <w:color w:val="000000"/>
                <w:sz w:val="22"/>
                <w:szCs w:val="22"/>
              </w:rPr>
              <w:t>百分比</w:t>
            </w:r>
          </w:p>
        </w:tc>
        <w:tc>
          <w:tcPr>
            <w:tcW w:w="923" w:type="dxa"/>
            <w:vMerge w:val="restart"/>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调查问卷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724" w:type="dxa"/>
            <w:vMerge w:val="continue"/>
            <w:shd w:val="clear" w:color="auto" w:fill="auto"/>
            <w:vAlign w:val="center"/>
          </w:tcPr>
          <w:p>
            <w:pPr>
              <w:jc w:val="center"/>
              <w:rPr>
                <w:rFonts w:ascii="方正书宋_GBK" w:hAnsi="宋体" w:eastAsia="方正书宋_GBK" w:cs="宋体"/>
                <w:color w:val="000000"/>
              </w:rPr>
            </w:pPr>
          </w:p>
        </w:tc>
        <w:tc>
          <w:tcPr>
            <w:tcW w:w="709" w:type="dxa"/>
            <w:vMerge w:val="continue"/>
            <w:shd w:val="clear" w:color="auto" w:fill="auto"/>
            <w:vAlign w:val="center"/>
          </w:tcPr>
          <w:p>
            <w:pPr>
              <w:jc w:val="center"/>
              <w:rPr>
                <w:rFonts w:ascii="方正书宋_GBK" w:hAnsi="宋体" w:eastAsia="方正书宋_GBK" w:cs="宋体"/>
                <w:color w:val="000000"/>
              </w:rPr>
            </w:pPr>
          </w:p>
        </w:tc>
        <w:tc>
          <w:tcPr>
            <w:tcW w:w="1701" w:type="dxa"/>
            <w:vMerge w:val="continue"/>
            <w:shd w:val="clear" w:color="auto" w:fill="auto"/>
            <w:vAlign w:val="center"/>
          </w:tcPr>
          <w:p>
            <w:pPr>
              <w:jc w:val="center"/>
              <w:rPr>
                <w:rFonts w:ascii="宋体" w:hAnsi="宋体" w:eastAsia="宋体" w:cs="宋体"/>
                <w:color w:val="000000"/>
                <w:sz w:val="22"/>
                <w:szCs w:val="22"/>
              </w:rPr>
            </w:pPr>
          </w:p>
        </w:tc>
        <w:tc>
          <w:tcPr>
            <w:tcW w:w="6237" w:type="dxa"/>
            <w:vMerge w:val="continue"/>
            <w:shd w:val="clear" w:color="auto" w:fill="auto"/>
            <w:vAlign w:val="center"/>
          </w:tcPr>
          <w:p>
            <w:pPr>
              <w:jc w:val="center"/>
              <w:rPr>
                <w:rFonts w:ascii="Calibri" w:hAnsi="Calibri" w:eastAsia="宋体" w:cs="Calibri"/>
                <w:color w:val="000000"/>
                <w:sz w:val="22"/>
                <w:szCs w:val="22"/>
              </w:rPr>
            </w:pPr>
          </w:p>
        </w:tc>
        <w:tc>
          <w:tcPr>
            <w:tcW w:w="2268" w:type="dxa"/>
            <w:vMerge w:val="continue"/>
            <w:shd w:val="clear" w:color="auto" w:fill="auto"/>
            <w:vAlign w:val="center"/>
          </w:tcPr>
          <w:p>
            <w:pPr>
              <w:jc w:val="center"/>
              <w:rPr>
                <w:rFonts w:ascii="宋体" w:hAnsi="宋体" w:eastAsia="宋体" w:cs="宋体"/>
                <w:color w:val="000000"/>
                <w:sz w:val="22"/>
                <w:szCs w:val="22"/>
              </w:rPr>
            </w:pPr>
          </w:p>
        </w:tc>
        <w:tc>
          <w:tcPr>
            <w:tcW w:w="567" w:type="dxa"/>
            <w:vMerge w:val="continue"/>
            <w:shd w:val="clear" w:color="auto" w:fill="auto"/>
            <w:vAlign w:val="center"/>
          </w:tcPr>
          <w:p>
            <w:pPr>
              <w:jc w:val="center"/>
              <w:rPr>
                <w:rFonts w:ascii="Calibri" w:hAnsi="Calibri" w:eastAsia="宋体" w:cs="Calibri"/>
                <w:color w:val="000000"/>
                <w:sz w:val="22"/>
                <w:szCs w:val="22"/>
              </w:rPr>
            </w:pPr>
          </w:p>
        </w:tc>
        <w:tc>
          <w:tcPr>
            <w:tcW w:w="567" w:type="dxa"/>
            <w:vMerge w:val="continue"/>
            <w:shd w:val="clear" w:color="auto" w:fill="auto"/>
            <w:vAlign w:val="center"/>
          </w:tcPr>
          <w:p>
            <w:pPr>
              <w:jc w:val="center"/>
              <w:rPr>
                <w:rFonts w:eastAsia="宋体"/>
                <w:color w:val="000000"/>
                <w:sz w:val="22"/>
                <w:szCs w:val="22"/>
              </w:rPr>
            </w:pPr>
          </w:p>
        </w:tc>
        <w:tc>
          <w:tcPr>
            <w:tcW w:w="1134" w:type="dxa"/>
            <w:vMerge w:val="continue"/>
            <w:shd w:val="clear" w:color="auto" w:fill="auto"/>
            <w:vAlign w:val="center"/>
          </w:tcPr>
          <w:p>
            <w:pPr>
              <w:jc w:val="center"/>
              <w:rPr>
                <w:rFonts w:ascii="宋体" w:hAnsi="宋体" w:eastAsia="宋体" w:cs="宋体"/>
                <w:color w:val="000000"/>
                <w:sz w:val="22"/>
                <w:szCs w:val="22"/>
              </w:rPr>
            </w:pPr>
          </w:p>
        </w:tc>
        <w:tc>
          <w:tcPr>
            <w:tcW w:w="923" w:type="dxa"/>
            <w:vMerge w:val="continue"/>
            <w:shd w:val="clear" w:color="auto" w:fill="auto"/>
            <w:vAlign w:val="center"/>
          </w:tcPr>
          <w:p>
            <w:pPr>
              <w:jc w:val="center"/>
              <w:rPr>
                <w:rFonts w:ascii="宋体" w:hAnsi="宋体" w:eastAsia="宋体" w:cs="宋体"/>
                <w:color w:val="000000"/>
                <w:sz w:val="22"/>
                <w:szCs w:val="22"/>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PrEx>
        <w:trPr>
          <w:cantSplit/>
          <w:trHeight w:val="418" w:hRule="atLeast"/>
          <w:jc w:val="center"/>
        </w:trPr>
        <w:tc>
          <w:tcPr>
            <w:tcW w:w="724" w:type="dxa"/>
            <w:vMerge w:val="continue"/>
            <w:shd w:val="clear" w:color="auto" w:fill="auto"/>
            <w:vAlign w:val="center"/>
          </w:tcPr>
          <w:p>
            <w:pPr>
              <w:jc w:val="center"/>
              <w:rPr>
                <w:rFonts w:ascii="方正书宋_GBK" w:hAnsi="宋体" w:eastAsia="方正书宋_GBK" w:cs="宋体"/>
                <w:color w:val="000000"/>
              </w:rPr>
            </w:pPr>
          </w:p>
        </w:tc>
        <w:tc>
          <w:tcPr>
            <w:tcW w:w="709"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满意度</w:t>
            </w:r>
          </w:p>
        </w:tc>
        <w:tc>
          <w:tcPr>
            <w:tcW w:w="1701" w:type="dxa"/>
            <w:vMerge w:val="restart"/>
            <w:shd w:val="clear" w:color="auto" w:fill="auto"/>
            <w:noWrap/>
            <w:tcMar>
              <w:top w:w="15" w:type="dxa"/>
              <w:left w:w="15" w:type="dxa"/>
              <w:bottom w:w="0" w:type="dxa"/>
              <w:right w:w="15" w:type="dxa"/>
            </w:tcMar>
            <w:vAlign w:val="center"/>
          </w:tcPr>
          <w:p>
            <w:pPr>
              <w:jc w:val="center"/>
              <w:rPr>
                <w:rFonts w:ascii="宋体" w:eastAsia="宋体"/>
                <w:color w:val="000000"/>
                <w:sz w:val="22"/>
                <w:szCs w:val="22"/>
              </w:rPr>
            </w:pPr>
            <w:r>
              <w:rPr>
                <w:rFonts w:hint="eastAsia" w:ascii="宋体" w:hAnsi="宋体" w:eastAsia="宋体" w:cs="宋体"/>
                <w:color w:val="000000"/>
                <w:sz w:val="22"/>
                <w:szCs w:val="22"/>
              </w:rPr>
              <w:t>家长的满意程度</w:t>
            </w:r>
          </w:p>
        </w:tc>
        <w:tc>
          <w:tcPr>
            <w:tcW w:w="6237" w:type="dxa"/>
            <w:vMerge w:val="restart"/>
            <w:shd w:val="clear" w:color="auto" w:fill="auto"/>
            <w:noWrap/>
            <w:tcMar>
              <w:top w:w="15" w:type="dxa"/>
              <w:left w:w="15" w:type="dxa"/>
              <w:bottom w:w="0" w:type="dxa"/>
              <w:right w:w="15" w:type="dxa"/>
            </w:tcMar>
            <w:vAlign w:val="center"/>
          </w:tcPr>
          <w:p>
            <w:pPr>
              <w:jc w:val="center"/>
              <w:rPr>
                <w:rFonts w:ascii="Calibri" w:hAnsi="Calibri" w:cs="Calibri"/>
                <w:color w:val="000000"/>
                <w:sz w:val="22"/>
                <w:szCs w:val="22"/>
              </w:rPr>
            </w:pPr>
            <w:r>
              <w:rPr>
                <w:rStyle w:val="34"/>
              </w:rPr>
              <w:t>10</w:t>
            </w:r>
            <w:r>
              <w:rPr>
                <w:rStyle w:val="35"/>
                <w:rFonts w:hint="default" w:cs="Calibri"/>
              </w:rPr>
              <w:t>分家长的满意度达到</w:t>
            </w:r>
            <w:r>
              <w:rPr>
                <w:rStyle w:val="34"/>
              </w:rPr>
              <w:t>95%</w:t>
            </w:r>
            <w:r>
              <w:rPr>
                <w:rStyle w:val="35"/>
                <w:rFonts w:hint="default" w:cs="Calibri"/>
              </w:rPr>
              <w:t>得满分，每降低</w:t>
            </w:r>
            <w:r>
              <w:rPr>
                <w:rStyle w:val="34"/>
              </w:rPr>
              <w:t>1%</w:t>
            </w:r>
            <w:r>
              <w:rPr>
                <w:rStyle w:val="35"/>
                <w:rFonts w:hint="default" w:cs="Calibri"/>
              </w:rPr>
              <w:t>扣</w:t>
            </w:r>
            <w:r>
              <w:rPr>
                <w:rStyle w:val="34"/>
              </w:rPr>
              <w:t>1</w:t>
            </w:r>
            <w:r>
              <w:rPr>
                <w:rStyle w:val="35"/>
                <w:rFonts w:hint="default" w:cs="Calibri"/>
              </w:rPr>
              <w:t>分，扣完为止。</w:t>
            </w:r>
          </w:p>
        </w:tc>
        <w:tc>
          <w:tcPr>
            <w:tcW w:w="2268" w:type="dxa"/>
            <w:vMerge w:val="restart"/>
            <w:shd w:val="clear" w:color="auto" w:fill="auto"/>
            <w:noWrap/>
            <w:tcMar>
              <w:top w:w="15" w:type="dxa"/>
              <w:left w:w="15" w:type="dxa"/>
              <w:bottom w:w="0" w:type="dxa"/>
              <w:right w:w="15" w:type="dxa"/>
            </w:tcMar>
            <w:vAlign w:val="center"/>
          </w:tcPr>
          <w:p>
            <w:pPr>
              <w:jc w:val="center"/>
              <w:rPr>
                <w:rFonts w:ascii="宋体" w:hAnsi="宋体" w:cs="宋体"/>
                <w:color w:val="000000"/>
                <w:sz w:val="22"/>
                <w:szCs w:val="22"/>
              </w:rPr>
            </w:pPr>
            <w:r>
              <w:rPr>
                <w:rFonts w:hint="eastAsia" w:ascii="宋体" w:hAnsi="宋体" w:eastAsia="宋体" w:cs="宋体"/>
                <w:color w:val="000000"/>
                <w:sz w:val="22"/>
                <w:szCs w:val="22"/>
              </w:rPr>
              <w:t>家长的满意程度</w:t>
            </w:r>
          </w:p>
        </w:tc>
        <w:tc>
          <w:tcPr>
            <w:tcW w:w="567" w:type="dxa"/>
            <w:vMerge w:val="restart"/>
            <w:shd w:val="clear" w:color="auto" w:fill="auto"/>
            <w:tcMar>
              <w:top w:w="15" w:type="dxa"/>
              <w:left w:w="15" w:type="dxa"/>
              <w:bottom w:w="0" w:type="dxa"/>
              <w:right w:w="15" w:type="dxa"/>
            </w:tcMar>
            <w:vAlign w:val="center"/>
          </w:tcPr>
          <w:p>
            <w:pPr>
              <w:jc w:val="center"/>
              <w:rPr>
                <w:rFonts w:ascii="Calibri" w:hAnsi="Calibri" w:cs="Calibri"/>
                <w:color w:val="000000"/>
                <w:sz w:val="22"/>
                <w:szCs w:val="22"/>
              </w:rPr>
            </w:pPr>
            <w:r>
              <w:rPr>
                <w:rFonts w:ascii="Calibri" w:hAnsi="Calibri" w:cs="Calibri"/>
                <w:color w:val="000000"/>
                <w:sz w:val="22"/>
                <w:szCs w:val="22"/>
              </w:rPr>
              <w:t>≥</w:t>
            </w:r>
          </w:p>
        </w:tc>
        <w:tc>
          <w:tcPr>
            <w:tcW w:w="567" w:type="dxa"/>
            <w:vMerge w:val="restart"/>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95</w:t>
            </w:r>
          </w:p>
        </w:tc>
        <w:tc>
          <w:tcPr>
            <w:tcW w:w="1134" w:type="dxa"/>
            <w:vMerge w:val="restart"/>
            <w:shd w:val="clear" w:color="auto" w:fill="auto"/>
            <w:tcMar>
              <w:top w:w="15" w:type="dxa"/>
              <w:left w:w="15" w:type="dxa"/>
              <w:bottom w:w="0" w:type="dxa"/>
              <w:right w:w="15" w:type="dxa"/>
            </w:tcMar>
            <w:vAlign w:val="center"/>
          </w:tcPr>
          <w:p>
            <w:pPr>
              <w:jc w:val="center"/>
              <w:rPr>
                <w:rFonts w:ascii="宋体" w:hAnsi="宋体" w:cs="宋体"/>
                <w:color w:val="000000"/>
                <w:sz w:val="22"/>
                <w:szCs w:val="22"/>
              </w:rPr>
            </w:pPr>
            <w:r>
              <w:rPr>
                <w:rFonts w:hint="eastAsia" w:ascii="宋体" w:hAnsi="宋体" w:eastAsia="宋体" w:cs="宋体"/>
                <w:color w:val="000000"/>
                <w:sz w:val="22"/>
                <w:szCs w:val="22"/>
              </w:rPr>
              <w:t>百分比</w:t>
            </w:r>
          </w:p>
        </w:tc>
        <w:tc>
          <w:tcPr>
            <w:tcW w:w="923" w:type="dxa"/>
            <w:vMerge w:val="restart"/>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调查问卷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vMerge w:val="continue"/>
            <w:shd w:val="clear" w:color="auto" w:fill="auto"/>
            <w:vAlign w:val="center"/>
          </w:tcPr>
          <w:p>
            <w:pPr>
              <w:rPr>
                <w:rFonts w:ascii="方正书宋_GBK" w:hAnsi="宋体" w:eastAsia="方正书宋_GBK" w:cs="宋体"/>
                <w:color w:val="000000"/>
              </w:rPr>
            </w:pPr>
          </w:p>
        </w:tc>
        <w:tc>
          <w:tcPr>
            <w:tcW w:w="1701" w:type="dxa"/>
            <w:vMerge w:val="continue"/>
            <w:shd w:val="clear" w:color="auto" w:fill="auto"/>
            <w:vAlign w:val="center"/>
          </w:tcPr>
          <w:p>
            <w:pPr>
              <w:rPr>
                <w:rFonts w:ascii="宋体" w:hAnsi="宋体" w:eastAsia="宋体" w:cs="宋体"/>
                <w:color w:val="000000"/>
                <w:sz w:val="22"/>
                <w:szCs w:val="22"/>
              </w:rPr>
            </w:pPr>
          </w:p>
        </w:tc>
        <w:tc>
          <w:tcPr>
            <w:tcW w:w="6237" w:type="dxa"/>
            <w:vMerge w:val="continue"/>
            <w:shd w:val="clear" w:color="auto" w:fill="auto"/>
            <w:vAlign w:val="center"/>
          </w:tcPr>
          <w:p>
            <w:pPr>
              <w:rPr>
                <w:rFonts w:ascii="Calibri" w:hAnsi="Calibri" w:eastAsia="宋体" w:cs="Calibri"/>
                <w:color w:val="000000"/>
                <w:sz w:val="22"/>
                <w:szCs w:val="22"/>
              </w:rPr>
            </w:pPr>
          </w:p>
        </w:tc>
        <w:tc>
          <w:tcPr>
            <w:tcW w:w="2268" w:type="dxa"/>
            <w:vMerge w:val="continue"/>
            <w:shd w:val="clear" w:color="auto" w:fill="auto"/>
            <w:vAlign w:val="center"/>
          </w:tcPr>
          <w:p>
            <w:pPr>
              <w:rPr>
                <w:rFonts w:ascii="宋体" w:hAnsi="宋体" w:eastAsia="宋体" w:cs="宋体"/>
                <w:color w:val="000000"/>
                <w:sz w:val="22"/>
                <w:szCs w:val="22"/>
              </w:rPr>
            </w:pPr>
          </w:p>
        </w:tc>
        <w:tc>
          <w:tcPr>
            <w:tcW w:w="567" w:type="dxa"/>
            <w:vMerge w:val="continue"/>
            <w:shd w:val="clear" w:color="auto" w:fill="auto"/>
            <w:vAlign w:val="center"/>
          </w:tcPr>
          <w:p>
            <w:pPr>
              <w:rPr>
                <w:rFonts w:ascii="Calibri" w:hAnsi="Calibri" w:eastAsia="宋体" w:cs="Calibri"/>
                <w:color w:val="000000"/>
                <w:sz w:val="22"/>
                <w:szCs w:val="22"/>
              </w:rPr>
            </w:pPr>
          </w:p>
        </w:tc>
        <w:tc>
          <w:tcPr>
            <w:tcW w:w="567" w:type="dxa"/>
            <w:vMerge w:val="continue"/>
            <w:shd w:val="clear" w:color="auto" w:fill="auto"/>
            <w:vAlign w:val="center"/>
          </w:tcPr>
          <w:p>
            <w:pPr>
              <w:rPr>
                <w:rFonts w:eastAsia="宋体"/>
                <w:color w:val="000000"/>
                <w:sz w:val="22"/>
                <w:szCs w:val="22"/>
              </w:rPr>
            </w:pPr>
          </w:p>
        </w:tc>
        <w:tc>
          <w:tcPr>
            <w:tcW w:w="1134" w:type="dxa"/>
            <w:vMerge w:val="continue"/>
            <w:shd w:val="clear" w:color="auto" w:fill="auto"/>
            <w:vAlign w:val="center"/>
          </w:tcPr>
          <w:p>
            <w:pPr>
              <w:rPr>
                <w:rFonts w:ascii="宋体" w:hAnsi="宋体" w:eastAsia="宋体" w:cs="宋体"/>
                <w:color w:val="000000"/>
                <w:sz w:val="22"/>
                <w:szCs w:val="22"/>
              </w:rPr>
            </w:pPr>
          </w:p>
        </w:tc>
        <w:tc>
          <w:tcPr>
            <w:tcW w:w="923" w:type="dxa"/>
            <w:vMerge w:val="continue"/>
            <w:shd w:val="clear" w:color="auto" w:fill="auto"/>
            <w:vAlign w:val="center"/>
          </w:tcPr>
          <w:p>
            <w:pPr>
              <w:rPr>
                <w:rFonts w:ascii="宋体" w:hAnsi="宋体" w:eastAsia="宋体" w:cs="宋体"/>
                <w:color w:val="000000"/>
                <w:sz w:val="22"/>
                <w:szCs w:val="22"/>
              </w:rPr>
            </w:pPr>
          </w:p>
        </w:tc>
      </w:tr>
    </w:tbl>
    <w:p>
      <w:pPr>
        <w:ind w:firstLine="640"/>
        <w:rPr>
          <w:rFonts w:ascii="方正楷体_GBK" w:hAnsi="方正楷体_GBK" w:eastAsia="方正楷体_GBK" w:cs="方正楷体_GBK"/>
          <w:b/>
          <w:color w:val="000000"/>
          <w:sz w:val="32"/>
        </w:rPr>
      </w:pP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第二部分  预算项目绩效目标</w:t>
      </w:r>
    </w:p>
    <w:p>
      <w:pPr>
        <w:ind w:firstLine="560"/>
      </w:pPr>
      <w:r>
        <w:rPr>
          <w:rFonts w:ascii="方正仿宋_GBK" w:hAnsi="方正仿宋_GBK" w:eastAsia="方正仿宋_GBK" w:cs="方正仿宋_GBK"/>
          <w:b/>
          <w:color w:val="000000"/>
          <w:sz w:val="28"/>
        </w:rPr>
        <w:t>1、义务教育学校生均公用经费资金[区级]绩效目标表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1.廊坊市第十一学对2023年在校学生1259人，按照义务教育生均公用经费标准申请财政预算资金，通过合理、合规使用资金达到保证学校正常运转，改善办学条件，促进义务教育发展。</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生均公用经费保障的学生人数</w:t>
            </w:r>
          </w:p>
        </w:tc>
        <w:tc>
          <w:tcPr>
            <w:tcW w:w="2835" w:type="dxa"/>
            <w:vAlign w:val="center"/>
          </w:tcPr>
          <w:p>
            <w:pPr>
              <w:pStyle w:val="17"/>
            </w:pPr>
            <w:r>
              <w:t>保障使用生均公用经费的实际校学生人数</w:t>
            </w:r>
          </w:p>
        </w:tc>
        <w:tc>
          <w:tcPr>
            <w:tcW w:w="2551" w:type="dxa"/>
            <w:vAlign w:val="center"/>
          </w:tcPr>
          <w:p>
            <w:pPr>
              <w:pStyle w:val="17"/>
            </w:pPr>
            <w:r>
              <w:t>1259人</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生均公用经费使用的合规率</w:t>
            </w:r>
          </w:p>
        </w:tc>
        <w:tc>
          <w:tcPr>
            <w:tcW w:w="2835" w:type="dxa"/>
            <w:vAlign w:val="center"/>
          </w:tcPr>
          <w:p>
            <w:pPr>
              <w:pStyle w:val="17"/>
            </w:pPr>
            <w:r>
              <w:t>生均公用经费使用符合文件中的相关规定</w:t>
            </w:r>
          </w:p>
        </w:tc>
        <w:tc>
          <w:tcPr>
            <w:tcW w:w="2551" w:type="dxa"/>
            <w:vAlign w:val="center"/>
          </w:tcPr>
          <w:p>
            <w:pPr>
              <w:pStyle w:val="17"/>
            </w:pPr>
            <w:r>
              <w:t>100%</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用于保障学校正常运转项目完成及时率</w:t>
            </w:r>
          </w:p>
        </w:tc>
        <w:tc>
          <w:tcPr>
            <w:tcW w:w="2835" w:type="dxa"/>
            <w:vAlign w:val="center"/>
          </w:tcPr>
          <w:p>
            <w:pPr>
              <w:pStyle w:val="17"/>
            </w:pPr>
            <w:r>
              <w:t>使用生均公用经费，用于保障学校正常运转的项目完成情况</w:t>
            </w:r>
          </w:p>
        </w:tc>
        <w:tc>
          <w:tcPr>
            <w:tcW w:w="2551" w:type="dxa"/>
            <w:vAlign w:val="center"/>
          </w:tcPr>
          <w:p>
            <w:pPr>
              <w:pStyle w:val="17"/>
            </w:pPr>
            <w:r>
              <w:t>100%</w:t>
            </w:r>
          </w:p>
        </w:tc>
        <w:tc>
          <w:tcPr>
            <w:tcW w:w="2268" w:type="dxa"/>
            <w:vAlign w:val="center"/>
          </w:tcPr>
          <w:p>
            <w:pPr>
              <w:pStyle w:val="17"/>
            </w:pPr>
            <w: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使用生均公用经费，用于保障学校正常运转的项目支出成本</w:t>
            </w:r>
          </w:p>
        </w:tc>
        <w:tc>
          <w:tcPr>
            <w:tcW w:w="2835" w:type="dxa"/>
            <w:vAlign w:val="center"/>
          </w:tcPr>
          <w:p>
            <w:pPr>
              <w:pStyle w:val="17"/>
            </w:pPr>
            <w:r>
              <w:t>使用生均公用经费，用于保障学校正常运转的项目支出成本等于735元/生</w:t>
            </w:r>
          </w:p>
        </w:tc>
        <w:tc>
          <w:tcPr>
            <w:tcW w:w="2551" w:type="dxa"/>
            <w:vAlign w:val="center"/>
          </w:tcPr>
          <w:p>
            <w:pPr>
              <w:pStyle w:val="17"/>
            </w:pPr>
            <w:r>
              <w:t>735元</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义务教育高质量发展</w:t>
            </w:r>
          </w:p>
        </w:tc>
        <w:tc>
          <w:tcPr>
            <w:tcW w:w="2835" w:type="dxa"/>
            <w:vAlign w:val="center"/>
          </w:tcPr>
          <w:p>
            <w:pPr>
              <w:pStyle w:val="17"/>
            </w:pPr>
            <w:r>
              <w:t>该资金用于学校正常运转，改善办学条件，促进义务教育均衡发展及学生素质提高</w:t>
            </w:r>
          </w:p>
        </w:tc>
        <w:tc>
          <w:tcPr>
            <w:tcW w:w="2551" w:type="dxa"/>
            <w:vAlign w:val="center"/>
          </w:tcPr>
          <w:p>
            <w:pPr>
              <w:pStyle w:val="17"/>
            </w:pPr>
            <w:r>
              <w:t>支持</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在校师生的满意程度</w:t>
            </w:r>
          </w:p>
        </w:tc>
        <w:tc>
          <w:tcPr>
            <w:tcW w:w="2835" w:type="dxa"/>
            <w:vAlign w:val="center"/>
          </w:tcPr>
          <w:p>
            <w:pPr>
              <w:pStyle w:val="17"/>
            </w:pPr>
            <w:r>
              <w:t>在校师生的满意程度</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28" w:name="tz_0002_0006"/>
      <w:bookmarkEnd w:id="28"/>
      <w:bookmarkStart w:id="29" w:name="_Toc_3_3_0000000015"/>
      <w:r>
        <w:rPr>
          <w:rFonts w:ascii="黑体" w:hAnsi="黑体" w:eastAsia="黑体" w:cs="黑体"/>
          <w:color w:val="000000"/>
          <w:sz w:val="32"/>
        </w:rPr>
        <w:t>六、政府采购预算情况</w:t>
      </w:r>
      <w:bookmarkEnd w:id="29"/>
    </w:p>
    <w:p>
      <w:pPr>
        <w:spacing w:line="500" w:lineRule="exact"/>
        <w:ind w:firstLine="560"/>
      </w:pPr>
      <w:r>
        <w:rPr>
          <w:rFonts w:eastAsia="方正仿宋_GBK"/>
          <w:color w:val="000000"/>
          <w:sz w:val="28"/>
        </w:rPr>
        <w:t>2023年，廊坊市第十一小学安排政府采购预算0.00万元。具体内容见下表。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1526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85"/>
        <w:gridCol w:w="992"/>
        <w:gridCol w:w="971"/>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591" w:type="dxa"/>
            <w:gridSpan w:val="7"/>
            <w:tcBorders>
              <w:top w:val="single" w:color="FFFFFF" w:sz="6" w:space="0"/>
              <w:left w:val="single" w:color="FFFFFF" w:sz="6" w:space="0"/>
              <w:right w:val="single" w:color="FFFFFF" w:sz="6" w:space="0"/>
            </w:tcBorders>
            <w:vAlign w:val="center"/>
          </w:tcPr>
          <w:p>
            <w:pPr>
              <w:pStyle w:val="14"/>
            </w:pPr>
            <w:r>
              <w:t>458廊坊市第十一小学</w:t>
            </w:r>
          </w:p>
        </w:tc>
        <w:tc>
          <w:tcPr>
            <w:tcW w:w="8676"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77" w:type="dxa"/>
            <w:gridSpan w:val="2"/>
            <w:vAlign w:val="center"/>
          </w:tcPr>
          <w:p>
            <w:pPr>
              <w:pStyle w:val="15"/>
            </w:pPr>
            <w:r>
              <w:t>政府采购项目来源</w:t>
            </w:r>
          </w:p>
        </w:tc>
        <w:tc>
          <w:tcPr>
            <w:tcW w:w="971"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2"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85" w:type="dxa"/>
            <w:vAlign w:val="center"/>
          </w:tcPr>
          <w:p>
            <w:pPr>
              <w:pStyle w:val="15"/>
            </w:pPr>
            <w:r>
              <w:t>项目名称</w:t>
            </w:r>
          </w:p>
        </w:tc>
        <w:tc>
          <w:tcPr>
            <w:tcW w:w="992" w:type="dxa"/>
            <w:vAlign w:val="center"/>
          </w:tcPr>
          <w:p>
            <w:pPr>
              <w:pStyle w:val="15"/>
            </w:pPr>
            <w:r>
              <w:t>预算    资金</w:t>
            </w:r>
          </w:p>
        </w:tc>
        <w:tc>
          <w:tcPr>
            <w:tcW w:w="971"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085" w:type="dxa"/>
            <w:vAlign w:val="center"/>
          </w:tcPr>
          <w:p>
            <w:pPr>
              <w:pStyle w:val="17"/>
            </w:pPr>
          </w:p>
        </w:tc>
        <w:tc>
          <w:tcPr>
            <w:tcW w:w="992" w:type="dxa"/>
            <w:vAlign w:val="center"/>
          </w:tcPr>
          <w:p>
            <w:pPr>
              <w:pStyle w:val="16"/>
            </w:pPr>
          </w:p>
        </w:tc>
        <w:tc>
          <w:tcPr>
            <w:tcW w:w="971"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2"/>
      </w:pPr>
      <w:bookmarkStart w:id="30" w:name="tz_0002_0007"/>
      <w:bookmarkEnd w:id="30"/>
      <w:bookmarkStart w:id="31" w:name="_Toc_3_3_0000000016"/>
      <w:r>
        <w:rPr>
          <w:rFonts w:ascii="黑体" w:hAnsi="黑体" w:eastAsia="黑体" w:cs="黑体"/>
          <w:color w:val="000000"/>
          <w:sz w:val="32"/>
        </w:rPr>
        <w:t>七、国有资产信息</w:t>
      </w:r>
      <w:bookmarkEnd w:id="31"/>
    </w:p>
    <w:p>
      <w:pPr>
        <w:spacing w:line="500" w:lineRule="exact"/>
        <w:ind w:firstLine="560"/>
      </w:pPr>
      <w:r>
        <w:rPr>
          <w:rFonts w:eastAsia="方正仿宋_GBK"/>
          <w:color w:val="000000"/>
          <w:sz w:val="28"/>
        </w:rPr>
        <w:t>廊坊市第十一小学（含所属单位）上年末固定资产金额为729.62万元（详见下表）。本年度拟购置固定资产总额为13.57万元，已按要求列入政府采购预算，详见政府采购预算表。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458廊坊市第十一小学</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729.62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r>
              <w:t>5371.23</w:t>
            </w:r>
          </w:p>
        </w:tc>
        <w:tc>
          <w:tcPr>
            <w:tcW w:w="2835" w:type="dxa"/>
            <w:vAlign w:val="center"/>
          </w:tcPr>
          <w:p>
            <w:pPr>
              <w:pStyle w:val="16"/>
            </w:pPr>
            <w:r>
              <w:t>544.12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r>
              <w:t>582.02</w:t>
            </w:r>
          </w:p>
        </w:tc>
        <w:tc>
          <w:tcPr>
            <w:tcW w:w="2835" w:type="dxa"/>
            <w:vAlign w:val="center"/>
          </w:tcPr>
          <w:p>
            <w:pPr>
              <w:pStyle w:val="16"/>
            </w:pPr>
            <w:r>
              <w:t>55.91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r>
              <w:t>10222</w:t>
            </w:r>
          </w:p>
        </w:tc>
        <w:tc>
          <w:tcPr>
            <w:tcW w:w="2835" w:type="dxa"/>
            <w:vAlign w:val="center"/>
          </w:tcPr>
          <w:p>
            <w:pPr>
              <w:pStyle w:val="16"/>
            </w:pPr>
            <w:r>
              <w:t>185.50</w:t>
            </w:r>
          </w:p>
        </w:tc>
      </w:tr>
    </w:tbl>
    <w:p>
      <w:pPr>
        <w:ind w:firstLine="640"/>
      </w:pPr>
    </w:p>
    <w:p>
      <w:pPr>
        <w:spacing w:before="10" w:after="10"/>
        <w:ind w:firstLine="640"/>
        <w:outlineLvl w:val="2"/>
      </w:pPr>
      <w:bookmarkStart w:id="32" w:name="tz_0002_0008"/>
      <w:bookmarkEnd w:id="32"/>
      <w:bookmarkStart w:id="33" w:name="_Toc_3_3_0000000017"/>
      <w:r>
        <w:rPr>
          <w:rFonts w:ascii="黑体" w:hAnsi="黑体" w:eastAsia="黑体" w:cs="黑体"/>
          <w:color w:val="000000"/>
          <w:sz w:val="32"/>
        </w:rPr>
        <w:t>八、名词解释</w:t>
      </w:r>
      <w:bookmarkEnd w:id="33"/>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34" w:name="tz_0002_0009"/>
      <w:bookmarkEnd w:id="34"/>
      <w:bookmarkStart w:id="35" w:name="_Toc_3_3_0000000018"/>
      <w:r>
        <w:rPr>
          <w:rFonts w:ascii="黑体" w:hAnsi="黑体" w:eastAsia="黑体" w:cs="黑体"/>
          <w:color w:val="000000"/>
          <w:sz w:val="32"/>
        </w:rPr>
        <w:t>九、其他需要说明的事项</w:t>
      </w:r>
      <w:bookmarkEnd w:id="35"/>
    </w:p>
    <w:p>
      <w:pPr>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B365B9"/>
    <w:rsid w:val="00406017"/>
    <w:rsid w:val="0070399D"/>
    <w:rsid w:val="007B3BC0"/>
    <w:rsid w:val="00814236"/>
    <w:rsid w:val="00B365B9"/>
    <w:rsid w:val="00D449E0"/>
    <w:rsid w:val="00E83386"/>
    <w:rsid w:val="00F60BF5"/>
    <w:rsid w:val="790104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7"/>
    <w:semiHidden/>
    <w:unhideWhenUsed/>
    <w:uiPriority w:val="99"/>
    <w:pPr>
      <w:tabs>
        <w:tab w:val="center" w:pos="4153"/>
        <w:tab w:val="right" w:pos="8306"/>
      </w:tabs>
      <w:snapToGrid w:val="0"/>
    </w:pPr>
    <w:rPr>
      <w:sz w:val="18"/>
      <w:szCs w:val="18"/>
    </w:rPr>
  </w:style>
  <w:style w:type="paragraph" w:styleId="4">
    <w:name w:val="header"/>
    <w:basedOn w:val="1"/>
    <w:link w:val="36"/>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uiPriority w:val="99"/>
    <w:rPr>
      <w:color w:val="0563C1" w:themeColor="hyperlink"/>
      <w:u w:val="single"/>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4">
    <w:name w:val="font51"/>
    <w:basedOn w:val="10"/>
    <w:uiPriority w:val="0"/>
    <w:rPr>
      <w:rFonts w:hint="default" w:ascii="Calibri" w:hAnsi="Calibri" w:cs="Calibri"/>
      <w:color w:val="000000"/>
      <w:sz w:val="22"/>
      <w:szCs w:val="22"/>
      <w:u w:val="none"/>
    </w:rPr>
  </w:style>
  <w:style w:type="character" w:customStyle="1" w:styleId="35">
    <w:name w:val="font41"/>
    <w:basedOn w:val="10"/>
    <w:uiPriority w:val="0"/>
    <w:rPr>
      <w:rFonts w:hint="eastAsia" w:ascii="宋体" w:hAnsi="宋体" w:eastAsia="宋体"/>
      <w:color w:val="000000"/>
      <w:sz w:val="22"/>
      <w:szCs w:val="22"/>
      <w:u w:val="none"/>
    </w:rPr>
  </w:style>
  <w:style w:type="character" w:customStyle="1" w:styleId="36">
    <w:name w:val="页眉 Char"/>
    <w:basedOn w:val="10"/>
    <w:link w:val="4"/>
    <w:semiHidden/>
    <w:uiPriority w:val="99"/>
    <w:rPr>
      <w:rFonts w:eastAsia="Times New Roman"/>
      <w:sz w:val="18"/>
      <w:szCs w:val="18"/>
      <w:lang w:eastAsia="uk-UA"/>
    </w:rPr>
  </w:style>
  <w:style w:type="character" w:customStyle="1" w:styleId="37">
    <w:name w:val="页脚 Char"/>
    <w:basedOn w:val="10"/>
    <w:link w:val="3"/>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2023-03-13T11:08:12Z</dcterms:created>
  <dcterms:modified xsi:type="dcterms:W3CDTF">2023-03-13T03:08:12Z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2023-03-13T11:08:09Z</dcterms:created>
  <dcterms:modified xsi:type="dcterms:W3CDTF">2023-03-13T03:08:09Z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2023-03-13T11:08:09Z</dcterms:created>
  <dcterms:modified xsi:type="dcterms:W3CDTF">2023-03-13T03:08:09Z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2023-03-13T11:08:09Z</dcterms:created>
  <dcterms:modified xsi:type="dcterms:W3CDTF">2023-03-13T03:08:09Z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2023-03-13T11:08:10Z</dcterms:created>
  <dcterms:modified xsi:type="dcterms:W3CDTF">2023-03-13T03:08:10Z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2023-03-13T11:08:12Z</dcterms:created>
  <dcterms:modified xsi:type="dcterms:W3CDTF">2023-03-13T03:08:12Z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2023-03-13T11:08:13Z</dcterms:created>
  <dcterms:modified xsi:type="dcterms:W3CDTF">2023-03-13T03:08:13Z</dcterms:modified>
</cp:coreProperties>
</file>

<file path=customXml/itemProps1.xml><?xml version="1.0" encoding="utf-8"?>
<ds:datastoreItem xmlns:ds="http://schemas.openxmlformats.org/officeDocument/2006/customXml" ds:itemID="{013F6C6E-D4F6-4C10-A916-E81EB962BE70}">
  <ds:schemaRefs/>
</ds:datastoreItem>
</file>

<file path=customXml/itemProps10.xml><?xml version="1.0" encoding="utf-8"?>
<ds:datastoreItem xmlns:ds="http://schemas.openxmlformats.org/officeDocument/2006/customXml" ds:itemID="{6F4CFA8B-F307-409B-89D8-2C2BC898E2D8}">
  <ds:schemaRefs/>
</ds:datastoreItem>
</file>

<file path=customXml/itemProps11.xml><?xml version="1.0" encoding="utf-8"?>
<ds:datastoreItem xmlns:ds="http://schemas.openxmlformats.org/officeDocument/2006/customXml" ds:itemID="{6CE3D4E7-34FA-4CAC-A3D2-8652DBCE4D78}">
  <ds:schemaRefs/>
</ds:datastoreItem>
</file>

<file path=customXml/itemProps12.xml><?xml version="1.0" encoding="utf-8"?>
<ds:datastoreItem xmlns:ds="http://schemas.openxmlformats.org/officeDocument/2006/customXml" ds:itemID="{AEC948B4-773A-4747-ADCB-BF50E086A8F9}">
  <ds:schemaRefs/>
</ds:datastoreItem>
</file>

<file path=customXml/itemProps13.xml><?xml version="1.0" encoding="utf-8"?>
<ds:datastoreItem xmlns:ds="http://schemas.openxmlformats.org/officeDocument/2006/customXml" ds:itemID="{01B76C63-3D3E-4923-93B6-55783F0D6458}">
  <ds:schemaRefs/>
</ds:datastoreItem>
</file>

<file path=customXml/itemProps14.xml><?xml version="1.0" encoding="utf-8"?>
<ds:datastoreItem xmlns:ds="http://schemas.openxmlformats.org/officeDocument/2006/customXml" ds:itemID="{5660DC08-5848-4881-93AF-DBC9A3668CB8}">
  <ds:schemaRefs/>
</ds:datastoreItem>
</file>

<file path=customXml/itemProps2.xml><?xml version="1.0" encoding="utf-8"?>
<ds:datastoreItem xmlns:ds="http://schemas.openxmlformats.org/officeDocument/2006/customXml" ds:itemID="{AE35FB0A-0AFF-418C-9560-F70C757164FB}">
  <ds:schemaRefs/>
</ds:datastoreItem>
</file>

<file path=customXml/itemProps3.xml><?xml version="1.0" encoding="utf-8"?>
<ds:datastoreItem xmlns:ds="http://schemas.openxmlformats.org/officeDocument/2006/customXml" ds:itemID="{3C06D351-AD1B-439D-BF72-01B84029A326}">
  <ds:schemaRefs/>
</ds:datastoreItem>
</file>

<file path=customXml/itemProps4.xml><?xml version="1.0" encoding="utf-8"?>
<ds:datastoreItem xmlns:ds="http://schemas.openxmlformats.org/officeDocument/2006/customXml" ds:itemID="{5A520BDA-9907-412F-9D17-4522C3412A25}">
  <ds:schemaRefs/>
</ds:datastoreItem>
</file>

<file path=customXml/itemProps5.xml><?xml version="1.0" encoding="utf-8"?>
<ds:datastoreItem xmlns:ds="http://schemas.openxmlformats.org/officeDocument/2006/customXml" ds:itemID="{6BE4DF92-8E2C-4A65-B18C-910F51E087F5}">
  <ds:schemaRefs/>
</ds:datastoreItem>
</file>

<file path=customXml/itemProps6.xml><?xml version="1.0" encoding="utf-8"?>
<ds:datastoreItem xmlns:ds="http://schemas.openxmlformats.org/officeDocument/2006/customXml" ds:itemID="{78546497-6D7D-4259-8505-888057E3E347}">
  <ds:schemaRefs/>
</ds:datastoreItem>
</file>

<file path=customXml/itemProps7.xml><?xml version="1.0" encoding="utf-8"?>
<ds:datastoreItem xmlns:ds="http://schemas.openxmlformats.org/officeDocument/2006/customXml" ds:itemID="{AB25082E-F170-423E-9886-7D6875950C95}">
  <ds:schemaRefs/>
</ds:datastoreItem>
</file>

<file path=customXml/itemProps8.xml><?xml version="1.0" encoding="utf-8"?>
<ds:datastoreItem xmlns:ds="http://schemas.openxmlformats.org/officeDocument/2006/customXml" ds:itemID="{220E6853-A0CD-41ED-B857-C6D62CAE687A}">
  <ds:schemaRefs/>
</ds:datastoreItem>
</file>

<file path=customXml/itemProps9.xml><?xml version="1.0" encoding="utf-8"?>
<ds:datastoreItem xmlns:ds="http://schemas.openxmlformats.org/officeDocument/2006/customXml" ds:itemID="{DAFE1DD8-5E91-4B69-8F61-4B2649006827}">
  <ds:schemaRefs/>
</ds:datastoreItem>
</file>

<file path=docProps/app.xml><?xml version="1.0" encoding="utf-8"?>
<Properties xmlns="http://schemas.openxmlformats.org/officeDocument/2006/extended-properties" xmlns:vt="http://schemas.openxmlformats.org/officeDocument/2006/docPropsVTypes">
  <Template>Normal</Template>
  <Pages>25</Pages>
  <Words>1490</Words>
  <Characters>8499</Characters>
  <Lines>70</Lines>
  <Paragraphs>19</Paragraphs>
  <TotalTime>5</TotalTime>
  <ScaleCrop>false</ScaleCrop>
  <LinksUpToDate>false</LinksUpToDate>
  <CharactersWithSpaces>9970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2023-03-13T11:08:00Z</dcterms:created>
  <dc:creator>Administrator</dc:creator>
  <cp:lastModifiedBy>Administrator</cp:lastModifiedBy>
  <dcterms:modified xsi:type="dcterms:W3CDTF">2024-01-10T10:36:11Z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CF67884DE416454F93E10B253166D7A6</vt:lpwstr>
  </property>
</Properties>
</file>