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460廊坊市第十三小学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1296.34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1296.34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1296.34</w:t>
            </w:r>
          </w:p>
        </w:tc>
        <w:tc>
          <w:tcPr>
            <w:tcW w:w="4535" w:type="dxa"/>
            <w:vAlign w:val="center"/>
          </w:tcPr>
          <w:p>
            <w:pPr>
              <w:pStyle w:val="19"/>
            </w:pPr>
            <w:r>
              <w:t>本年支出合计</w:t>
            </w:r>
          </w:p>
        </w:tc>
        <w:tc>
          <w:tcPr>
            <w:tcW w:w="2126" w:type="dxa"/>
            <w:vAlign w:val="center"/>
          </w:tcPr>
          <w:p>
            <w:pPr>
              <w:pStyle w:val="20"/>
            </w:pPr>
            <w:r>
              <w:t>1296.34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1296.34</w:t>
            </w:r>
          </w:p>
        </w:tc>
        <w:tc>
          <w:tcPr>
            <w:tcW w:w="4535" w:type="dxa"/>
            <w:vAlign w:val="center"/>
          </w:tcPr>
          <w:p>
            <w:pPr>
              <w:pStyle w:val="19"/>
            </w:pPr>
            <w:r>
              <w:t>支出总计</w:t>
            </w:r>
          </w:p>
        </w:tc>
        <w:tc>
          <w:tcPr>
            <w:tcW w:w="2126" w:type="dxa"/>
            <w:vAlign w:val="center"/>
          </w:tcPr>
          <w:p>
            <w:pPr>
              <w:pStyle w:val="20"/>
            </w:pPr>
            <w:r>
              <w:t>1296.34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460廊坊市第十三小学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1296.34</w:t>
            </w:r>
          </w:p>
        </w:tc>
        <w:tc>
          <w:tcPr>
            <w:tcW w:w="1134" w:type="dxa"/>
            <w:vAlign w:val="center"/>
          </w:tcPr>
          <w:p>
            <w:pPr>
              <w:pStyle w:val="20"/>
            </w:pPr>
            <w:r>
              <w:t>1296.34</w:t>
            </w:r>
          </w:p>
        </w:tc>
        <w:tc>
          <w:tcPr>
            <w:tcW w:w="1134" w:type="dxa"/>
            <w:vAlign w:val="center"/>
          </w:tcPr>
          <w:p>
            <w:pPr>
              <w:pStyle w:val="20"/>
            </w:pPr>
            <w:r>
              <w:t>1296.34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1296.34</w:t>
            </w:r>
          </w:p>
        </w:tc>
        <w:tc>
          <w:tcPr>
            <w:tcW w:w="1134" w:type="dxa"/>
            <w:vAlign w:val="center"/>
          </w:tcPr>
          <w:p>
            <w:pPr>
              <w:pStyle w:val="16"/>
            </w:pPr>
            <w:r>
              <w:t>1296.34</w:t>
            </w:r>
          </w:p>
        </w:tc>
        <w:tc>
          <w:tcPr>
            <w:tcW w:w="1134" w:type="dxa"/>
            <w:vAlign w:val="center"/>
          </w:tcPr>
          <w:p>
            <w:pPr>
              <w:pStyle w:val="16"/>
            </w:pPr>
            <w:r>
              <w:t>1296.34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1296.34</w:t>
            </w:r>
          </w:p>
        </w:tc>
        <w:tc>
          <w:tcPr>
            <w:tcW w:w="1134" w:type="dxa"/>
            <w:vAlign w:val="center"/>
          </w:tcPr>
          <w:p>
            <w:pPr>
              <w:pStyle w:val="16"/>
            </w:pPr>
            <w:r>
              <w:t>1296.34</w:t>
            </w:r>
          </w:p>
        </w:tc>
        <w:tc>
          <w:tcPr>
            <w:tcW w:w="1134" w:type="dxa"/>
            <w:vAlign w:val="center"/>
          </w:tcPr>
          <w:p>
            <w:pPr>
              <w:pStyle w:val="16"/>
            </w:pPr>
            <w:r>
              <w:t>1296.34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1296.34</w:t>
            </w:r>
          </w:p>
        </w:tc>
        <w:tc>
          <w:tcPr>
            <w:tcW w:w="1134" w:type="dxa"/>
            <w:vAlign w:val="center"/>
          </w:tcPr>
          <w:p>
            <w:pPr>
              <w:pStyle w:val="16"/>
            </w:pPr>
            <w:r>
              <w:t>1296.34</w:t>
            </w:r>
          </w:p>
        </w:tc>
        <w:tc>
          <w:tcPr>
            <w:tcW w:w="1134" w:type="dxa"/>
            <w:vAlign w:val="center"/>
          </w:tcPr>
          <w:p>
            <w:pPr>
              <w:pStyle w:val="16"/>
            </w:pPr>
            <w:r>
              <w:t>1296.34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460廊坊市第十三小学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1296.34</w:t>
            </w:r>
          </w:p>
        </w:tc>
        <w:tc>
          <w:tcPr>
            <w:tcW w:w="1361" w:type="dxa"/>
            <w:vAlign w:val="center"/>
          </w:tcPr>
          <w:p>
            <w:pPr>
              <w:pStyle w:val="20"/>
            </w:pPr>
            <w:r>
              <w:t>1284.13</w:t>
            </w:r>
          </w:p>
        </w:tc>
        <w:tc>
          <w:tcPr>
            <w:tcW w:w="1361" w:type="dxa"/>
            <w:vAlign w:val="center"/>
          </w:tcPr>
          <w:p>
            <w:pPr>
              <w:pStyle w:val="20"/>
            </w:pPr>
            <w:r>
              <w:t>12.21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1296.34</w:t>
            </w:r>
          </w:p>
        </w:tc>
        <w:tc>
          <w:tcPr>
            <w:tcW w:w="1361" w:type="dxa"/>
            <w:vAlign w:val="center"/>
          </w:tcPr>
          <w:p>
            <w:pPr>
              <w:pStyle w:val="16"/>
            </w:pPr>
            <w:r>
              <w:t>1284.13</w:t>
            </w:r>
          </w:p>
        </w:tc>
        <w:tc>
          <w:tcPr>
            <w:tcW w:w="1361" w:type="dxa"/>
            <w:vAlign w:val="center"/>
          </w:tcPr>
          <w:p>
            <w:pPr>
              <w:pStyle w:val="16"/>
            </w:pPr>
            <w:r>
              <w:t>12.21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1296.34</w:t>
            </w:r>
          </w:p>
        </w:tc>
        <w:tc>
          <w:tcPr>
            <w:tcW w:w="1361" w:type="dxa"/>
            <w:vAlign w:val="center"/>
          </w:tcPr>
          <w:p>
            <w:pPr>
              <w:pStyle w:val="16"/>
            </w:pPr>
            <w:r>
              <w:t>1284.13</w:t>
            </w:r>
          </w:p>
        </w:tc>
        <w:tc>
          <w:tcPr>
            <w:tcW w:w="1361" w:type="dxa"/>
            <w:vAlign w:val="center"/>
          </w:tcPr>
          <w:p>
            <w:pPr>
              <w:pStyle w:val="16"/>
            </w:pPr>
            <w:r>
              <w:t>12.21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1296.34</w:t>
            </w:r>
          </w:p>
        </w:tc>
        <w:tc>
          <w:tcPr>
            <w:tcW w:w="1361" w:type="dxa"/>
            <w:vAlign w:val="center"/>
          </w:tcPr>
          <w:p>
            <w:pPr>
              <w:pStyle w:val="16"/>
            </w:pPr>
            <w:r>
              <w:t>1284.13</w:t>
            </w:r>
          </w:p>
        </w:tc>
        <w:tc>
          <w:tcPr>
            <w:tcW w:w="1361" w:type="dxa"/>
            <w:vAlign w:val="center"/>
          </w:tcPr>
          <w:p>
            <w:pPr>
              <w:pStyle w:val="16"/>
            </w:pPr>
            <w:r>
              <w:t>12.21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460廊坊市第十三小学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1296.34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1296.34</w:t>
            </w:r>
          </w:p>
        </w:tc>
        <w:tc>
          <w:tcPr>
            <w:tcW w:w="1474" w:type="dxa"/>
            <w:vAlign w:val="center"/>
          </w:tcPr>
          <w:p>
            <w:pPr>
              <w:pStyle w:val="16"/>
            </w:pPr>
            <w:r>
              <w:t>1296.34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1296.34</w:t>
            </w:r>
          </w:p>
        </w:tc>
        <w:tc>
          <w:tcPr>
            <w:tcW w:w="3402" w:type="dxa"/>
            <w:vAlign w:val="center"/>
          </w:tcPr>
          <w:p>
            <w:pPr>
              <w:pStyle w:val="19"/>
            </w:pPr>
            <w:r>
              <w:t>本年支出合计</w:t>
            </w:r>
          </w:p>
        </w:tc>
        <w:tc>
          <w:tcPr>
            <w:tcW w:w="1474" w:type="dxa"/>
            <w:vAlign w:val="center"/>
          </w:tcPr>
          <w:p>
            <w:pPr>
              <w:pStyle w:val="20"/>
            </w:pPr>
            <w:r>
              <w:t>1296.34</w:t>
            </w:r>
          </w:p>
        </w:tc>
        <w:tc>
          <w:tcPr>
            <w:tcW w:w="1474" w:type="dxa"/>
            <w:vAlign w:val="center"/>
          </w:tcPr>
          <w:p>
            <w:pPr>
              <w:pStyle w:val="20"/>
            </w:pPr>
            <w:r>
              <w:t>1296.34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1296.34</w:t>
            </w:r>
          </w:p>
        </w:tc>
        <w:tc>
          <w:tcPr>
            <w:tcW w:w="3402" w:type="dxa"/>
            <w:vAlign w:val="center"/>
          </w:tcPr>
          <w:p>
            <w:pPr>
              <w:pStyle w:val="19"/>
            </w:pPr>
            <w:r>
              <w:t>支出总计</w:t>
            </w:r>
          </w:p>
        </w:tc>
        <w:tc>
          <w:tcPr>
            <w:tcW w:w="1474" w:type="dxa"/>
            <w:vAlign w:val="center"/>
          </w:tcPr>
          <w:p>
            <w:pPr>
              <w:pStyle w:val="20"/>
            </w:pPr>
            <w:r>
              <w:t>1296.34</w:t>
            </w:r>
          </w:p>
        </w:tc>
        <w:tc>
          <w:tcPr>
            <w:tcW w:w="1474" w:type="dxa"/>
            <w:vAlign w:val="center"/>
          </w:tcPr>
          <w:p>
            <w:pPr>
              <w:pStyle w:val="20"/>
            </w:pPr>
            <w:r>
              <w:t>1296.34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460廊坊市第十三小学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1296.34</w:t>
            </w:r>
          </w:p>
        </w:tc>
        <w:tc>
          <w:tcPr>
            <w:tcW w:w="2551" w:type="dxa"/>
            <w:vAlign w:val="center"/>
          </w:tcPr>
          <w:p>
            <w:pPr>
              <w:pStyle w:val="20"/>
            </w:pPr>
            <w:r>
              <w:t>1284.13</w:t>
            </w:r>
          </w:p>
        </w:tc>
        <w:tc>
          <w:tcPr>
            <w:tcW w:w="2551" w:type="dxa"/>
            <w:vAlign w:val="center"/>
          </w:tcPr>
          <w:p>
            <w:pPr>
              <w:pStyle w:val="20"/>
            </w:pPr>
            <w:r>
              <w:t>12.21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1296.34</w:t>
            </w:r>
          </w:p>
        </w:tc>
        <w:tc>
          <w:tcPr>
            <w:tcW w:w="2551" w:type="dxa"/>
            <w:vAlign w:val="center"/>
          </w:tcPr>
          <w:p>
            <w:pPr>
              <w:pStyle w:val="16"/>
            </w:pPr>
            <w:r>
              <w:t>1284.13</w:t>
            </w:r>
          </w:p>
        </w:tc>
        <w:tc>
          <w:tcPr>
            <w:tcW w:w="2551" w:type="dxa"/>
            <w:vAlign w:val="center"/>
          </w:tcPr>
          <w:p>
            <w:pPr>
              <w:pStyle w:val="16"/>
            </w:pPr>
            <w:r>
              <w:t>12.21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1296.34</w:t>
            </w:r>
          </w:p>
        </w:tc>
        <w:tc>
          <w:tcPr>
            <w:tcW w:w="2551" w:type="dxa"/>
            <w:vAlign w:val="center"/>
          </w:tcPr>
          <w:p>
            <w:pPr>
              <w:pStyle w:val="16"/>
            </w:pPr>
            <w:r>
              <w:t>1284.13</w:t>
            </w:r>
          </w:p>
        </w:tc>
        <w:tc>
          <w:tcPr>
            <w:tcW w:w="2551" w:type="dxa"/>
            <w:vAlign w:val="center"/>
          </w:tcPr>
          <w:p>
            <w:pPr>
              <w:pStyle w:val="16"/>
            </w:pPr>
            <w:r>
              <w:t>12.21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1296.34</w:t>
            </w:r>
          </w:p>
        </w:tc>
        <w:tc>
          <w:tcPr>
            <w:tcW w:w="2551" w:type="dxa"/>
            <w:vAlign w:val="center"/>
          </w:tcPr>
          <w:p>
            <w:pPr>
              <w:pStyle w:val="16"/>
            </w:pPr>
            <w:r>
              <w:t>1284.13</w:t>
            </w:r>
          </w:p>
        </w:tc>
        <w:tc>
          <w:tcPr>
            <w:tcW w:w="2551" w:type="dxa"/>
            <w:vAlign w:val="center"/>
          </w:tcPr>
          <w:p>
            <w:pPr>
              <w:pStyle w:val="16"/>
            </w:pPr>
            <w:r>
              <w:t>12.21</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460廊坊市第十三小学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1284.13</w:t>
            </w:r>
          </w:p>
        </w:tc>
        <w:tc>
          <w:tcPr>
            <w:tcW w:w="2551" w:type="dxa"/>
            <w:vAlign w:val="center"/>
          </w:tcPr>
          <w:p>
            <w:pPr>
              <w:pStyle w:val="20"/>
            </w:pPr>
            <w:r>
              <w:t>1275.74</w:t>
            </w:r>
          </w:p>
        </w:tc>
        <w:tc>
          <w:tcPr>
            <w:tcW w:w="2551" w:type="dxa"/>
            <w:vAlign w:val="center"/>
          </w:tcPr>
          <w:p>
            <w:pPr>
              <w:pStyle w:val="20"/>
            </w:pPr>
            <w:r>
              <w:t>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1229.35</w:t>
            </w:r>
          </w:p>
        </w:tc>
        <w:tc>
          <w:tcPr>
            <w:tcW w:w="2551" w:type="dxa"/>
            <w:vAlign w:val="center"/>
          </w:tcPr>
          <w:p>
            <w:pPr>
              <w:pStyle w:val="16"/>
            </w:pPr>
            <w:r>
              <w:t>1229.35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358.29</w:t>
            </w:r>
          </w:p>
        </w:tc>
        <w:tc>
          <w:tcPr>
            <w:tcW w:w="2551" w:type="dxa"/>
            <w:vAlign w:val="center"/>
          </w:tcPr>
          <w:p>
            <w:pPr>
              <w:pStyle w:val="16"/>
            </w:pPr>
            <w:r>
              <w:t>358.29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136.40</w:t>
            </w:r>
          </w:p>
        </w:tc>
        <w:tc>
          <w:tcPr>
            <w:tcW w:w="2551" w:type="dxa"/>
            <w:vAlign w:val="center"/>
          </w:tcPr>
          <w:p>
            <w:pPr>
              <w:pStyle w:val="16"/>
            </w:pPr>
            <w:r>
              <w:t>136.40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217.21</w:t>
            </w:r>
          </w:p>
        </w:tc>
        <w:tc>
          <w:tcPr>
            <w:tcW w:w="2551" w:type="dxa"/>
            <w:vAlign w:val="center"/>
          </w:tcPr>
          <w:p>
            <w:pPr>
              <w:pStyle w:val="16"/>
            </w:pPr>
            <w:r>
              <w:t>217.21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259.71</w:t>
            </w:r>
          </w:p>
        </w:tc>
        <w:tc>
          <w:tcPr>
            <w:tcW w:w="2551" w:type="dxa"/>
            <w:vAlign w:val="center"/>
          </w:tcPr>
          <w:p>
            <w:pPr>
              <w:pStyle w:val="16"/>
            </w:pPr>
            <w:r>
              <w:t>259.71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117.64</w:t>
            </w:r>
          </w:p>
        </w:tc>
        <w:tc>
          <w:tcPr>
            <w:tcW w:w="2551" w:type="dxa"/>
            <w:vAlign w:val="center"/>
          </w:tcPr>
          <w:p>
            <w:pPr>
              <w:pStyle w:val="16"/>
            </w:pPr>
            <w:r>
              <w:t>117.64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36.99</w:t>
            </w:r>
          </w:p>
        </w:tc>
        <w:tc>
          <w:tcPr>
            <w:tcW w:w="2551" w:type="dxa"/>
            <w:vAlign w:val="center"/>
          </w:tcPr>
          <w:p>
            <w:pPr>
              <w:pStyle w:val="16"/>
            </w:pPr>
            <w:r>
              <w:t>36.99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3.77</w:t>
            </w:r>
          </w:p>
        </w:tc>
        <w:tc>
          <w:tcPr>
            <w:tcW w:w="2551" w:type="dxa"/>
            <w:vAlign w:val="center"/>
          </w:tcPr>
          <w:p>
            <w:pPr>
              <w:pStyle w:val="16"/>
            </w:pPr>
            <w:r>
              <w:t>3.77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97.00</w:t>
            </w:r>
          </w:p>
        </w:tc>
        <w:tc>
          <w:tcPr>
            <w:tcW w:w="2551" w:type="dxa"/>
            <w:vAlign w:val="center"/>
          </w:tcPr>
          <w:p>
            <w:pPr>
              <w:pStyle w:val="16"/>
            </w:pPr>
            <w:r>
              <w:t>97.00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2.34</w:t>
            </w:r>
          </w:p>
        </w:tc>
        <w:tc>
          <w:tcPr>
            <w:tcW w:w="2551" w:type="dxa"/>
            <w:vAlign w:val="center"/>
          </w:tcPr>
          <w:p>
            <w:pPr>
              <w:pStyle w:val="16"/>
            </w:pPr>
            <w:r>
              <w:t>2.34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8.39</w:t>
            </w:r>
          </w:p>
        </w:tc>
        <w:tc>
          <w:tcPr>
            <w:tcW w:w="2551" w:type="dxa"/>
            <w:vAlign w:val="center"/>
          </w:tcPr>
          <w:p>
            <w:pPr>
              <w:pStyle w:val="16"/>
            </w:pPr>
          </w:p>
        </w:tc>
        <w:tc>
          <w:tcPr>
            <w:tcW w:w="2551" w:type="dxa"/>
            <w:vAlign w:val="center"/>
          </w:tcPr>
          <w:p>
            <w:pPr>
              <w:pStyle w:val="16"/>
            </w:pPr>
            <w:r>
              <w:t>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4.20</w:t>
            </w:r>
          </w:p>
        </w:tc>
        <w:tc>
          <w:tcPr>
            <w:tcW w:w="2551" w:type="dxa"/>
            <w:vAlign w:val="center"/>
          </w:tcPr>
          <w:p>
            <w:pPr>
              <w:pStyle w:val="16"/>
            </w:pPr>
          </w:p>
        </w:tc>
        <w:tc>
          <w:tcPr>
            <w:tcW w:w="2551" w:type="dxa"/>
            <w:vAlign w:val="center"/>
          </w:tcPr>
          <w:p>
            <w:pPr>
              <w:pStyle w:val="16"/>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4.19</w:t>
            </w:r>
          </w:p>
        </w:tc>
        <w:tc>
          <w:tcPr>
            <w:tcW w:w="2551" w:type="dxa"/>
            <w:vAlign w:val="center"/>
          </w:tcPr>
          <w:p>
            <w:pPr>
              <w:pStyle w:val="16"/>
            </w:pPr>
          </w:p>
        </w:tc>
        <w:tc>
          <w:tcPr>
            <w:tcW w:w="2551" w:type="dxa"/>
            <w:vAlign w:val="center"/>
          </w:tcPr>
          <w:p>
            <w:pPr>
              <w:pStyle w:val="16"/>
            </w:pPr>
            <w:r>
              <w:t>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46.39</w:t>
            </w:r>
          </w:p>
        </w:tc>
        <w:tc>
          <w:tcPr>
            <w:tcW w:w="2551" w:type="dxa"/>
            <w:vAlign w:val="center"/>
          </w:tcPr>
          <w:p>
            <w:pPr>
              <w:pStyle w:val="16"/>
            </w:pPr>
            <w:r>
              <w:t>46.39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46.29</w:t>
            </w:r>
          </w:p>
        </w:tc>
        <w:tc>
          <w:tcPr>
            <w:tcW w:w="2551" w:type="dxa"/>
            <w:vAlign w:val="center"/>
          </w:tcPr>
          <w:p>
            <w:pPr>
              <w:pStyle w:val="16"/>
            </w:pPr>
            <w:r>
              <w:t>46.29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0.10</w:t>
            </w:r>
          </w:p>
        </w:tc>
        <w:tc>
          <w:tcPr>
            <w:tcW w:w="2551" w:type="dxa"/>
            <w:vAlign w:val="center"/>
          </w:tcPr>
          <w:p>
            <w:pPr>
              <w:pStyle w:val="16"/>
            </w:pPr>
            <w:r>
              <w:t>0.10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460廊坊市第十三小学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460廊坊市第十三小学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460廊坊市第十三小学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廊坊市第十三小学2023年部门预算信息公开情况说明</w:t>
      </w:r>
    </w:p>
    <w:p>
      <w:pPr>
        <w:jc w:val="center"/>
      </w:pPr>
      <w:r>
        <w:rPr>
          <w:rFonts w:ascii="方正小标宋_GBK" w:hAnsi="方正小标宋_GBK" w:eastAsia="方正小标宋_GBK" w:cs="方正小标宋_GBK"/>
          <w:color w:val="000000"/>
          <w:sz w:val="44"/>
        </w:rPr>
        <w:t>廊坊市第十三小学2023年部门预算信息公开情况说明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预算法》、《地方预决算公开操作规程》和《关于进一步推进预算公开工作的实施意见》规定，现将廊坊市第十三小学2023年部门预算公开如下：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bookmarkStart w:id="36" w:name="_GoBack"/>
      <w:bookmarkEnd w:id="36"/>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廊坊市第十三小学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按照预算管理有关规定，目前我区部门预算的编制实行综合预算管理，即全部收入和支出都反映在预算中。廊坊市第十三小学机关及所属事业单位的收支包含在部门预算中。</w:t>
      </w:r>
    </w:p>
    <w:p>
      <w:pPr>
        <w:pStyle w:val="23"/>
      </w:pPr>
    </w:p>
    <w:p>
      <w:pPr>
        <w:pStyle w:val="23"/>
      </w:pPr>
      <w:r>
        <w:t>按照预算管理有关规定，目前我单位预算的编制实行综合预算管理，即全部收入和支出都反映在预算中。</w:t>
      </w:r>
    </w:p>
    <w:p>
      <w:pPr>
        <w:pStyle w:val="23"/>
      </w:pPr>
      <w:r>
        <w:t>1、收入说明</w:t>
      </w:r>
    </w:p>
    <w:p>
      <w:pPr>
        <w:pStyle w:val="23"/>
      </w:pPr>
      <w:r>
        <w:t>反映本部门当年全部收入，2023年预算收入1296.34万元，其中：一般公共预算收入1296.34万元，基金预算收入0万元，财政专户核拨收入0万元，其他来源收入0万元，上年结转0万元。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第十三小学2023年度部门预算中支出预算的总体情况。2023年支出预算1296.34万元，其中：基本支出1284.13万元，包括人员经费1275.74万元和日常公用经费8.39万元；项目支出12.21万元，全部为本级支出，主要为城乡义务教育生均公用区级经费项目。</w:t>
      </w:r>
    </w:p>
    <w:p>
      <w:pPr>
        <w:pStyle w:val="23"/>
      </w:pPr>
      <w:r>
        <w:t>3、比上年增减情况</w:t>
      </w:r>
    </w:p>
    <w:p>
      <w:pPr>
        <w:pStyle w:val="23"/>
      </w:pPr>
      <w:r>
        <w:t>2023年预算收支安排1296.34万元，较2022年预算增加160.07万元，其中：基本支出增加626.44万元，增加原因主要为人员经费支出增加；项目支出减少466.37万元，减少原因主要为城乡义务教育生均公用中央、省级、市级经费调整为追加预算。</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2023年，我部门运行经费共计安排8.39万元,主要用于办公区的日常维修、办公费用、办公用房水电费、办公用房取暖费、邮电费、差旅费、办公用房物业管理费、公务用车运行维护费等日常运行支出。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7"/>
        <w:gridCol w:w="774"/>
        <w:gridCol w:w="1701"/>
        <w:gridCol w:w="5103"/>
        <w:gridCol w:w="2835"/>
        <w:gridCol w:w="675"/>
        <w:gridCol w:w="1247"/>
        <w:gridCol w:w="701"/>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7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二级指标</w:t>
            </w:r>
          </w:p>
        </w:tc>
        <w:tc>
          <w:tcPr>
            <w:tcW w:w="170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510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83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623"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20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7" w:type="dxa"/>
            <w:vMerge w:val="continue"/>
            <w:shd w:val="clear" w:color="auto" w:fill="auto"/>
            <w:vAlign w:val="center"/>
          </w:tcPr>
          <w:p>
            <w:pPr>
              <w:rPr>
                <w:rFonts w:ascii="方正书宋_GBK" w:hAnsi="宋体" w:eastAsia="方正书宋_GBK" w:cs="宋体"/>
                <w:b/>
                <w:bCs/>
                <w:color w:val="000000"/>
              </w:rPr>
            </w:pPr>
          </w:p>
        </w:tc>
        <w:tc>
          <w:tcPr>
            <w:tcW w:w="774" w:type="dxa"/>
            <w:vMerge w:val="continue"/>
            <w:shd w:val="clear" w:color="auto" w:fill="auto"/>
            <w:vAlign w:val="center"/>
          </w:tcPr>
          <w:p>
            <w:pPr>
              <w:rPr>
                <w:rFonts w:ascii="方正书宋_GBK" w:hAnsi="宋体" w:eastAsia="方正书宋_GBK" w:cs="宋体"/>
                <w:b/>
                <w:bCs/>
                <w:color w:val="000000"/>
              </w:rPr>
            </w:pPr>
          </w:p>
        </w:tc>
        <w:tc>
          <w:tcPr>
            <w:tcW w:w="1701" w:type="dxa"/>
            <w:vMerge w:val="continue"/>
            <w:shd w:val="clear" w:color="auto" w:fill="auto"/>
            <w:vAlign w:val="center"/>
          </w:tcPr>
          <w:p>
            <w:pPr>
              <w:rPr>
                <w:rFonts w:ascii="方正书宋_GBK" w:hAnsi="宋体" w:eastAsia="方正书宋_GBK" w:cs="宋体"/>
                <w:b/>
                <w:bCs/>
                <w:color w:val="000000"/>
              </w:rPr>
            </w:pPr>
          </w:p>
        </w:tc>
        <w:tc>
          <w:tcPr>
            <w:tcW w:w="5103" w:type="dxa"/>
            <w:vMerge w:val="continue"/>
            <w:shd w:val="clear" w:color="auto" w:fill="auto"/>
            <w:vAlign w:val="center"/>
          </w:tcPr>
          <w:p>
            <w:pPr>
              <w:rPr>
                <w:rFonts w:ascii="方正书宋_GBK" w:hAnsi="宋体" w:eastAsia="方正书宋_GBK" w:cs="宋体"/>
                <w:b/>
                <w:bCs/>
                <w:color w:val="000000"/>
              </w:rPr>
            </w:pPr>
          </w:p>
        </w:tc>
        <w:tc>
          <w:tcPr>
            <w:tcW w:w="2835" w:type="dxa"/>
            <w:vMerge w:val="continue"/>
            <w:shd w:val="clear" w:color="auto" w:fill="auto"/>
            <w:vAlign w:val="center"/>
          </w:tcPr>
          <w:p>
            <w:pPr>
              <w:rPr>
                <w:rFonts w:ascii="方正书宋_GBK" w:hAnsi="宋体" w:eastAsia="方正书宋_GBK" w:cs="宋体"/>
                <w:b/>
                <w:bCs/>
                <w:color w:val="000000"/>
              </w:rPr>
            </w:pPr>
          </w:p>
        </w:tc>
        <w:tc>
          <w:tcPr>
            <w:tcW w:w="67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124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70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207"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77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70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保障职工人数</w:t>
            </w:r>
          </w:p>
        </w:tc>
        <w:tc>
          <w:tcPr>
            <w:tcW w:w="510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人，扣减分值</w:t>
            </w:r>
            <w:r>
              <w:rPr>
                <w:color w:val="000000"/>
                <w:sz w:val="22"/>
                <w:szCs w:val="22"/>
              </w:rPr>
              <w:t>1%</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保障在职职工人数</w:t>
            </w:r>
          </w:p>
        </w:tc>
        <w:tc>
          <w:tcPr>
            <w:tcW w:w="675"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124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39</w:t>
            </w:r>
          </w:p>
        </w:tc>
        <w:tc>
          <w:tcPr>
            <w:tcW w:w="701"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70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在校学生人数</w:t>
            </w:r>
          </w:p>
        </w:tc>
        <w:tc>
          <w:tcPr>
            <w:tcW w:w="510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w:t>
            </w:r>
            <w:r>
              <w:rPr>
                <w:color w:val="000000"/>
                <w:sz w:val="22"/>
                <w:szCs w:val="22"/>
              </w:rPr>
              <w:t>1</w:t>
            </w:r>
            <w:r>
              <w:rPr>
                <w:rFonts w:hint="eastAsia" w:ascii="宋体" w:hAnsi="宋体" w:eastAsia="宋体" w:cs="宋体"/>
                <w:color w:val="000000"/>
                <w:sz w:val="22"/>
                <w:szCs w:val="22"/>
              </w:rPr>
              <w:t>人，减数量分值的</w:t>
            </w:r>
            <w:r>
              <w:rPr>
                <w:color w:val="000000"/>
                <w:sz w:val="22"/>
                <w:szCs w:val="22"/>
              </w:rPr>
              <w:t>10%</w:t>
            </w:r>
            <w:r>
              <w:rPr>
                <w:rFonts w:hint="eastAsia" w:ascii="宋体" w:hAnsi="宋体" w:eastAsia="宋体" w:cs="宋体"/>
                <w:color w:val="000000"/>
                <w:sz w:val="22"/>
                <w:szCs w:val="22"/>
              </w:rPr>
              <w:t>。</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保障在校学生人数</w:t>
            </w:r>
          </w:p>
        </w:tc>
        <w:tc>
          <w:tcPr>
            <w:tcW w:w="6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4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1182</w:t>
            </w:r>
          </w:p>
        </w:tc>
        <w:tc>
          <w:tcPr>
            <w:tcW w:w="701"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人</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70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教育教学活动开展次数</w:t>
            </w:r>
          </w:p>
        </w:tc>
        <w:tc>
          <w:tcPr>
            <w:tcW w:w="510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每减少</w:t>
            </w:r>
            <w:r>
              <w:rPr>
                <w:color w:val="000000"/>
                <w:sz w:val="22"/>
                <w:szCs w:val="22"/>
              </w:rPr>
              <w:t>1</w:t>
            </w:r>
            <w:r>
              <w:rPr>
                <w:rFonts w:hint="eastAsia" w:ascii="宋体" w:hAnsi="宋体" w:eastAsia="宋体" w:cs="宋体"/>
                <w:color w:val="000000"/>
                <w:sz w:val="22"/>
                <w:szCs w:val="22"/>
              </w:rPr>
              <w:t>次，减数量分值的</w:t>
            </w:r>
            <w:r>
              <w:rPr>
                <w:color w:val="000000"/>
                <w:sz w:val="22"/>
                <w:szCs w:val="22"/>
              </w:rPr>
              <w:t>10%</w:t>
            </w:r>
            <w:r>
              <w:rPr>
                <w:rFonts w:hint="eastAsia" w:ascii="宋体" w:hAnsi="宋体" w:eastAsia="宋体" w:cs="宋体"/>
                <w:color w:val="000000"/>
                <w:sz w:val="22"/>
                <w:szCs w:val="22"/>
              </w:rPr>
              <w:t>。</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6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4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12</w:t>
            </w:r>
          </w:p>
        </w:tc>
        <w:tc>
          <w:tcPr>
            <w:tcW w:w="701"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次</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70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工资</w:t>
            </w:r>
            <w:r>
              <w:rPr>
                <w:color w:val="000000"/>
                <w:sz w:val="22"/>
                <w:szCs w:val="22"/>
              </w:rPr>
              <w:t>(</w:t>
            </w:r>
            <w:r>
              <w:rPr>
                <w:rFonts w:hint="eastAsia" w:ascii="宋体" w:hAnsi="宋体" w:eastAsia="宋体" w:cs="宋体"/>
                <w:color w:val="000000"/>
                <w:sz w:val="22"/>
                <w:szCs w:val="22"/>
              </w:rPr>
              <w:t>福利</w:t>
            </w:r>
            <w:r>
              <w:rPr>
                <w:color w:val="000000"/>
                <w:sz w:val="22"/>
                <w:szCs w:val="22"/>
              </w:rPr>
              <w:t>)</w:t>
            </w:r>
            <w:r>
              <w:rPr>
                <w:rFonts w:hint="eastAsia" w:ascii="宋体" w:hAnsi="宋体" w:eastAsia="宋体" w:cs="宋体"/>
                <w:color w:val="000000"/>
                <w:sz w:val="22"/>
                <w:szCs w:val="22"/>
              </w:rPr>
              <w:t>等发放精准性</w:t>
            </w:r>
          </w:p>
        </w:tc>
        <w:tc>
          <w:tcPr>
            <w:tcW w:w="510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每未准确发放</w:t>
            </w:r>
            <w:r>
              <w:rPr>
                <w:color w:val="000000"/>
                <w:sz w:val="22"/>
                <w:szCs w:val="22"/>
              </w:rPr>
              <w:t>1</w:t>
            </w:r>
            <w:r>
              <w:rPr>
                <w:rFonts w:hint="eastAsia" w:ascii="宋体" w:hAnsi="宋体" w:eastAsia="宋体" w:cs="宋体"/>
                <w:color w:val="000000"/>
                <w:sz w:val="22"/>
                <w:szCs w:val="22"/>
              </w:rPr>
              <w:t>笔，扣减分值</w:t>
            </w:r>
            <w:r>
              <w:rPr>
                <w:color w:val="000000"/>
                <w:sz w:val="22"/>
                <w:szCs w:val="22"/>
              </w:rPr>
              <w:t>5%</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工资福利等发放人员范围的精准性和发放数据的准确性</w:t>
            </w:r>
          </w:p>
        </w:tc>
        <w:tc>
          <w:tcPr>
            <w:tcW w:w="6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4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70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70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社会保障（公积金）缴纳的准确性</w:t>
            </w:r>
          </w:p>
        </w:tc>
        <w:tc>
          <w:tcPr>
            <w:tcW w:w="510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每未准确缴纳</w:t>
            </w:r>
            <w:r>
              <w:rPr>
                <w:color w:val="000000"/>
                <w:sz w:val="22"/>
                <w:szCs w:val="22"/>
              </w:rPr>
              <w:t>1</w:t>
            </w:r>
            <w:r>
              <w:rPr>
                <w:rFonts w:hint="eastAsia" w:ascii="宋体" w:hAnsi="宋体" w:eastAsia="宋体" w:cs="宋体"/>
                <w:color w:val="000000"/>
                <w:sz w:val="22"/>
                <w:szCs w:val="22"/>
              </w:rPr>
              <w:t>笔，扣减分值</w:t>
            </w:r>
            <w:r>
              <w:rPr>
                <w:color w:val="000000"/>
                <w:sz w:val="22"/>
                <w:szCs w:val="22"/>
              </w:rPr>
              <w:t>5%</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社会保障（公积金）缴纳数据的准确性</w:t>
            </w:r>
          </w:p>
        </w:tc>
        <w:tc>
          <w:tcPr>
            <w:tcW w:w="6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4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70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70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运转保障率</w:t>
            </w:r>
          </w:p>
        </w:tc>
        <w:tc>
          <w:tcPr>
            <w:tcW w:w="510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6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4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70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70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学生素质合格率</w:t>
            </w:r>
          </w:p>
        </w:tc>
        <w:tc>
          <w:tcPr>
            <w:tcW w:w="510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达到标准得满分，否则不得分。</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学生素质合格率</w:t>
            </w:r>
          </w:p>
        </w:tc>
        <w:tc>
          <w:tcPr>
            <w:tcW w:w="6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4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70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70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教育教学活动考核合格率</w:t>
            </w:r>
          </w:p>
        </w:tc>
        <w:tc>
          <w:tcPr>
            <w:tcW w:w="510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达到指标目标值得满分，达到</w:t>
            </w:r>
            <w:r>
              <w:rPr>
                <w:color w:val="000000"/>
                <w:sz w:val="22"/>
                <w:szCs w:val="22"/>
              </w:rPr>
              <w:t>80%</w:t>
            </w:r>
            <w:r>
              <w:rPr>
                <w:rFonts w:hint="eastAsia" w:ascii="宋体" w:hAnsi="宋体" w:eastAsia="宋体" w:cs="宋体"/>
                <w:color w:val="000000"/>
                <w:sz w:val="22"/>
                <w:szCs w:val="22"/>
              </w:rPr>
              <w:t>目标值得权重分的</w:t>
            </w:r>
            <w:r>
              <w:rPr>
                <w:color w:val="000000"/>
                <w:sz w:val="22"/>
                <w:szCs w:val="22"/>
              </w:rPr>
              <w:t>50%</w:t>
            </w:r>
            <w:r>
              <w:rPr>
                <w:rFonts w:hint="eastAsia" w:ascii="宋体" w:hAnsi="宋体" w:eastAsia="宋体" w:cs="宋体"/>
                <w:color w:val="000000"/>
                <w:sz w:val="22"/>
                <w:szCs w:val="22"/>
              </w:rPr>
              <w:t>，低于</w:t>
            </w:r>
            <w:r>
              <w:rPr>
                <w:color w:val="000000"/>
                <w:sz w:val="22"/>
                <w:szCs w:val="22"/>
              </w:rPr>
              <w:t>80%</w:t>
            </w:r>
            <w:r>
              <w:rPr>
                <w:rFonts w:hint="eastAsia" w:ascii="宋体" w:hAnsi="宋体" w:eastAsia="宋体" w:cs="宋体"/>
                <w:color w:val="000000"/>
                <w:sz w:val="22"/>
                <w:szCs w:val="22"/>
              </w:rPr>
              <w:t>不得分。</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教育教学活动考核合格率</w:t>
            </w:r>
          </w:p>
        </w:tc>
        <w:tc>
          <w:tcPr>
            <w:tcW w:w="6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4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70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70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w:t>
            </w:r>
            <w:r>
              <w:rPr>
                <w:color w:val="000000"/>
                <w:sz w:val="22"/>
                <w:szCs w:val="22"/>
              </w:rPr>
              <w:t>(</w:t>
            </w:r>
            <w:r>
              <w:rPr>
                <w:rFonts w:hint="eastAsia" w:ascii="宋体" w:hAnsi="宋体" w:eastAsia="宋体" w:cs="宋体"/>
                <w:color w:val="000000"/>
                <w:sz w:val="22"/>
                <w:szCs w:val="22"/>
              </w:rPr>
              <w:t>福利</w:t>
            </w:r>
            <w:r>
              <w:rPr>
                <w:color w:val="000000"/>
                <w:sz w:val="22"/>
                <w:szCs w:val="22"/>
              </w:rPr>
              <w:t>)</w:t>
            </w:r>
            <w:r>
              <w:rPr>
                <w:rFonts w:hint="eastAsia" w:ascii="宋体" w:hAnsi="宋体" w:eastAsia="宋体" w:cs="宋体"/>
                <w:color w:val="000000"/>
                <w:sz w:val="22"/>
                <w:szCs w:val="22"/>
              </w:rPr>
              <w:t>发放及时性</w:t>
            </w:r>
          </w:p>
        </w:tc>
        <w:tc>
          <w:tcPr>
            <w:tcW w:w="510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未及时发放</w:t>
            </w:r>
            <w:r>
              <w:rPr>
                <w:color w:val="000000"/>
                <w:sz w:val="22"/>
                <w:szCs w:val="22"/>
              </w:rPr>
              <w:t xml:space="preserve">1 </w:t>
            </w:r>
            <w:r>
              <w:rPr>
                <w:rFonts w:hint="eastAsia" w:ascii="宋体" w:hAnsi="宋体" w:eastAsia="宋体" w:cs="宋体"/>
                <w:color w:val="000000"/>
                <w:sz w:val="22"/>
                <w:szCs w:val="22"/>
              </w:rPr>
              <w:t>次，扣减分值</w:t>
            </w:r>
            <w:r>
              <w:rPr>
                <w:color w:val="000000"/>
                <w:sz w:val="22"/>
                <w:szCs w:val="22"/>
              </w:rPr>
              <w:t>5%</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工资福利等发放的时效情况</w:t>
            </w:r>
          </w:p>
        </w:tc>
        <w:tc>
          <w:tcPr>
            <w:tcW w:w="67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1247" w:type="dxa"/>
            <w:shd w:val="clear" w:color="auto" w:fill="auto"/>
            <w:tcMar>
              <w:top w:w="15" w:type="dxa"/>
              <w:left w:w="15" w:type="dxa"/>
              <w:bottom w:w="0" w:type="dxa"/>
              <w:right w:w="15" w:type="dxa"/>
            </w:tcMar>
          </w:tcPr>
          <w:p>
            <w:pPr>
              <w:rPr>
                <w:color w:val="000000"/>
                <w:sz w:val="22"/>
                <w:szCs w:val="22"/>
              </w:rPr>
            </w:pPr>
          </w:p>
        </w:tc>
        <w:tc>
          <w:tcPr>
            <w:tcW w:w="70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按规定时间发放</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70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社会保障（公积金）缴纳的及时性</w:t>
            </w:r>
          </w:p>
        </w:tc>
        <w:tc>
          <w:tcPr>
            <w:tcW w:w="510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未及时缴纳</w:t>
            </w:r>
            <w:r>
              <w:rPr>
                <w:color w:val="000000"/>
                <w:sz w:val="22"/>
                <w:szCs w:val="22"/>
              </w:rPr>
              <w:t xml:space="preserve">1 </w:t>
            </w:r>
            <w:r>
              <w:rPr>
                <w:rFonts w:hint="eastAsia" w:ascii="宋体" w:hAnsi="宋体" w:eastAsia="宋体" w:cs="宋体"/>
                <w:color w:val="000000"/>
                <w:sz w:val="22"/>
                <w:szCs w:val="22"/>
              </w:rPr>
              <w:t>次，扣减分值</w:t>
            </w:r>
            <w:r>
              <w:rPr>
                <w:color w:val="000000"/>
                <w:sz w:val="22"/>
                <w:szCs w:val="22"/>
              </w:rPr>
              <w:t>5%</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社会保障（公积金）等缴纳的时效情况</w:t>
            </w:r>
          </w:p>
        </w:tc>
        <w:tc>
          <w:tcPr>
            <w:tcW w:w="67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1247" w:type="dxa"/>
            <w:shd w:val="clear" w:color="auto" w:fill="auto"/>
            <w:tcMar>
              <w:top w:w="15" w:type="dxa"/>
              <w:left w:w="15" w:type="dxa"/>
              <w:bottom w:w="0" w:type="dxa"/>
              <w:right w:w="15" w:type="dxa"/>
            </w:tcMar>
          </w:tcPr>
          <w:p>
            <w:pPr>
              <w:rPr>
                <w:color w:val="000000"/>
                <w:sz w:val="22"/>
                <w:szCs w:val="22"/>
              </w:rPr>
            </w:pPr>
          </w:p>
        </w:tc>
        <w:tc>
          <w:tcPr>
            <w:tcW w:w="70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按规定时间缴纳</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70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经费保障及时性</w:t>
            </w:r>
          </w:p>
        </w:tc>
        <w:tc>
          <w:tcPr>
            <w:tcW w:w="510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67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1247" w:type="dxa"/>
            <w:shd w:val="clear" w:color="auto" w:fill="auto"/>
            <w:tcMar>
              <w:top w:w="15" w:type="dxa"/>
              <w:left w:w="15" w:type="dxa"/>
              <w:bottom w:w="0" w:type="dxa"/>
              <w:right w:w="15" w:type="dxa"/>
            </w:tcMar>
            <w:vAlign w:val="center"/>
          </w:tcPr>
          <w:p>
            <w:pPr>
              <w:rPr>
                <w:color w:val="000000"/>
                <w:sz w:val="22"/>
                <w:szCs w:val="22"/>
              </w:rPr>
            </w:pPr>
          </w:p>
        </w:tc>
        <w:tc>
          <w:tcPr>
            <w:tcW w:w="70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及时保障</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70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教育教学活动开展及时性</w:t>
            </w:r>
          </w:p>
        </w:tc>
        <w:tc>
          <w:tcPr>
            <w:tcW w:w="510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每出现</w:t>
            </w:r>
            <w:r>
              <w:rPr>
                <w:color w:val="000000"/>
                <w:sz w:val="22"/>
                <w:szCs w:val="22"/>
              </w:rPr>
              <w:t>1</w:t>
            </w:r>
            <w:r>
              <w:rPr>
                <w:rFonts w:hint="eastAsia" w:ascii="宋体" w:hAnsi="宋体" w:eastAsia="宋体" w:cs="宋体"/>
                <w:color w:val="000000"/>
                <w:sz w:val="22"/>
                <w:szCs w:val="22"/>
              </w:rPr>
              <w:t>次未在规定时间内开展，扣</w:t>
            </w:r>
            <w:r>
              <w:rPr>
                <w:color w:val="000000"/>
                <w:sz w:val="22"/>
                <w:szCs w:val="22"/>
              </w:rPr>
              <w:t>10%</w:t>
            </w:r>
            <w:r>
              <w:rPr>
                <w:rFonts w:hint="eastAsia" w:ascii="宋体" w:hAnsi="宋体" w:eastAsia="宋体" w:cs="宋体"/>
                <w:color w:val="000000"/>
                <w:sz w:val="22"/>
                <w:szCs w:val="22"/>
              </w:rPr>
              <w:t>权重分。</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67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1247" w:type="dxa"/>
            <w:shd w:val="clear" w:color="auto" w:fill="auto"/>
            <w:tcMar>
              <w:top w:w="15" w:type="dxa"/>
              <w:left w:w="15" w:type="dxa"/>
              <w:bottom w:w="0" w:type="dxa"/>
              <w:right w:w="15" w:type="dxa"/>
            </w:tcMar>
            <w:vAlign w:val="center"/>
          </w:tcPr>
          <w:p>
            <w:pPr>
              <w:rPr>
                <w:color w:val="000000"/>
                <w:sz w:val="22"/>
                <w:szCs w:val="22"/>
              </w:rPr>
            </w:pPr>
          </w:p>
        </w:tc>
        <w:tc>
          <w:tcPr>
            <w:tcW w:w="70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按规定时间开展</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70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工资（福利）、社会保障（公积金）等发放（缴纳）标准</w:t>
            </w:r>
          </w:p>
        </w:tc>
        <w:tc>
          <w:tcPr>
            <w:tcW w:w="510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工资（福利）、社会保障（公积金）等发放（缴纳）标准</w:t>
            </w:r>
          </w:p>
        </w:tc>
        <w:tc>
          <w:tcPr>
            <w:tcW w:w="67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1247" w:type="dxa"/>
            <w:shd w:val="clear" w:color="auto" w:fill="auto"/>
            <w:tcMar>
              <w:top w:w="15" w:type="dxa"/>
              <w:left w:w="15" w:type="dxa"/>
              <w:bottom w:w="0" w:type="dxa"/>
              <w:right w:w="15" w:type="dxa"/>
            </w:tcMar>
          </w:tcPr>
          <w:p>
            <w:pPr>
              <w:rPr>
                <w:color w:val="000000"/>
                <w:sz w:val="22"/>
                <w:szCs w:val="22"/>
              </w:rPr>
            </w:pPr>
          </w:p>
        </w:tc>
        <w:tc>
          <w:tcPr>
            <w:tcW w:w="70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按规定执行</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70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日常公用经费开支标准</w:t>
            </w:r>
          </w:p>
        </w:tc>
        <w:tc>
          <w:tcPr>
            <w:tcW w:w="510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每超过一项规定标准扣标准分值的</w:t>
            </w:r>
            <w:r>
              <w:rPr>
                <w:color w:val="000000"/>
                <w:sz w:val="22"/>
                <w:szCs w:val="22"/>
              </w:rPr>
              <w:t>10%</w:t>
            </w:r>
            <w:r>
              <w:rPr>
                <w:rFonts w:hint="eastAsia" w:ascii="宋体" w:hAnsi="宋体" w:eastAsia="宋体" w:cs="宋体"/>
                <w:color w:val="000000"/>
                <w:sz w:val="22"/>
                <w:szCs w:val="22"/>
              </w:rPr>
              <w:t>。</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办公费、水电费、交通费、会议费、工会经费、招待费及其他公用经费的开支标准</w:t>
            </w:r>
          </w:p>
        </w:tc>
        <w:tc>
          <w:tcPr>
            <w:tcW w:w="67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1247" w:type="dxa"/>
            <w:shd w:val="clear" w:color="auto" w:fill="auto"/>
            <w:tcMar>
              <w:top w:w="15" w:type="dxa"/>
              <w:left w:w="15" w:type="dxa"/>
              <w:bottom w:w="0" w:type="dxa"/>
              <w:right w:w="15" w:type="dxa"/>
            </w:tcMar>
          </w:tcPr>
          <w:p>
            <w:pPr>
              <w:rPr>
                <w:color w:val="000000"/>
                <w:sz w:val="22"/>
                <w:szCs w:val="22"/>
              </w:rPr>
            </w:pPr>
          </w:p>
        </w:tc>
        <w:tc>
          <w:tcPr>
            <w:tcW w:w="70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按统一规定执行</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70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教育教学活动成本</w:t>
            </w:r>
          </w:p>
        </w:tc>
        <w:tc>
          <w:tcPr>
            <w:tcW w:w="510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每超出成本</w:t>
            </w:r>
            <w:r>
              <w:rPr>
                <w:color w:val="000000"/>
                <w:sz w:val="22"/>
                <w:szCs w:val="22"/>
              </w:rPr>
              <w:t>1%</w:t>
            </w:r>
            <w:r>
              <w:rPr>
                <w:rFonts w:hint="eastAsia" w:ascii="宋体" w:hAnsi="宋体" w:eastAsia="宋体" w:cs="宋体"/>
                <w:color w:val="000000"/>
                <w:sz w:val="22"/>
                <w:szCs w:val="22"/>
              </w:rPr>
              <w:t>，扣</w:t>
            </w:r>
            <w:r>
              <w:rPr>
                <w:color w:val="000000"/>
                <w:sz w:val="22"/>
                <w:szCs w:val="22"/>
              </w:rPr>
              <w:t>2.5%</w:t>
            </w:r>
            <w:r>
              <w:rPr>
                <w:rFonts w:hint="eastAsia" w:ascii="宋体" w:hAnsi="宋体" w:eastAsia="宋体" w:cs="宋体"/>
                <w:color w:val="000000"/>
                <w:sz w:val="22"/>
                <w:szCs w:val="22"/>
              </w:rPr>
              <w:t>权重分。</w:t>
            </w:r>
          </w:p>
        </w:tc>
        <w:tc>
          <w:tcPr>
            <w:tcW w:w="283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开展教育教学活动每月成本</w:t>
            </w:r>
          </w:p>
        </w:tc>
        <w:tc>
          <w:tcPr>
            <w:tcW w:w="6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4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11.23</w:t>
            </w:r>
          </w:p>
        </w:tc>
        <w:tc>
          <w:tcPr>
            <w:tcW w:w="701"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万元</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587"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77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70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加强工作人员归属感，保持干部队伍稳定</w:t>
            </w:r>
          </w:p>
        </w:tc>
        <w:tc>
          <w:tcPr>
            <w:tcW w:w="510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保持相对稳定得满分，否则不得分</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通过按时按标准发放工资福利等，进一步增强干部职工得归属感，保持职工队伍相对稳定，保障办公正常运转</w:t>
            </w:r>
          </w:p>
        </w:tc>
        <w:tc>
          <w:tcPr>
            <w:tcW w:w="67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1247" w:type="dxa"/>
            <w:shd w:val="clear" w:color="auto" w:fill="auto"/>
            <w:tcMar>
              <w:top w:w="15" w:type="dxa"/>
              <w:left w:w="15" w:type="dxa"/>
              <w:bottom w:w="0" w:type="dxa"/>
              <w:right w:w="15" w:type="dxa"/>
            </w:tcMar>
            <w:vAlign w:val="center"/>
          </w:tcPr>
          <w:p>
            <w:pPr>
              <w:rPr>
                <w:color w:val="000000"/>
                <w:sz w:val="22"/>
                <w:szCs w:val="22"/>
              </w:rPr>
            </w:pPr>
          </w:p>
        </w:tc>
        <w:tc>
          <w:tcPr>
            <w:tcW w:w="70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保持职工队伍相对稳定</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70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保障日常办公需要，维持单位正常运转</w:t>
            </w:r>
          </w:p>
        </w:tc>
        <w:tc>
          <w:tcPr>
            <w:tcW w:w="510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每减少受益教师</w:t>
            </w:r>
            <w:r>
              <w:rPr>
                <w:color w:val="000000"/>
                <w:sz w:val="22"/>
                <w:szCs w:val="22"/>
              </w:rPr>
              <w:t>1</w:t>
            </w:r>
            <w:r>
              <w:rPr>
                <w:rFonts w:hint="eastAsia" w:ascii="宋体" w:hAnsi="宋体" w:eastAsia="宋体" w:cs="宋体"/>
                <w:color w:val="000000"/>
                <w:sz w:val="22"/>
                <w:szCs w:val="22"/>
              </w:rPr>
              <w:t>人，扣</w:t>
            </w:r>
            <w:r>
              <w:rPr>
                <w:color w:val="000000"/>
                <w:sz w:val="22"/>
                <w:szCs w:val="22"/>
              </w:rPr>
              <w:t>2.5%</w:t>
            </w:r>
            <w:r>
              <w:rPr>
                <w:rFonts w:hint="eastAsia" w:ascii="宋体" w:hAnsi="宋体" w:eastAsia="宋体" w:cs="宋体"/>
                <w:color w:val="000000"/>
                <w:sz w:val="22"/>
                <w:szCs w:val="22"/>
              </w:rPr>
              <w:t>权重分。</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保障日常办公需要，维持单位正常运转</w:t>
            </w:r>
          </w:p>
        </w:tc>
        <w:tc>
          <w:tcPr>
            <w:tcW w:w="67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1247" w:type="dxa"/>
            <w:shd w:val="clear" w:color="auto" w:fill="auto"/>
            <w:tcMar>
              <w:top w:w="15" w:type="dxa"/>
              <w:left w:w="15" w:type="dxa"/>
              <w:bottom w:w="0" w:type="dxa"/>
              <w:right w:w="15" w:type="dxa"/>
            </w:tcMar>
            <w:vAlign w:val="center"/>
          </w:tcPr>
          <w:p>
            <w:pPr>
              <w:rPr>
                <w:color w:val="000000"/>
                <w:sz w:val="22"/>
                <w:szCs w:val="22"/>
              </w:rPr>
            </w:pPr>
          </w:p>
        </w:tc>
        <w:tc>
          <w:tcPr>
            <w:tcW w:w="70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维持单位正常运转</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70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保障学校正常教育教学活动开展</w:t>
            </w:r>
          </w:p>
        </w:tc>
        <w:tc>
          <w:tcPr>
            <w:tcW w:w="510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达标得满分，基本达标得</w:t>
            </w:r>
            <w:r>
              <w:rPr>
                <w:color w:val="000000"/>
                <w:sz w:val="22"/>
                <w:szCs w:val="22"/>
              </w:rPr>
              <w:t>80%</w:t>
            </w:r>
            <w:r>
              <w:rPr>
                <w:rFonts w:hint="eastAsia" w:ascii="宋体" w:hAnsi="宋体" w:eastAsia="宋体" w:cs="宋体"/>
                <w:color w:val="000000"/>
                <w:sz w:val="22"/>
                <w:szCs w:val="22"/>
              </w:rPr>
              <w:t>权重分，部分达标得</w:t>
            </w:r>
            <w:r>
              <w:rPr>
                <w:color w:val="000000"/>
                <w:sz w:val="22"/>
                <w:szCs w:val="22"/>
              </w:rPr>
              <w:t>60%</w:t>
            </w:r>
            <w:r>
              <w:rPr>
                <w:rFonts w:hint="eastAsia" w:ascii="宋体" w:hAnsi="宋体" w:eastAsia="宋体" w:cs="宋体"/>
                <w:color w:val="000000"/>
                <w:sz w:val="22"/>
                <w:szCs w:val="22"/>
              </w:rPr>
              <w:t>权重分，不达标不得分。</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67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1247" w:type="dxa"/>
            <w:shd w:val="clear" w:color="auto" w:fill="auto"/>
            <w:tcMar>
              <w:top w:w="15" w:type="dxa"/>
              <w:left w:w="15" w:type="dxa"/>
              <w:bottom w:w="0" w:type="dxa"/>
              <w:right w:w="15" w:type="dxa"/>
            </w:tcMar>
            <w:vAlign w:val="center"/>
          </w:tcPr>
          <w:p>
            <w:pPr>
              <w:rPr>
                <w:color w:val="000000"/>
                <w:sz w:val="22"/>
                <w:szCs w:val="22"/>
              </w:rPr>
            </w:pPr>
          </w:p>
        </w:tc>
        <w:tc>
          <w:tcPr>
            <w:tcW w:w="701"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70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保持教师队伍稳定性</w:t>
            </w:r>
          </w:p>
        </w:tc>
        <w:tc>
          <w:tcPr>
            <w:tcW w:w="510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每减少受益教师</w:t>
            </w:r>
            <w:r>
              <w:rPr>
                <w:color w:val="000000"/>
                <w:sz w:val="22"/>
                <w:szCs w:val="22"/>
              </w:rPr>
              <w:t>1</w:t>
            </w:r>
            <w:r>
              <w:rPr>
                <w:rFonts w:hint="eastAsia" w:ascii="宋体" w:hAnsi="宋体" w:eastAsia="宋体" w:cs="宋体"/>
                <w:color w:val="000000"/>
                <w:sz w:val="22"/>
                <w:szCs w:val="22"/>
              </w:rPr>
              <w:t>人，扣</w:t>
            </w:r>
            <w:r>
              <w:rPr>
                <w:color w:val="000000"/>
                <w:sz w:val="22"/>
                <w:szCs w:val="22"/>
              </w:rPr>
              <w:t>2.5%</w:t>
            </w:r>
            <w:r>
              <w:rPr>
                <w:rFonts w:hint="eastAsia" w:ascii="宋体" w:hAnsi="宋体" w:eastAsia="宋体" w:cs="宋体"/>
                <w:color w:val="000000"/>
                <w:sz w:val="22"/>
                <w:szCs w:val="22"/>
              </w:rPr>
              <w:t>权重分。</w:t>
            </w:r>
          </w:p>
        </w:tc>
        <w:tc>
          <w:tcPr>
            <w:tcW w:w="283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有效保持教师队伍稳定性</w:t>
            </w:r>
          </w:p>
        </w:tc>
        <w:tc>
          <w:tcPr>
            <w:tcW w:w="675"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1247" w:type="dxa"/>
            <w:shd w:val="clear" w:color="auto" w:fill="auto"/>
            <w:tcMar>
              <w:top w:w="15" w:type="dxa"/>
              <w:left w:w="15" w:type="dxa"/>
              <w:bottom w:w="0" w:type="dxa"/>
              <w:right w:w="15" w:type="dxa"/>
            </w:tcMar>
            <w:vAlign w:val="center"/>
          </w:tcPr>
          <w:p>
            <w:pPr>
              <w:rPr>
                <w:color w:val="000000"/>
                <w:sz w:val="22"/>
                <w:szCs w:val="22"/>
              </w:rPr>
            </w:pPr>
          </w:p>
        </w:tc>
        <w:tc>
          <w:tcPr>
            <w:tcW w:w="701"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701"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教职工满意度</w:t>
            </w:r>
          </w:p>
        </w:tc>
        <w:tc>
          <w:tcPr>
            <w:tcW w:w="5103"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2835"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6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4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70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1701"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学生满意度</w:t>
            </w:r>
          </w:p>
        </w:tc>
        <w:tc>
          <w:tcPr>
            <w:tcW w:w="5103"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2835"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学生满意度</w:t>
            </w:r>
          </w:p>
        </w:tc>
        <w:tc>
          <w:tcPr>
            <w:tcW w:w="6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47"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70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pPr>
      <w:r>
        <w:rPr>
          <w:rFonts w:ascii="方正仿宋_GBK" w:hAnsi="方正仿宋_GBK" w:eastAsia="方正仿宋_GBK" w:cs="方正仿宋_GBK"/>
          <w:b/>
          <w:color w:val="000000"/>
          <w:sz w:val="28"/>
        </w:rPr>
        <w:t>1、非公办在职教师经费绩效目标表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1.第十三小学在2023年通过每月份及时足额发放非公办在职教师工资福利待遇，达到消除信访隐患、解决非公办教师工资待遇问题。</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1人</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工资(福利)等发放精准性</w:t>
            </w:r>
          </w:p>
        </w:tc>
        <w:tc>
          <w:tcPr>
            <w:tcW w:w="2835" w:type="dxa"/>
            <w:vAlign w:val="center"/>
          </w:tcPr>
          <w:p>
            <w:pPr>
              <w:pStyle w:val="17"/>
            </w:pPr>
            <w:r>
              <w:t>工资福利等发放人员范围的精准性和发放数据的准确性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社会保障缴纳数据的准确性</w:t>
            </w:r>
          </w:p>
        </w:tc>
        <w:tc>
          <w:tcPr>
            <w:tcW w:w="2835" w:type="dxa"/>
            <w:vAlign w:val="center"/>
          </w:tcPr>
          <w:p>
            <w:pPr>
              <w:pStyle w:val="17"/>
            </w:pPr>
            <w:r>
              <w:t>社会保障缴纳数据的准确性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工资福利等发放的时效情况</w:t>
            </w:r>
          </w:p>
        </w:tc>
        <w:tc>
          <w:tcPr>
            <w:tcW w:w="2551" w:type="dxa"/>
            <w:vAlign w:val="center"/>
          </w:tcPr>
          <w:p>
            <w:pPr>
              <w:pStyle w:val="17"/>
            </w:pPr>
            <w:r>
              <w:t>按规定时间发放</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工资（福利）、社会保障发放（缴纳）标准</w:t>
            </w:r>
          </w:p>
        </w:tc>
        <w:tc>
          <w:tcPr>
            <w:tcW w:w="2835" w:type="dxa"/>
            <w:vAlign w:val="center"/>
          </w:tcPr>
          <w:p>
            <w:pPr>
              <w:pStyle w:val="17"/>
            </w:pPr>
            <w:r>
              <w:t>工资（福利）、社会保障发放（缴纳）标准</w:t>
            </w:r>
          </w:p>
        </w:tc>
        <w:tc>
          <w:tcPr>
            <w:tcW w:w="2551" w:type="dxa"/>
            <w:vAlign w:val="center"/>
          </w:tcPr>
          <w:p>
            <w:pPr>
              <w:pStyle w:val="17"/>
            </w:pPr>
            <w:r>
              <w:t>按规定执行</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保持干部队伍稳定</w:t>
            </w:r>
          </w:p>
        </w:tc>
        <w:tc>
          <w:tcPr>
            <w:tcW w:w="2835" w:type="dxa"/>
            <w:vAlign w:val="center"/>
          </w:tcPr>
          <w:p>
            <w:pPr>
              <w:pStyle w:val="17"/>
            </w:pPr>
            <w:r>
              <w:t>通过按时按标准发放工资福利等，进一步增强归属感，保持相对稳定</w:t>
            </w:r>
          </w:p>
        </w:tc>
        <w:tc>
          <w:tcPr>
            <w:tcW w:w="2551" w:type="dxa"/>
            <w:vAlign w:val="center"/>
          </w:tcPr>
          <w:p>
            <w:pPr>
              <w:pStyle w:val="17"/>
            </w:pPr>
            <w:r>
              <w:t>保持相对稳定</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人员对工资福利等发放工作的满意程度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1.廊坊市第十三小学对2023年在校学生1182人，按照义务教育生均公用经费标准申请财政预算资金，通过合理、合规使用资金达到保证学校正常运转，改善办学条件，促进义务教育发展。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1182人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2023年，廊坊市第十三小学安排政府采购预算0.00万元。具体内容见下表。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46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992"/>
        <w:gridCol w:w="992"/>
        <w:gridCol w:w="1134"/>
        <w:gridCol w:w="851"/>
        <w:gridCol w:w="708"/>
        <w:gridCol w:w="851"/>
        <w:gridCol w:w="719"/>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37" w:type="dxa"/>
            <w:gridSpan w:val="7"/>
            <w:tcBorders>
              <w:top w:val="single" w:color="FFFFFF" w:sz="6" w:space="0"/>
              <w:left w:val="single" w:color="FFFFFF" w:sz="6" w:space="0"/>
              <w:right w:val="single" w:color="FFFFFF" w:sz="6" w:space="0"/>
            </w:tcBorders>
            <w:vAlign w:val="center"/>
          </w:tcPr>
          <w:p>
            <w:pPr>
              <w:pStyle w:val="14"/>
            </w:pPr>
            <w:r>
              <w:t>460廊坊市第十三小学</w:t>
            </w:r>
          </w:p>
        </w:tc>
        <w:tc>
          <w:tcPr>
            <w:tcW w:w="8431"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gridSpan w:val="2"/>
            <w:vAlign w:val="center"/>
          </w:tcPr>
          <w:p>
            <w:pPr>
              <w:pStyle w:val="15"/>
            </w:pPr>
            <w:r>
              <w:t>政府采购项目来源</w:t>
            </w:r>
          </w:p>
        </w:tc>
        <w:tc>
          <w:tcPr>
            <w:tcW w:w="992"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851" w:type="dxa"/>
            <w:vMerge w:val="restart"/>
            <w:vAlign w:val="center"/>
          </w:tcPr>
          <w:p>
            <w:pPr>
              <w:pStyle w:val="15"/>
            </w:pPr>
            <w:r>
              <w:t>计量  单位</w:t>
            </w:r>
          </w:p>
        </w:tc>
        <w:tc>
          <w:tcPr>
            <w:tcW w:w="708" w:type="dxa"/>
            <w:vMerge w:val="restart"/>
            <w:vAlign w:val="center"/>
          </w:tcPr>
          <w:p>
            <w:pPr>
              <w:pStyle w:val="15"/>
            </w:pPr>
            <w:r>
              <w:t>数量</w:t>
            </w:r>
          </w:p>
        </w:tc>
        <w:tc>
          <w:tcPr>
            <w:tcW w:w="851" w:type="dxa"/>
            <w:vMerge w:val="restart"/>
            <w:vAlign w:val="center"/>
          </w:tcPr>
          <w:p>
            <w:pPr>
              <w:pStyle w:val="15"/>
            </w:pPr>
            <w:r>
              <w:t>单价</w:t>
            </w:r>
          </w:p>
        </w:tc>
        <w:tc>
          <w:tcPr>
            <w:tcW w:w="7467"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9" w:type="dxa"/>
            <w:vAlign w:val="center"/>
          </w:tcPr>
          <w:p>
            <w:pPr>
              <w:pStyle w:val="15"/>
            </w:pPr>
            <w:r>
              <w:t>项目名称</w:t>
            </w:r>
          </w:p>
        </w:tc>
        <w:tc>
          <w:tcPr>
            <w:tcW w:w="992" w:type="dxa"/>
            <w:vAlign w:val="center"/>
          </w:tcPr>
          <w:p>
            <w:pPr>
              <w:pStyle w:val="15"/>
            </w:pPr>
            <w:r>
              <w:t>预算    资金</w:t>
            </w:r>
          </w:p>
        </w:tc>
        <w:tc>
          <w:tcPr>
            <w:tcW w:w="992" w:type="dxa"/>
            <w:vMerge w:val="continue"/>
          </w:tcPr>
          <w:p/>
        </w:tc>
        <w:tc>
          <w:tcPr>
            <w:tcW w:w="1134" w:type="dxa"/>
            <w:vMerge w:val="continue"/>
          </w:tcPr>
          <w:p/>
        </w:tc>
        <w:tc>
          <w:tcPr>
            <w:tcW w:w="851" w:type="dxa"/>
            <w:vMerge w:val="continue"/>
          </w:tcPr>
          <w:p/>
        </w:tc>
        <w:tc>
          <w:tcPr>
            <w:tcW w:w="708" w:type="dxa"/>
            <w:vMerge w:val="continue"/>
          </w:tcPr>
          <w:p/>
        </w:tc>
        <w:tc>
          <w:tcPr>
            <w:tcW w:w="851" w:type="dxa"/>
            <w:vMerge w:val="continue"/>
          </w:tcPr>
          <w:p/>
        </w:tc>
        <w:tc>
          <w:tcPr>
            <w:tcW w:w="719"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09" w:type="dxa"/>
            <w:vAlign w:val="center"/>
          </w:tcPr>
          <w:p>
            <w:pPr>
              <w:pStyle w:val="17"/>
            </w:pPr>
          </w:p>
        </w:tc>
        <w:tc>
          <w:tcPr>
            <w:tcW w:w="992" w:type="dxa"/>
            <w:vAlign w:val="center"/>
          </w:tcPr>
          <w:p>
            <w:pPr>
              <w:pStyle w:val="16"/>
            </w:pPr>
          </w:p>
        </w:tc>
        <w:tc>
          <w:tcPr>
            <w:tcW w:w="992" w:type="dxa"/>
            <w:vAlign w:val="center"/>
          </w:tcPr>
          <w:p>
            <w:pPr>
              <w:pStyle w:val="17"/>
            </w:pPr>
          </w:p>
        </w:tc>
        <w:tc>
          <w:tcPr>
            <w:tcW w:w="1134" w:type="dxa"/>
            <w:vAlign w:val="center"/>
          </w:tcPr>
          <w:p>
            <w:pPr>
              <w:pStyle w:val="17"/>
            </w:pPr>
          </w:p>
        </w:tc>
        <w:tc>
          <w:tcPr>
            <w:tcW w:w="851" w:type="dxa"/>
            <w:vAlign w:val="center"/>
          </w:tcPr>
          <w:p>
            <w:pPr>
              <w:pStyle w:val="18"/>
            </w:pPr>
          </w:p>
        </w:tc>
        <w:tc>
          <w:tcPr>
            <w:tcW w:w="708" w:type="dxa"/>
            <w:vAlign w:val="center"/>
          </w:tcPr>
          <w:p>
            <w:pPr>
              <w:pStyle w:val="16"/>
            </w:pPr>
          </w:p>
        </w:tc>
        <w:tc>
          <w:tcPr>
            <w:tcW w:w="851" w:type="dxa"/>
            <w:vAlign w:val="center"/>
          </w:tcPr>
          <w:p>
            <w:pPr>
              <w:pStyle w:val="16"/>
            </w:pPr>
          </w:p>
        </w:tc>
        <w:tc>
          <w:tcPr>
            <w:tcW w:w="719"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廊坊市第十三小学（含所属单位）上年末固定资产金额为261.80万元（详见下表）。本年度拟购置固定资产总额为29.90万元，已按要求列入政府采购预算，详见政府采购预算表。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460廊坊市第十三小学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261.80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315</w:t>
            </w:r>
          </w:p>
        </w:tc>
        <w:tc>
          <w:tcPr>
            <w:tcW w:w="2835" w:type="dxa"/>
            <w:vAlign w:val="center"/>
          </w:tcPr>
          <w:p>
            <w:pPr>
              <w:pStyle w:val="16"/>
            </w:pPr>
            <w:r>
              <w:t>261.80</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023B9"/>
    <w:rsid w:val="00360795"/>
    <w:rsid w:val="005A6B61"/>
    <w:rsid w:val="0072203C"/>
    <w:rsid w:val="008B5CD9"/>
    <w:rsid w:val="0094091A"/>
    <w:rsid w:val="00957378"/>
    <w:rsid w:val="00A023B9"/>
    <w:rsid w:val="00AF3837"/>
    <w:rsid w:val="00E414B2"/>
    <w:rsid w:val="00EB0A76"/>
    <w:rsid w:val="6DF46E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qFormat/>
    <w:uiPriority w:val="99"/>
    <w:rPr>
      <w:rFonts w:eastAsia="Times New Roman"/>
      <w:sz w:val="18"/>
      <w:szCs w:val="18"/>
      <w:lang w:eastAsia="uk-UA"/>
    </w:rPr>
  </w:style>
  <w:style w:type="character" w:customStyle="1" w:styleId="35">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2023-03-13T11:08:15Z</dcterms:created>
  <dcterms:modified xsi:type="dcterms:W3CDTF">2023-03-13T03:08:15Z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2023-03-13T11:08:15Z</dcterms:created>
  <dcterms:modified xsi:type="dcterms:W3CDTF">2023-03-13T03:08:15Z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2023-03-13T11:08:16Z</dcterms:created>
  <dcterms:modified xsi:type="dcterms:W3CDTF">2023-03-13T03:08:16Z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2023-03-13T11:08:18Z</dcterms:created>
  <dcterms:modified xsi:type="dcterms:W3CDTF">2023-03-13T03:08:18Z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2023-03-13T11:08:19Z</dcterms:created>
  <dcterms:modified xsi:type="dcterms:W3CDTF">2023-03-13T03:08:19Z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2023-03-13T11:08:15Z</dcterms:created>
  <dcterms:modified xsi:type="dcterms:W3CDTF">2023-03-13T03:08:15Z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2023-03-13T11:08:16Z</dcterms:created>
  <dcterms:modified xsi:type="dcterms:W3CDTF">2023-03-13T03:08:15Z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2023-03-13T11:08:19Z</dcterms:created>
  <dcterms:modified xsi:type="dcterms:W3CDTF">2023-03-13T03:08:19Z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2023-03-13T11:08:19Z</dcterms:created>
  <dcterms:modified xsi:type="dcterms:W3CDTF">2023-03-13T03:08:19Z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7D628-BDE7-46AE-8F41-1D6B694F974D}">
  <ds:schemaRefs/>
</ds:datastoreItem>
</file>

<file path=customXml/itemProps10.xml><?xml version="1.0" encoding="utf-8"?>
<ds:datastoreItem xmlns:ds="http://schemas.openxmlformats.org/officeDocument/2006/customXml" ds:itemID="{2B215171-2A96-473D-A465-5D0ADD17A4C7}">
  <ds:schemaRefs/>
</ds:datastoreItem>
</file>

<file path=customXml/itemProps11.xml><?xml version="1.0" encoding="utf-8"?>
<ds:datastoreItem xmlns:ds="http://schemas.openxmlformats.org/officeDocument/2006/customXml" ds:itemID="{DFF01F50-63F5-4C87-88EC-8869B545B05A}">
  <ds:schemaRefs/>
</ds:datastoreItem>
</file>

<file path=customXml/itemProps12.xml><?xml version="1.0" encoding="utf-8"?>
<ds:datastoreItem xmlns:ds="http://schemas.openxmlformats.org/officeDocument/2006/customXml" ds:itemID="{6FA9B145-4F0D-4EEE-B8C4-9E57D2186662}">
  <ds:schemaRefs/>
</ds:datastoreItem>
</file>

<file path=customXml/itemProps13.xml><?xml version="1.0" encoding="utf-8"?>
<ds:datastoreItem xmlns:ds="http://schemas.openxmlformats.org/officeDocument/2006/customXml" ds:itemID="{5AF7A55B-E33B-45D0-94A8-1A93D270ADDD}">
  <ds:schemaRefs/>
</ds:datastoreItem>
</file>

<file path=customXml/itemProps14.xml><?xml version="1.0" encoding="utf-8"?>
<ds:datastoreItem xmlns:ds="http://schemas.openxmlformats.org/officeDocument/2006/customXml" ds:itemID="{9F296FE5-4092-4D9C-8346-024796B04AEE}">
  <ds:schemaRefs/>
</ds:datastoreItem>
</file>

<file path=customXml/itemProps15.xml><?xml version="1.0" encoding="utf-8"?>
<ds:datastoreItem xmlns:ds="http://schemas.openxmlformats.org/officeDocument/2006/customXml" ds:itemID="{19F06694-2E7C-42BD-BE2F-CB104451ACB8}">
  <ds:schemaRefs/>
</ds:datastoreItem>
</file>

<file path=customXml/itemProps16.xml><?xml version="1.0" encoding="utf-8"?>
<ds:datastoreItem xmlns:ds="http://schemas.openxmlformats.org/officeDocument/2006/customXml" ds:itemID="{67EECD42-DAF1-4C5B-BA56-130379F123E3}">
  <ds:schemaRefs/>
</ds:datastoreItem>
</file>

<file path=customXml/itemProps17.xml><?xml version="1.0" encoding="utf-8"?>
<ds:datastoreItem xmlns:ds="http://schemas.openxmlformats.org/officeDocument/2006/customXml" ds:itemID="{AFEC4712-AB81-4F41-AAAC-A65642968ECF}">
  <ds:schemaRefs/>
</ds:datastoreItem>
</file>

<file path=customXml/itemProps18.xml><?xml version="1.0" encoding="utf-8"?>
<ds:datastoreItem xmlns:ds="http://schemas.openxmlformats.org/officeDocument/2006/customXml" ds:itemID="{D70EBD6B-1596-4D2C-A4BB-3186DAB97DD4}">
  <ds:schemaRefs/>
</ds:datastoreItem>
</file>

<file path=customXml/itemProps19.xml><?xml version="1.0" encoding="utf-8"?>
<ds:datastoreItem xmlns:ds="http://schemas.openxmlformats.org/officeDocument/2006/customXml" ds:itemID="{FC50BB20-049F-48DA-94EB-9D731123F466}">
  <ds:schemaRefs/>
</ds:datastoreItem>
</file>

<file path=customXml/itemProps2.xml><?xml version="1.0" encoding="utf-8"?>
<ds:datastoreItem xmlns:ds="http://schemas.openxmlformats.org/officeDocument/2006/customXml" ds:itemID="{6C0601AB-30DD-4FBA-9D06-5C3D6903436F}">
  <ds:schemaRefs/>
</ds:datastoreItem>
</file>

<file path=customXml/itemProps3.xml><?xml version="1.0" encoding="utf-8"?>
<ds:datastoreItem xmlns:ds="http://schemas.openxmlformats.org/officeDocument/2006/customXml" ds:itemID="{89633328-AC75-49CB-9AF5-483825196AB9}">
  <ds:schemaRefs/>
</ds:datastoreItem>
</file>

<file path=customXml/itemProps4.xml><?xml version="1.0" encoding="utf-8"?>
<ds:datastoreItem xmlns:ds="http://schemas.openxmlformats.org/officeDocument/2006/customXml" ds:itemID="{C08CD74E-E41B-44BC-9ED0-2E6D5EB06246}">
  <ds:schemaRefs/>
</ds:datastoreItem>
</file>

<file path=customXml/itemProps5.xml><?xml version="1.0" encoding="utf-8"?>
<ds:datastoreItem xmlns:ds="http://schemas.openxmlformats.org/officeDocument/2006/customXml" ds:itemID="{7A00C4D8-8647-4DA0-942A-590A3A6BB7AB}">
  <ds:schemaRefs/>
</ds:datastoreItem>
</file>

<file path=customXml/itemProps6.xml><?xml version="1.0" encoding="utf-8"?>
<ds:datastoreItem xmlns:ds="http://schemas.openxmlformats.org/officeDocument/2006/customXml" ds:itemID="{798549CC-D36B-45C4-BFFA-51F6A0016D73}">
  <ds:schemaRefs/>
</ds:datastoreItem>
</file>

<file path=customXml/itemProps7.xml><?xml version="1.0" encoding="utf-8"?>
<ds:datastoreItem xmlns:ds="http://schemas.openxmlformats.org/officeDocument/2006/customXml" ds:itemID="{7F778B12-97C3-463D-99AE-DC8D24A6B0D6}">
  <ds:schemaRefs/>
</ds:datastoreItem>
</file>

<file path=customXml/itemProps8.xml><?xml version="1.0" encoding="utf-8"?>
<ds:datastoreItem xmlns:ds="http://schemas.openxmlformats.org/officeDocument/2006/customXml" ds:itemID="{5EC46797-147A-46E2-9241-F8AB9DFEB2DA}">
  <ds:schemaRefs/>
</ds:datastoreItem>
</file>

<file path=customXml/itemProps9.xml><?xml version="1.0" encoding="utf-8"?>
<ds:datastoreItem xmlns:ds="http://schemas.openxmlformats.org/officeDocument/2006/customXml" ds:itemID="{ABF63342-D745-4FA6-856F-52EE5A36F09D}">
  <ds:schemaRefs/>
</ds:datastoreItem>
</file>

<file path=docProps/app.xml><?xml version="1.0" encoding="utf-8"?>
<Properties xmlns="http://schemas.openxmlformats.org/officeDocument/2006/extended-properties" xmlns:vt="http://schemas.openxmlformats.org/officeDocument/2006/docPropsVTypes">
  <Template>Normal</Template>
  <Pages>28</Pages>
  <Words>1760</Words>
  <Characters>10033</Characters>
  <Lines>83</Lines>
  <Paragraphs>23</Paragraphs>
  <TotalTime>4</TotalTime>
  <ScaleCrop>false</ScaleCrop>
  <LinksUpToDate>false</LinksUpToDate>
  <CharactersWithSpaces>11770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Administrator</dc:creator>
  <cp:lastModifiedBy>Administrator</cp:lastModifiedBy>
  <dcterms:modified xsi:type="dcterms:W3CDTF">2024-01-10T09:53:53Z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50E95162BCE04A5BB7E5D747A62FD1DF</vt:lpwstr>
  </property>
</Properties>
</file>