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486001廊坊市第十六中学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3262.56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3262.56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3262.56</w:t>
            </w:r>
          </w:p>
        </w:tc>
        <w:tc>
          <w:tcPr>
            <w:tcW w:w="4535" w:type="dxa"/>
            <w:vAlign w:val="center"/>
          </w:tcPr>
          <w:p>
            <w:pPr>
              <w:pStyle w:val="19"/>
            </w:pPr>
            <w:r>
              <w:t>本年支出合计</w:t>
            </w:r>
          </w:p>
        </w:tc>
        <w:tc>
          <w:tcPr>
            <w:tcW w:w="2126" w:type="dxa"/>
            <w:vAlign w:val="center"/>
          </w:tcPr>
          <w:p>
            <w:pPr>
              <w:pStyle w:val="20"/>
            </w:pPr>
            <w:r>
              <w:t>3262.56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3262.56</w:t>
            </w:r>
          </w:p>
        </w:tc>
        <w:tc>
          <w:tcPr>
            <w:tcW w:w="4535" w:type="dxa"/>
            <w:vAlign w:val="center"/>
          </w:tcPr>
          <w:p>
            <w:pPr>
              <w:pStyle w:val="19"/>
            </w:pPr>
            <w:r>
              <w:t>支出总计</w:t>
            </w:r>
          </w:p>
        </w:tc>
        <w:tc>
          <w:tcPr>
            <w:tcW w:w="2126" w:type="dxa"/>
            <w:vAlign w:val="center"/>
          </w:tcPr>
          <w:p>
            <w:pPr>
              <w:pStyle w:val="20"/>
            </w:pPr>
            <w:r>
              <w:t>3262.56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486001廊坊市第十六中学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3262.56</w:t>
            </w:r>
          </w:p>
        </w:tc>
        <w:tc>
          <w:tcPr>
            <w:tcW w:w="1134" w:type="dxa"/>
            <w:vAlign w:val="center"/>
          </w:tcPr>
          <w:p>
            <w:pPr>
              <w:pStyle w:val="20"/>
            </w:pPr>
            <w:r>
              <w:t>3262.56</w:t>
            </w:r>
          </w:p>
        </w:tc>
        <w:tc>
          <w:tcPr>
            <w:tcW w:w="1134" w:type="dxa"/>
            <w:vAlign w:val="center"/>
          </w:tcPr>
          <w:p>
            <w:pPr>
              <w:pStyle w:val="20"/>
            </w:pPr>
            <w:r>
              <w:t>3262.56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3262.56</w:t>
            </w:r>
          </w:p>
        </w:tc>
        <w:tc>
          <w:tcPr>
            <w:tcW w:w="1134" w:type="dxa"/>
            <w:vAlign w:val="center"/>
          </w:tcPr>
          <w:p>
            <w:pPr>
              <w:pStyle w:val="16"/>
            </w:pPr>
            <w:r>
              <w:t>3262.56</w:t>
            </w:r>
          </w:p>
        </w:tc>
        <w:tc>
          <w:tcPr>
            <w:tcW w:w="1134" w:type="dxa"/>
            <w:vAlign w:val="center"/>
          </w:tcPr>
          <w:p>
            <w:pPr>
              <w:pStyle w:val="16"/>
            </w:pPr>
            <w:r>
              <w:t>3262.56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3262.56</w:t>
            </w:r>
          </w:p>
        </w:tc>
        <w:tc>
          <w:tcPr>
            <w:tcW w:w="1134" w:type="dxa"/>
            <w:vAlign w:val="center"/>
          </w:tcPr>
          <w:p>
            <w:pPr>
              <w:pStyle w:val="16"/>
            </w:pPr>
            <w:r>
              <w:t>3262.56</w:t>
            </w:r>
          </w:p>
        </w:tc>
        <w:tc>
          <w:tcPr>
            <w:tcW w:w="1134" w:type="dxa"/>
            <w:vAlign w:val="center"/>
          </w:tcPr>
          <w:p>
            <w:pPr>
              <w:pStyle w:val="16"/>
            </w:pPr>
            <w:r>
              <w:t>3262.56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17.17</w:t>
            </w:r>
          </w:p>
        </w:tc>
        <w:tc>
          <w:tcPr>
            <w:tcW w:w="1134" w:type="dxa"/>
            <w:vAlign w:val="center"/>
          </w:tcPr>
          <w:p>
            <w:pPr>
              <w:pStyle w:val="16"/>
            </w:pPr>
            <w:r>
              <w:t>17.17</w:t>
            </w:r>
          </w:p>
        </w:tc>
        <w:tc>
          <w:tcPr>
            <w:tcW w:w="1134" w:type="dxa"/>
            <w:vAlign w:val="center"/>
          </w:tcPr>
          <w:p>
            <w:pPr>
              <w:pStyle w:val="16"/>
            </w:pPr>
            <w:r>
              <w:t>17.17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3245.39</w:t>
            </w:r>
          </w:p>
        </w:tc>
        <w:tc>
          <w:tcPr>
            <w:tcW w:w="1134" w:type="dxa"/>
            <w:vAlign w:val="center"/>
          </w:tcPr>
          <w:p>
            <w:pPr>
              <w:pStyle w:val="16"/>
            </w:pPr>
            <w:r>
              <w:t>3245.39</w:t>
            </w:r>
          </w:p>
        </w:tc>
        <w:tc>
          <w:tcPr>
            <w:tcW w:w="1134" w:type="dxa"/>
            <w:vAlign w:val="center"/>
          </w:tcPr>
          <w:p>
            <w:pPr>
              <w:pStyle w:val="16"/>
            </w:pPr>
            <w:r>
              <w:t>3245.39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486001廊坊市第十六中学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3262.56</w:t>
            </w:r>
          </w:p>
        </w:tc>
        <w:tc>
          <w:tcPr>
            <w:tcW w:w="1361" w:type="dxa"/>
            <w:vAlign w:val="center"/>
          </w:tcPr>
          <w:p>
            <w:pPr>
              <w:pStyle w:val="20"/>
            </w:pPr>
            <w:r>
              <w:t>3227.78</w:t>
            </w:r>
          </w:p>
        </w:tc>
        <w:tc>
          <w:tcPr>
            <w:tcW w:w="1361" w:type="dxa"/>
            <w:vAlign w:val="center"/>
          </w:tcPr>
          <w:p>
            <w:pPr>
              <w:pStyle w:val="20"/>
            </w:pPr>
            <w:r>
              <w:t>34.79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3262.56</w:t>
            </w:r>
          </w:p>
        </w:tc>
        <w:tc>
          <w:tcPr>
            <w:tcW w:w="1361" w:type="dxa"/>
            <w:vAlign w:val="center"/>
          </w:tcPr>
          <w:p>
            <w:pPr>
              <w:pStyle w:val="16"/>
            </w:pPr>
            <w:r>
              <w:t>3227.78</w:t>
            </w:r>
          </w:p>
        </w:tc>
        <w:tc>
          <w:tcPr>
            <w:tcW w:w="1361" w:type="dxa"/>
            <w:vAlign w:val="center"/>
          </w:tcPr>
          <w:p>
            <w:pPr>
              <w:pStyle w:val="16"/>
            </w:pPr>
            <w:r>
              <w:t>34.79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3262.56</w:t>
            </w:r>
          </w:p>
        </w:tc>
        <w:tc>
          <w:tcPr>
            <w:tcW w:w="1361" w:type="dxa"/>
            <w:vAlign w:val="center"/>
          </w:tcPr>
          <w:p>
            <w:pPr>
              <w:pStyle w:val="16"/>
            </w:pPr>
            <w:r>
              <w:t>3227.78</w:t>
            </w:r>
          </w:p>
        </w:tc>
        <w:tc>
          <w:tcPr>
            <w:tcW w:w="1361" w:type="dxa"/>
            <w:vAlign w:val="center"/>
          </w:tcPr>
          <w:p>
            <w:pPr>
              <w:pStyle w:val="16"/>
            </w:pPr>
            <w:r>
              <w:t>34.79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17.17</w:t>
            </w:r>
          </w:p>
        </w:tc>
        <w:tc>
          <w:tcPr>
            <w:tcW w:w="1361" w:type="dxa"/>
            <w:vAlign w:val="center"/>
          </w:tcPr>
          <w:p>
            <w:pPr>
              <w:pStyle w:val="16"/>
            </w:pPr>
          </w:p>
        </w:tc>
        <w:tc>
          <w:tcPr>
            <w:tcW w:w="1361" w:type="dxa"/>
            <w:vAlign w:val="center"/>
          </w:tcPr>
          <w:p>
            <w:pPr>
              <w:pStyle w:val="16"/>
            </w:pPr>
            <w:r>
              <w:t>17.17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3245.39</w:t>
            </w:r>
          </w:p>
        </w:tc>
        <w:tc>
          <w:tcPr>
            <w:tcW w:w="1361" w:type="dxa"/>
            <w:vAlign w:val="center"/>
          </w:tcPr>
          <w:p>
            <w:pPr>
              <w:pStyle w:val="16"/>
            </w:pPr>
            <w:r>
              <w:t>3227.78</w:t>
            </w:r>
          </w:p>
        </w:tc>
        <w:tc>
          <w:tcPr>
            <w:tcW w:w="1361" w:type="dxa"/>
            <w:vAlign w:val="center"/>
          </w:tcPr>
          <w:p>
            <w:pPr>
              <w:pStyle w:val="16"/>
            </w:pPr>
            <w:r>
              <w:t>17.62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486001廊坊市第十六中学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3262.56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3262.56</w:t>
            </w:r>
          </w:p>
        </w:tc>
        <w:tc>
          <w:tcPr>
            <w:tcW w:w="1474" w:type="dxa"/>
            <w:vAlign w:val="center"/>
          </w:tcPr>
          <w:p>
            <w:pPr>
              <w:pStyle w:val="16"/>
            </w:pPr>
            <w:r>
              <w:t>3262.56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3262.56</w:t>
            </w:r>
          </w:p>
        </w:tc>
        <w:tc>
          <w:tcPr>
            <w:tcW w:w="3402" w:type="dxa"/>
            <w:vAlign w:val="center"/>
          </w:tcPr>
          <w:p>
            <w:pPr>
              <w:pStyle w:val="19"/>
            </w:pPr>
            <w:r>
              <w:t>本年支出合计</w:t>
            </w:r>
          </w:p>
        </w:tc>
        <w:tc>
          <w:tcPr>
            <w:tcW w:w="1474" w:type="dxa"/>
            <w:vAlign w:val="center"/>
          </w:tcPr>
          <w:p>
            <w:pPr>
              <w:pStyle w:val="20"/>
            </w:pPr>
            <w:r>
              <w:t>3262.56</w:t>
            </w:r>
          </w:p>
        </w:tc>
        <w:tc>
          <w:tcPr>
            <w:tcW w:w="1474" w:type="dxa"/>
            <w:vAlign w:val="center"/>
          </w:tcPr>
          <w:p>
            <w:pPr>
              <w:pStyle w:val="20"/>
            </w:pPr>
            <w:r>
              <w:t>3262.56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3262.56</w:t>
            </w:r>
          </w:p>
        </w:tc>
        <w:tc>
          <w:tcPr>
            <w:tcW w:w="3402" w:type="dxa"/>
            <w:vAlign w:val="center"/>
          </w:tcPr>
          <w:p>
            <w:pPr>
              <w:pStyle w:val="19"/>
            </w:pPr>
            <w:r>
              <w:t>支出总计</w:t>
            </w:r>
          </w:p>
        </w:tc>
        <w:tc>
          <w:tcPr>
            <w:tcW w:w="1474" w:type="dxa"/>
            <w:vAlign w:val="center"/>
          </w:tcPr>
          <w:p>
            <w:pPr>
              <w:pStyle w:val="20"/>
            </w:pPr>
            <w:r>
              <w:t>3262.56</w:t>
            </w:r>
          </w:p>
        </w:tc>
        <w:tc>
          <w:tcPr>
            <w:tcW w:w="1474" w:type="dxa"/>
            <w:vAlign w:val="center"/>
          </w:tcPr>
          <w:p>
            <w:pPr>
              <w:pStyle w:val="20"/>
            </w:pPr>
            <w:r>
              <w:t>3262.56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486001廊坊市第十六中学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3262.56</w:t>
            </w:r>
          </w:p>
        </w:tc>
        <w:tc>
          <w:tcPr>
            <w:tcW w:w="2551" w:type="dxa"/>
            <w:vAlign w:val="center"/>
          </w:tcPr>
          <w:p>
            <w:pPr>
              <w:pStyle w:val="20"/>
            </w:pPr>
            <w:r>
              <w:t>3227.78</w:t>
            </w:r>
          </w:p>
        </w:tc>
        <w:tc>
          <w:tcPr>
            <w:tcW w:w="2551" w:type="dxa"/>
            <w:vAlign w:val="center"/>
          </w:tcPr>
          <w:p>
            <w:pPr>
              <w:pStyle w:val="20"/>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3262.56</w:t>
            </w:r>
          </w:p>
        </w:tc>
        <w:tc>
          <w:tcPr>
            <w:tcW w:w="2551" w:type="dxa"/>
            <w:vAlign w:val="center"/>
          </w:tcPr>
          <w:p>
            <w:pPr>
              <w:pStyle w:val="16"/>
            </w:pPr>
            <w:r>
              <w:t>3227.78</w:t>
            </w:r>
          </w:p>
        </w:tc>
        <w:tc>
          <w:tcPr>
            <w:tcW w:w="2551" w:type="dxa"/>
            <w:vAlign w:val="center"/>
          </w:tcPr>
          <w:p>
            <w:pPr>
              <w:pStyle w:val="16"/>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3262.56</w:t>
            </w:r>
          </w:p>
        </w:tc>
        <w:tc>
          <w:tcPr>
            <w:tcW w:w="2551" w:type="dxa"/>
            <w:vAlign w:val="center"/>
          </w:tcPr>
          <w:p>
            <w:pPr>
              <w:pStyle w:val="16"/>
            </w:pPr>
            <w:r>
              <w:t>3227.78</w:t>
            </w:r>
          </w:p>
        </w:tc>
        <w:tc>
          <w:tcPr>
            <w:tcW w:w="2551" w:type="dxa"/>
            <w:vAlign w:val="center"/>
          </w:tcPr>
          <w:p>
            <w:pPr>
              <w:pStyle w:val="16"/>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17.17</w:t>
            </w:r>
          </w:p>
        </w:tc>
        <w:tc>
          <w:tcPr>
            <w:tcW w:w="2551" w:type="dxa"/>
            <w:vAlign w:val="center"/>
          </w:tcPr>
          <w:p>
            <w:pPr>
              <w:pStyle w:val="16"/>
            </w:pPr>
          </w:p>
        </w:tc>
        <w:tc>
          <w:tcPr>
            <w:tcW w:w="2551" w:type="dxa"/>
            <w:vAlign w:val="center"/>
          </w:tcPr>
          <w:p>
            <w:pPr>
              <w:pStyle w:val="16"/>
            </w:pPr>
            <w:r>
              <w:t>17.17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3245.39</w:t>
            </w:r>
          </w:p>
        </w:tc>
        <w:tc>
          <w:tcPr>
            <w:tcW w:w="2551" w:type="dxa"/>
            <w:vAlign w:val="center"/>
          </w:tcPr>
          <w:p>
            <w:pPr>
              <w:pStyle w:val="16"/>
            </w:pPr>
            <w:r>
              <w:t>3227.78</w:t>
            </w:r>
          </w:p>
        </w:tc>
        <w:tc>
          <w:tcPr>
            <w:tcW w:w="2551" w:type="dxa"/>
            <w:vAlign w:val="center"/>
          </w:tcPr>
          <w:p>
            <w:pPr>
              <w:pStyle w:val="16"/>
            </w:pPr>
            <w:r>
              <w:t>17.62</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486001廊坊市第十六中学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3227.78</w:t>
            </w:r>
          </w:p>
        </w:tc>
        <w:tc>
          <w:tcPr>
            <w:tcW w:w="2551" w:type="dxa"/>
            <w:vAlign w:val="center"/>
          </w:tcPr>
          <w:p>
            <w:pPr>
              <w:pStyle w:val="20"/>
            </w:pPr>
            <w:r>
              <w:t>3211.18</w:t>
            </w:r>
          </w:p>
        </w:tc>
        <w:tc>
          <w:tcPr>
            <w:tcW w:w="2551" w:type="dxa"/>
            <w:vAlign w:val="center"/>
          </w:tcPr>
          <w:p>
            <w:pPr>
              <w:pStyle w:val="20"/>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3211.12</w:t>
            </w:r>
          </w:p>
        </w:tc>
        <w:tc>
          <w:tcPr>
            <w:tcW w:w="2551" w:type="dxa"/>
            <w:vAlign w:val="center"/>
          </w:tcPr>
          <w:p>
            <w:pPr>
              <w:pStyle w:val="16"/>
            </w:pPr>
            <w:r>
              <w:t>3211.12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874.46</w:t>
            </w:r>
          </w:p>
        </w:tc>
        <w:tc>
          <w:tcPr>
            <w:tcW w:w="2551" w:type="dxa"/>
            <w:vAlign w:val="center"/>
          </w:tcPr>
          <w:p>
            <w:pPr>
              <w:pStyle w:val="16"/>
            </w:pPr>
            <w:r>
              <w:t>874.46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329.67</w:t>
            </w:r>
          </w:p>
        </w:tc>
        <w:tc>
          <w:tcPr>
            <w:tcW w:w="2551" w:type="dxa"/>
            <w:vAlign w:val="center"/>
          </w:tcPr>
          <w:p>
            <w:pPr>
              <w:pStyle w:val="16"/>
            </w:pPr>
            <w:r>
              <w:t>329.67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602.60</w:t>
            </w:r>
          </w:p>
        </w:tc>
        <w:tc>
          <w:tcPr>
            <w:tcW w:w="2551" w:type="dxa"/>
            <w:vAlign w:val="center"/>
          </w:tcPr>
          <w:p>
            <w:pPr>
              <w:pStyle w:val="16"/>
            </w:pPr>
            <w:r>
              <w:t>602.60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723.55</w:t>
            </w:r>
          </w:p>
        </w:tc>
        <w:tc>
          <w:tcPr>
            <w:tcW w:w="2551" w:type="dxa"/>
            <w:vAlign w:val="center"/>
          </w:tcPr>
          <w:p>
            <w:pPr>
              <w:pStyle w:val="16"/>
            </w:pPr>
            <w:r>
              <w:t>723.55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306.93</w:t>
            </w:r>
          </w:p>
        </w:tc>
        <w:tc>
          <w:tcPr>
            <w:tcW w:w="2551" w:type="dxa"/>
            <w:vAlign w:val="center"/>
          </w:tcPr>
          <w:p>
            <w:pPr>
              <w:pStyle w:val="16"/>
            </w:pPr>
            <w:r>
              <w:t>306.93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100.80</w:t>
            </w:r>
          </w:p>
        </w:tc>
        <w:tc>
          <w:tcPr>
            <w:tcW w:w="2551" w:type="dxa"/>
            <w:vAlign w:val="center"/>
          </w:tcPr>
          <w:p>
            <w:pPr>
              <w:pStyle w:val="16"/>
            </w:pPr>
            <w:r>
              <w:t>100.80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11.93</w:t>
            </w:r>
          </w:p>
        </w:tc>
        <w:tc>
          <w:tcPr>
            <w:tcW w:w="2551" w:type="dxa"/>
            <w:vAlign w:val="center"/>
          </w:tcPr>
          <w:p>
            <w:pPr>
              <w:pStyle w:val="16"/>
            </w:pPr>
            <w:r>
              <w:t>11.93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254.88</w:t>
            </w:r>
          </w:p>
        </w:tc>
        <w:tc>
          <w:tcPr>
            <w:tcW w:w="2551" w:type="dxa"/>
            <w:vAlign w:val="center"/>
          </w:tcPr>
          <w:p>
            <w:pPr>
              <w:pStyle w:val="16"/>
            </w:pPr>
            <w:r>
              <w:t>254.88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6.30</w:t>
            </w:r>
          </w:p>
        </w:tc>
        <w:tc>
          <w:tcPr>
            <w:tcW w:w="2551" w:type="dxa"/>
            <w:vAlign w:val="center"/>
          </w:tcPr>
          <w:p>
            <w:pPr>
              <w:pStyle w:val="16"/>
            </w:pPr>
            <w:r>
              <w:t>6.30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16.60</w:t>
            </w:r>
          </w:p>
        </w:tc>
        <w:tc>
          <w:tcPr>
            <w:tcW w:w="2551" w:type="dxa"/>
            <w:vAlign w:val="center"/>
          </w:tcPr>
          <w:p>
            <w:pPr>
              <w:pStyle w:val="16"/>
            </w:pPr>
          </w:p>
        </w:tc>
        <w:tc>
          <w:tcPr>
            <w:tcW w:w="2551" w:type="dxa"/>
            <w:vAlign w:val="center"/>
          </w:tcPr>
          <w:p>
            <w:pPr>
              <w:pStyle w:val="16"/>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8.68</w:t>
            </w:r>
          </w:p>
        </w:tc>
        <w:tc>
          <w:tcPr>
            <w:tcW w:w="2551" w:type="dxa"/>
            <w:vAlign w:val="center"/>
          </w:tcPr>
          <w:p>
            <w:pPr>
              <w:pStyle w:val="16"/>
            </w:pPr>
          </w:p>
        </w:tc>
        <w:tc>
          <w:tcPr>
            <w:tcW w:w="2551" w:type="dxa"/>
            <w:vAlign w:val="center"/>
          </w:tcPr>
          <w:p>
            <w:pPr>
              <w:pStyle w:val="16"/>
            </w:pPr>
            <w:r>
              <w:t>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7.92</w:t>
            </w:r>
          </w:p>
        </w:tc>
        <w:tc>
          <w:tcPr>
            <w:tcW w:w="2551" w:type="dxa"/>
            <w:vAlign w:val="center"/>
          </w:tcPr>
          <w:p>
            <w:pPr>
              <w:pStyle w:val="16"/>
            </w:pPr>
          </w:p>
        </w:tc>
        <w:tc>
          <w:tcPr>
            <w:tcW w:w="2551" w:type="dxa"/>
            <w:vAlign w:val="center"/>
          </w:tcPr>
          <w:p>
            <w:pPr>
              <w:pStyle w:val="16"/>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486001廊坊市第十六中学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486001廊坊市第十六中学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486001廊坊市第十六中学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廊坊市第十六中学2023年单位预算信息公开情况说明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预算法》、《地方预决算公开操作规程》和《关于进一步推进预算公开工作的实施意见》规定，现将廊坊市第十六中学2023年单位预算公开如下：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30"/>
      </w:pPr>
      <w:r>
        <w:t>（一）实施中小学义务教育，促进基础教育发展，完成中小学学历教育；</w:t>
      </w:r>
    </w:p>
    <w:p>
      <w:pPr>
        <w:pStyle w:val="30"/>
      </w:pPr>
      <w:r>
        <w:t>（二）发展城市义务教育；</w:t>
      </w:r>
    </w:p>
    <w:p>
      <w:pPr>
        <w:pStyle w:val="30"/>
      </w:pPr>
      <w:r>
        <w:t>（三）开展教师教研及学生德育活动；</w:t>
      </w:r>
    </w:p>
    <w:p>
      <w:pPr>
        <w:pStyle w:val="30"/>
      </w:pPr>
      <w:r>
        <w:t>（四）改善薄弱学校办学条件；</w:t>
      </w:r>
    </w:p>
    <w:p>
      <w:pPr>
        <w:pStyle w:val="30"/>
      </w:pPr>
      <w:r>
        <w:t>（五）提升特殊教育保障水平。</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廊坊市第十六中学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1"/>
      </w:pPr>
      <w:r>
        <w:t>1、收入说明</w:t>
      </w:r>
    </w:p>
    <w:p>
      <w:pPr>
        <w:pStyle w:val="31"/>
      </w:pPr>
      <w:r>
        <w:t>反映本单位当年全部收入。2023年预算收入3262.56万元，其中：一般公共预算收入3262.56万元，基金预算收入0万元，财政专户核拨收入0万元，其他来源收入0万元，上年结转0万元。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十六中学2023年度单位预算中支出预算的总体情况。2023年支出预算3262.56万元，其中：基本支出3227.78万元，包括人员经费3211.18万元和日常公用经费16.6万元；项目支出34.79万元，全部为本级支出，主要为小学生均经费、中学生均经费等项目。</w:t>
      </w:r>
    </w:p>
    <w:p>
      <w:pPr>
        <w:pStyle w:val="31"/>
      </w:pPr>
      <w:r>
        <w:t>3、比上年增减情况</w:t>
      </w:r>
    </w:p>
    <w:p>
      <w:pPr>
        <w:pStyle w:val="31"/>
      </w:pPr>
      <w:r>
        <w:t>2023年预算收支安排3262.56万元，较2022年预算增加1060.99万元，其中：基本支出增加2556.58万元，增加原因主要为人员经费支出增加；项目支出减少1495.58万元，减少原因主要为减少合同制教师人员经费项目支出减少。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运行经费共计安排16.6万元,主要用于办公区的日常维修、办公费用、办公用房水电费、办公用房取暖费、邮电费、差旅费、办公用房物业管理费、公务用车运行维护费等日常运行支出。</w:t>
      </w:r>
    </w:p>
    <w:p>
      <w:pPr>
        <w:pStyle w:val="32"/>
      </w:pP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3"/>
      </w:pP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7、逐步制订、完善相关制度，规范教师师德。加强校本培训和继续教育工作，提升教师能力。落实教师评价工作，完善考核机制。搭建教师发展平台。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14830"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851"/>
        <w:gridCol w:w="1842"/>
        <w:gridCol w:w="4111"/>
        <w:gridCol w:w="3686"/>
        <w:gridCol w:w="567"/>
        <w:gridCol w:w="708"/>
        <w:gridCol w:w="1276"/>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11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68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55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85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2"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11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686"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276"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保障人数</w:t>
            </w:r>
          </w:p>
        </w:tc>
        <w:tc>
          <w:tcPr>
            <w:tcW w:w="4111"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每未完成</w:t>
            </w:r>
            <w:r>
              <w:rPr>
                <w:rStyle w:val="37"/>
              </w:rPr>
              <w:t>1</w:t>
            </w:r>
            <w:r>
              <w:rPr>
                <w:rStyle w:val="36"/>
                <w:rFonts w:hint="default"/>
              </w:rPr>
              <w:t>人，扣减分值</w:t>
            </w:r>
            <w:r>
              <w:rPr>
                <w:rStyle w:val="37"/>
              </w:rPr>
              <w:t>1%</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567"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70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4220</w:t>
            </w:r>
          </w:p>
        </w:tc>
        <w:tc>
          <w:tcPr>
            <w:tcW w:w="1276" w:type="dxa"/>
            <w:shd w:val="clear" w:color="auto" w:fill="auto"/>
            <w:tcMar>
              <w:top w:w="15" w:type="dxa"/>
              <w:left w:w="15" w:type="dxa"/>
              <w:bottom w:w="0" w:type="dxa"/>
              <w:right w:w="15" w:type="dxa"/>
            </w:tcMar>
            <w:vAlign w:val="center"/>
          </w:tcPr>
          <w:p>
            <w:pPr>
              <w:jc w:val="center"/>
              <w:rPr>
                <w:rFonts w:ascii="宋体" w:eastAsia="宋体"/>
                <w:color w:val="000000"/>
              </w:rPr>
            </w:pPr>
            <w:r>
              <w:rPr>
                <w:rFonts w:hint="eastAsia" w:ascii="宋体" w:hAnsi="宋体" w:eastAsia="宋体" w:cs="宋体"/>
                <w:color w:val="000000"/>
              </w:rPr>
              <w:t>人</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保障办公人数</w:t>
            </w:r>
          </w:p>
        </w:tc>
        <w:tc>
          <w:tcPr>
            <w:tcW w:w="4111"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每增多</w:t>
            </w:r>
            <w:r>
              <w:rPr>
                <w:rStyle w:val="37"/>
              </w:rPr>
              <w:t>5%</w:t>
            </w:r>
            <w:r>
              <w:rPr>
                <w:rStyle w:val="36"/>
                <w:rFonts w:hint="default"/>
              </w:rPr>
              <w:t>，扣标准分值的</w:t>
            </w:r>
            <w:r>
              <w:rPr>
                <w:rStyle w:val="37"/>
              </w:rPr>
              <w:t>5%</w:t>
            </w:r>
            <w:r>
              <w:rPr>
                <w:rStyle w:val="36"/>
                <w:rFonts w:hint="default"/>
              </w:rPr>
              <w:t>。</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211</w:t>
            </w:r>
          </w:p>
        </w:tc>
        <w:tc>
          <w:tcPr>
            <w:tcW w:w="127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教育教学活动开展次数</w:t>
            </w:r>
          </w:p>
        </w:tc>
        <w:tc>
          <w:tcPr>
            <w:tcW w:w="4111" w:type="dxa"/>
            <w:shd w:val="clear" w:color="auto" w:fill="auto"/>
            <w:tcMar>
              <w:top w:w="15" w:type="dxa"/>
              <w:left w:w="15" w:type="dxa"/>
              <w:bottom w:w="0" w:type="dxa"/>
              <w:right w:w="15" w:type="dxa"/>
            </w:tcMar>
          </w:tcPr>
          <w:p>
            <w:pPr>
              <w:rPr>
                <w:color w:val="000000"/>
                <w:sz w:val="22"/>
                <w:szCs w:val="22"/>
              </w:rPr>
            </w:pPr>
            <w:r>
              <w:rPr>
                <w:rStyle w:val="36"/>
                <w:rFonts w:hint="default"/>
              </w:rPr>
              <w:t>每减少</w:t>
            </w:r>
            <w:r>
              <w:rPr>
                <w:rStyle w:val="37"/>
              </w:rPr>
              <w:t>1</w:t>
            </w:r>
            <w:r>
              <w:rPr>
                <w:rStyle w:val="36"/>
                <w:rFonts w:hint="default"/>
              </w:rPr>
              <w:t>次，减数量分值的</w:t>
            </w:r>
            <w:r>
              <w:rPr>
                <w:rStyle w:val="37"/>
              </w:rPr>
              <w:t>10%</w:t>
            </w:r>
            <w:r>
              <w:rPr>
                <w:rStyle w:val="36"/>
                <w:rFonts w:hint="default"/>
              </w:rPr>
              <w:t>。</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127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特殊教育学生教学次数</w:t>
            </w:r>
          </w:p>
        </w:tc>
        <w:tc>
          <w:tcPr>
            <w:tcW w:w="4111"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每少完成</w:t>
            </w:r>
            <w:r>
              <w:rPr>
                <w:rStyle w:val="37"/>
              </w:rPr>
              <w:t>1</w:t>
            </w:r>
            <w:r>
              <w:rPr>
                <w:rStyle w:val="36"/>
                <w:rFonts w:hint="default"/>
              </w:rPr>
              <w:t>次，减少分数的</w:t>
            </w:r>
            <w:r>
              <w:rPr>
                <w:rStyle w:val="37"/>
              </w:rPr>
              <w:t>5%</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完成次数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127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84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36"/>
                <w:rFonts w:hint="default"/>
              </w:rPr>
              <w:t>工资</w:t>
            </w:r>
            <w:r>
              <w:rPr>
                <w:rStyle w:val="37"/>
              </w:rPr>
              <w:t>(</w:t>
            </w:r>
            <w:r>
              <w:rPr>
                <w:rStyle w:val="36"/>
                <w:rFonts w:hint="default"/>
              </w:rPr>
              <w:t>福利</w:t>
            </w:r>
            <w:r>
              <w:rPr>
                <w:rStyle w:val="37"/>
              </w:rPr>
              <w:t>)</w:t>
            </w:r>
            <w:r>
              <w:rPr>
                <w:rStyle w:val="36"/>
                <w:rFonts w:hint="default"/>
              </w:rPr>
              <w:t>等发放精准性</w:t>
            </w:r>
          </w:p>
        </w:tc>
        <w:tc>
          <w:tcPr>
            <w:tcW w:w="4111" w:type="dxa"/>
            <w:shd w:val="clear" w:color="auto" w:fill="auto"/>
            <w:tcMar>
              <w:top w:w="15" w:type="dxa"/>
              <w:left w:w="15" w:type="dxa"/>
              <w:bottom w:w="0" w:type="dxa"/>
              <w:right w:w="15" w:type="dxa"/>
            </w:tcMar>
            <w:vAlign w:val="center"/>
          </w:tcPr>
          <w:p>
            <w:pPr>
              <w:jc w:val="both"/>
              <w:rPr>
                <w:color w:val="000000"/>
                <w:sz w:val="22"/>
                <w:szCs w:val="22"/>
              </w:rPr>
            </w:pPr>
            <w:r>
              <w:rPr>
                <w:rStyle w:val="36"/>
                <w:rFonts w:hint="default"/>
              </w:rPr>
              <w:t>每未准确发放</w:t>
            </w:r>
            <w:r>
              <w:rPr>
                <w:rStyle w:val="37"/>
              </w:rPr>
              <w:t>1</w:t>
            </w:r>
            <w:r>
              <w:rPr>
                <w:rStyle w:val="36"/>
                <w:rFonts w:hint="default"/>
              </w:rPr>
              <w:t>笔，扣减分值</w:t>
            </w:r>
            <w:r>
              <w:rPr>
                <w:rStyle w:val="37"/>
              </w:rPr>
              <w:t>5%</w:t>
            </w:r>
          </w:p>
        </w:tc>
        <w:tc>
          <w:tcPr>
            <w:tcW w:w="3686"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27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运转保障率</w:t>
            </w:r>
          </w:p>
        </w:tc>
        <w:tc>
          <w:tcPr>
            <w:tcW w:w="4111"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每降低</w:t>
            </w:r>
            <w:r>
              <w:rPr>
                <w:rStyle w:val="37"/>
              </w:rPr>
              <w:t>5%</w:t>
            </w:r>
            <w:r>
              <w:rPr>
                <w:rStyle w:val="36"/>
                <w:rFonts w:hint="default"/>
              </w:rPr>
              <w:t>，扣标准分值的</w:t>
            </w:r>
            <w:r>
              <w:rPr>
                <w:rStyle w:val="37"/>
              </w:rPr>
              <w:t>5%</w:t>
            </w:r>
            <w:r>
              <w:rPr>
                <w:rStyle w:val="36"/>
                <w:rFonts w:hint="default"/>
              </w:rPr>
              <w:t>。</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27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物业管理服务质量</w:t>
            </w:r>
          </w:p>
        </w:tc>
        <w:tc>
          <w:tcPr>
            <w:tcW w:w="411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达到合同约定标准得满分，否则不得分。</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反映保洁服务质量</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不低于合同约定标</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合同约定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842" w:type="dxa"/>
            <w:shd w:val="clear" w:color="auto" w:fill="auto"/>
            <w:tcMar>
              <w:top w:w="15" w:type="dxa"/>
              <w:left w:w="15" w:type="dxa"/>
              <w:bottom w:w="0" w:type="dxa"/>
              <w:right w:w="15" w:type="dxa"/>
            </w:tcMar>
          </w:tcPr>
          <w:p>
            <w:pPr>
              <w:jc w:val="both"/>
              <w:rPr>
                <w:rFonts w:ascii="宋体" w:eastAsia="宋体"/>
                <w:color w:val="000000"/>
                <w:sz w:val="22"/>
                <w:szCs w:val="22"/>
              </w:rPr>
            </w:pPr>
            <w:r>
              <w:rPr>
                <w:rFonts w:hint="eastAsia" w:ascii="宋体" w:hAnsi="宋体" w:eastAsia="宋体" w:cs="宋体"/>
                <w:color w:val="000000"/>
                <w:sz w:val="22"/>
                <w:szCs w:val="22"/>
              </w:rPr>
              <w:t>保证特殊教育学生的正常教学</w:t>
            </w:r>
          </w:p>
        </w:tc>
        <w:tc>
          <w:tcPr>
            <w:tcW w:w="4111" w:type="dxa"/>
            <w:shd w:val="clear" w:color="auto" w:fill="auto"/>
            <w:tcMar>
              <w:top w:w="15" w:type="dxa"/>
              <w:left w:w="15" w:type="dxa"/>
              <w:bottom w:w="0" w:type="dxa"/>
              <w:right w:w="15" w:type="dxa"/>
            </w:tcMar>
          </w:tcPr>
          <w:p>
            <w:pPr>
              <w:jc w:val="both"/>
              <w:rPr>
                <w:color w:val="000000"/>
                <w:sz w:val="22"/>
                <w:szCs w:val="22"/>
              </w:rPr>
            </w:pPr>
            <w:r>
              <w:rPr>
                <w:rFonts w:hint="eastAsia" w:ascii="宋体" w:hAnsi="宋体" w:eastAsia="宋体" w:cs="宋体"/>
                <w:color w:val="000000"/>
                <w:sz w:val="22"/>
                <w:szCs w:val="22"/>
              </w:rPr>
              <w:t>保证特殊学生的教学环境</w:t>
            </w:r>
          </w:p>
        </w:tc>
        <w:tc>
          <w:tcPr>
            <w:tcW w:w="3686"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为特殊学生创造核实的学习环境</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按要求完成</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Style w:val="36"/>
                <w:rFonts w:hint="default"/>
              </w:rPr>
              <w:t>工资</w:t>
            </w:r>
            <w:r>
              <w:rPr>
                <w:rStyle w:val="37"/>
              </w:rPr>
              <w:t>(</w:t>
            </w:r>
            <w:r>
              <w:rPr>
                <w:rStyle w:val="36"/>
                <w:rFonts w:hint="default"/>
              </w:rPr>
              <w:t>福利</w:t>
            </w:r>
            <w:r>
              <w:rPr>
                <w:rStyle w:val="37"/>
              </w:rPr>
              <w:t>)</w:t>
            </w:r>
            <w:r>
              <w:rPr>
                <w:rStyle w:val="36"/>
                <w:rFonts w:hint="default"/>
              </w:rPr>
              <w:t>发放及时性</w:t>
            </w:r>
          </w:p>
        </w:tc>
        <w:tc>
          <w:tcPr>
            <w:tcW w:w="4111" w:type="dxa"/>
            <w:shd w:val="clear" w:color="auto" w:fill="auto"/>
            <w:tcMar>
              <w:top w:w="15" w:type="dxa"/>
              <w:left w:w="15" w:type="dxa"/>
              <w:bottom w:w="0" w:type="dxa"/>
              <w:right w:w="15" w:type="dxa"/>
            </w:tcMar>
          </w:tcPr>
          <w:p>
            <w:pPr>
              <w:rPr>
                <w:color w:val="000000"/>
                <w:sz w:val="22"/>
                <w:szCs w:val="22"/>
              </w:rPr>
            </w:pPr>
            <w:r>
              <w:rPr>
                <w:rStyle w:val="36"/>
                <w:rFonts w:hint="default"/>
              </w:rPr>
              <w:t>未及时发放</w:t>
            </w:r>
            <w:r>
              <w:rPr>
                <w:rStyle w:val="37"/>
              </w:rPr>
              <w:t xml:space="preserve">1 </w:t>
            </w:r>
            <w:r>
              <w:rPr>
                <w:rStyle w:val="36"/>
                <w:rFonts w:hint="default"/>
              </w:rPr>
              <w:t>次，扣减分值</w:t>
            </w:r>
            <w:r>
              <w:rPr>
                <w:rStyle w:val="37"/>
              </w:rPr>
              <w:t>5%</w:t>
            </w:r>
          </w:p>
        </w:tc>
        <w:tc>
          <w:tcPr>
            <w:tcW w:w="368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276"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经费保障及时性</w:t>
            </w:r>
          </w:p>
        </w:tc>
        <w:tc>
          <w:tcPr>
            <w:tcW w:w="411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及时保障</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教育教学活动开展及时性</w:t>
            </w:r>
          </w:p>
        </w:tc>
        <w:tc>
          <w:tcPr>
            <w:tcW w:w="4111" w:type="dxa"/>
            <w:shd w:val="clear" w:color="auto" w:fill="auto"/>
            <w:tcMar>
              <w:top w:w="15" w:type="dxa"/>
              <w:left w:w="15" w:type="dxa"/>
              <w:bottom w:w="0" w:type="dxa"/>
              <w:right w:w="15" w:type="dxa"/>
            </w:tcMar>
          </w:tcPr>
          <w:p>
            <w:pPr>
              <w:rPr>
                <w:color w:val="000000"/>
                <w:sz w:val="22"/>
                <w:szCs w:val="22"/>
              </w:rPr>
            </w:pPr>
            <w:r>
              <w:rPr>
                <w:rStyle w:val="36"/>
                <w:rFonts w:hint="default"/>
              </w:rPr>
              <w:t>每出现</w:t>
            </w:r>
            <w:r>
              <w:rPr>
                <w:rStyle w:val="37"/>
              </w:rPr>
              <w:t>1</w:t>
            </w:r>
            <w:r>
              <w:rPr>
                <w:rStyle w:val="36"/>
                <w:rFonts w:hint="default"/>
              </w:rPr>
              <w:t>次未在规定时间内开展，扣</w:t>
            </w:r>
            <w:r>
              <w:rPr>
                <w:rStyle w:val="37"/>
              </w:rPr>
              <w:t>10%</w:t>
            </w:r>
            <w:r>
              <w:rPr>
                <w:rStyle w:val="36"/>
                <w:rFonts w:hint="default"/>
              </w:rPr>
              <w:t>权重分。</w:t>
            </w:r>
          </w:p>
        </w:tc>
        <w:tc>
          <w:tcPr>
            <w:tcW w:w="368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按规定时间开展</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411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68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276"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日常公用经费开支标准</w:t>
            </w:r>
          </w:p>
        </w:tc>
        <w:tc>
          <w:tcPr>
            <w:tcW w:w="4111" w:type="dxa"/>
            <w:shd w:val="clear" w:color="auto" w:fill="auto"/>
            <w:tcMar>
              <w:top w:w="15" w:type="dxa"/>
              <w:left w:w="15" w:type="dxa"/>
              <w:bottom w:w="0" w:type="dxa"/>
              <w:right w:w="15" w:type="dxa"/>
            </w:tcMar>
          </w:tcPr>
          <w:p>
            <w:pPr>
              <w:rPr>
                <w:color w:val="000000"/>
                <w:sz w:val="22"/>
                <w:szCs w:val="22"/>
              </w:rPr>
            </w:pPr>
            <w:r>
              <w:rPr>
                <w:rStyle w:val="36"/>
                <w:rFonts w:hint="default"/>
              </w:rPr>
              <w:t>每超过一项规定标准扣标准分值的</w:t>
            </w:r>
            <w:r>
              <w:rPr>
                <w:rStyle w:val="37"/>
              </w:rPr>
              <w:t>10%</w:t>
            </w:r>
            <w:r>
              <w:rPr>
                <w:rStyle w:val="36"/>
                <w:rFonts w:hint="default"/>
              </w:rPr>
              <w:t>。</w:t>
            </w:r>
          </w:p>
        </w:tc>
        <w:tc>
          <w:tcPr>
            <w:tcW w:w="368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276"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按统一规定执行</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842" w:type="dxa"/>
            <w:shd w:val="clear" w:color="auto" w:fill="auto"/>
            <w:noWrap/>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教育教学活动成本</w:t>
            </w:r>
          </w:p>
        </w:tc>
        <w:tc>
          <w:tcPr>
            <w:tcW w:w="4111" w:type="dxa"/>
            <w:shd w:val="clear" w:color="auto" w:fill="auto"/>
            <w:noWrap/>
            <w:tcMar>
              <w:top w:w="15" w:type="dxa"/>
              <w:left w:w="15" w:type="dxa"/>
              <w:bottom w:w="0" w:type="dxa"/>
              <w:right w:w="15" w:type="dxa"/>
            </w:tcMar>
          </w:tcPr>
          <w:p>
            <w:pPr>
              <w:rPr>
                <w:color w:val="000000"/>
                <w:sz w:val="22"/>
                <w:szCs w:val="22"/>
              </w:rPr>
            </w:pPr>
            <w:r>
              <w:rPr>
                <w:rStyle w:val="36"/>
                <w:rFonts w:hint="default"/>
              </w:rPr>
              <w:t>每超出成本</w:t>
            </w:r>
            <w:r>
              <w:rPr>
                <w:rStyle w:val="37"/>
              </w:rPr>
              <w:t>1%</w:t>
            </w:r>
            <w:r>
              <w:rPr>
                <w:rStyle w:val="36"/>
                <w:rFonts w:hint="default"/>
              </w:rPr>
              <w:t>，扣</w:t>
            </w:r>
            <w:r>
              <w:rPr>
                <w:rStyle w:val="37"/>
              </w:rPr>
              <w:t>2.5%</w:t>
            </w:r>
            <w:r>
              <w:rPr>
                <w:rStyle w:val="36"/>
                <w:rFonts w:hint="default"/>
              </w:rPr>
              <w:t>权重分。</w:t>
            </w:r>
          </w:p>
        </w:tc>
        <w:tc>
          <w:tcPr>
            <w:tcW w:w="3686" w:type="dxa"/>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16</w:t>
            </w:r>
          </w:p>
        </w:tc>
        <w:tc>
          <w:tcPr>
            <w:tcW w:w="127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万元</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724" w:type="dxa"/>
            <w:vMerge w:val="restar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lang w:eastAsia="zh-CN"/>
              </w:rPr>
              <w:t>单位</w:t>
            </w:r>
            <w:r>
              <w:rPr>
                <w:rFonts w:hint="eastAsia" w:ascii="宋体" w:hAnsi="宋体" w:eastAsia="宋体" w:cs="宋体"/>
                <w:color w:val="000000"/>
              </w:rPr>
              <w:t>效果</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加强工作人员归属感，保持教师伍稳定</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保障日常办公需要，维持单位正常运转</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每减少受益教师</w:t>
            </w:r>
            <w:r>
              <w:rPr>
                <w:rStyle w:val="37"/>
              </w:rPr>
              <w:t>1</w:t>
            </w:r>
            <w:r>
              <w:rPr>
                <w:rStyle w:val="36"/>
                <w:rFonts w:hint="default"/>
              </w:rPr>
              <w:t>人，扣</w:t>
            </w:r>
            <w:r>
              <w:rPr>
                <w:rStyle w:val="37"/>
              </w:rPr>
              <w:t>2.5%</w:t>
            </w:r>
            <w:r>
              <w:rPr>
                <w:rStyle w:val="36"/>
                <w:rFonts w:hint="default"/>
              </w:rPr>
              <w:t>权重分。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维持单位正常运转</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保障学校正常教育教学活动开展</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达标得满分，基本达标得</w:t>
            </w:r>
            <w:r>
              <w:rPr>
                <w:rStyle w:val="37"/>
              </w:rPr>
              <w:t>80%</w:t>
            </w:r>
            <w:r>
              <w:rPr>
                <w:rStyle w:val="36"/>
                <w:rFonts w:hint="default"/>
              </w:rPr>
              <w:t>权重分，部分达标得</w:t>
            </w:r>
            <w:r>
              <w:rPr>
                <w:rStyle w:val="37"/>
              </w:rPr>
              <w:t>60%</w:t>
            </w:r>
            <w:r>
              <w:rPr>
                <w:rStyle w:val="36"/>
                <w:rFonts w:hint="default"/>
              </w:rPr>
              <w:t>权重分，不达标不得分。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保持教师队伍稳定性</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每减少受益教师</w:t>
            </w:r>
            <w:r>
              <w:rPr>
                <w:rStyle w:val="37"/>
              </w:rPr>
              <w:t>1</w:t>
            </w:r>
            <w:r>
              <w:rPr>
                <w:rStyle w:val="36"/>
                <w:rFonts w:hint="default"/>
              </w:rPr>
              <w:t>人，扣</w:t>
            </w:r>
            <w:r>
              <w:rPr>
                <w:rStyle w:val="37"/>
              </w:rPr>
              <w:t>2.5%</w:t>
            </w:r>
            <w:r>
              <w:rPr>
                <w:rStyle w:val="36"/>
                <w:rFonts w:hint="default"/>
              </w:rPr>
              <w:t>权重分。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教职工满意度</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达到指标目标值得满分，每下降</w:t>
            </w:r>
            <w:r>
              <w:rPr>
                <w:rStyle w:val="37"/>
              </w:rPr>
              <w:t>1%</w:t>
            </w:r>
            <w:r>
              <w:rPr>
                <w:rStyle w:val="36"/>
                <w:rFonts w:hint="default"/>
              </w:rPr>
              <w:t>，扣权重分值的</w:t>
            </w:r>
            <w:r>
              <w:rPr>
                <w:rStyle w:val="37"/>
              </w:rPr>
              <w:t>2.5%</w:t>
            </w:r>
            <w:r>
              <w:rPr>
                <w:rStyle w:val="36"/>
                <w:rFonts w:hint="default"/>
              </w:rPr>
              <w:t>，低于</w:t>
            </w:r>
            <w:r>
              <w:rPr>
                <w:rStyle w:val="37"/>
              </w:rPr>
              <w:t>60%</w:t>
            </w:r>
            <w:r>
              <w:rPr>
                <w:rStyle w:val="36"/>
                <w:rFonts w:hint="default"/>
              </w:rPr>
              <w:t>不得分。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27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学生满意度</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达到指标目标值得满分，每下降</w:t>
            </w:r>
            <w:r>
              <w:rPr>
                <w:rStyle w:val="37"/>
              </w:rPr>
              <w:t>1%</w:t>
            </w:r>
            <w:r>
              <w:rPr>
                <w:rStyle w:val="36"/>
                <w:rFonts w:hint="default"/>
              </w:rPr>
              <w:t>，扣权重分值的</w:t>
            </w:r>
            <w:r>
              <w:rPr>
                <w:rStyle w:val="37"/>
              </w:rPr>
              <w:t>2.5%</w:t>
            </w:r>
            <w:r>
              <w:rPr>
                <w:rStyle w:val="36"/>
                <w:rFonts w:hint="default"/>
              </w:rPr>
              <w:t>，低于</w:t>
            </w:r>
            <w:r>
              <w:rPr>
                <w:rStyle w:val="37"/>
              </w:rPr>
              <w:t>60%</w:t>
            </w:r>
            <w:r>
              <w:rPr>
                <w:rStyle w:val="36"/>
                <w:rFonts w:hint="default"/>
              </w:rPr>
              <w:t>不得分。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27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1.廊坊市第十六中学小学部对2023年在校学生2336人，按照义务教育生均公用经费标准申请财政预算资金，通过合理、合规使用资金达到保证学校正常运转，改善办学条件，促进义务教育发展。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4082"/>
        <w:gridCol w:w="1304"/>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4082" w:type="dxa"/>
            <w:vAlign w:val="center"/>
          </w:tcPr>
          <w:p>
            <w:pPr>
              <w:pStyle w:val="15"/>
            </w:pPr>
            <w:r>
              <w:t>绩效指标描述</w:t>
            </w:r>
          </w:p>
        </w:tc>
        <w:tc>
          <w:tcPr>
            <w:tcW w:w="1304"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4082" w:type="dxa"/>
            <w:vAlign w:val="center"/>
          </w:tcPr>
          <w:p>
            <w:pPr>
              <w:pStyle w:val="17"/>
            </w:pPr>
            <w:r>
              <w:t>保障使用生均公用经费的实际校学生人数</w:t>
            </w:r>
          </w:p>
          <w:p>
            <w:pPr>
              <w:pStyle w:val="17"/>
            </w:pPr>
          </w:p>
        </w:tc>
        <w:tc>
          <w:tcPr>
            <w:tcW w:w="1304" w:type="dxa"/>
            <w:vAlign w:val="center"/>
          </w:tcPr>
          <w:p>
            <w:pPr>
              <w:pStyle w:val="17"/>
            </w:pPr>
            <w:r>
              <w:t>2336人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4082" w:type="dxa"/>
            <w:vAlign w:val="center"/>
          </w:tcPr>
          <w:p>
            <w:pPr>
              <w:pStyle w:val="17"/>
            </w:pPr>
            <w:r>
              <w:t>生均公用经费使用符合文件中的相关规定</w:t>
            </w:r>
          </w:p>
        </w:tc>
        <w:tc>
          <w:tcPr>
            <w:tcW w:w="1304"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4082" w:type="dxa"/>
            <w:vAlign w:val="center"/>
          </w:tcPr>
          <w:p>
            <w:pPr>
              <w:pStyle w:val="17"/>
            </w:pPr>
            <w:r>
              <w:t>使用生均公用经费，用于保障学校正常运转的项目完成情况</w:t>
            </w:r>
          </w:p>
        </w:tc>
        <w:tc>
          <w:tcPr>
            <w:tcW w:w="1304"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4082" w:type="dxa"/>
            <w:vAlign w:val="center"/>
          </w:tcPr>
          <w:p>
            <w:pPr>
              <w:pStyle w:val="17"/>
            </w:pPr>
            <w:r>
              <w:t>使用生均公用经费，用于保障学校正常运转的项目支出成本等于735元/生</w:t>
            </w:r>
          </w:p>
        </w:tc>
        <w:tc>
          <w:tcPr>
            <w:tcW w:w="1304"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4082" w:type="dxa"/>
            <w:vAlign w:val="center"/>
          </w:tcPr>
          <w:p>
            <w:pPr>
              <w:pStyle w:val="17"/>
            </w:pPr>
            <w:r>
              <w:t>该资金用于学校正常运转，改善办学条件，促进义务教育均衡发展及学生素质提高</w:t>
            </w:r>
          </w:p>
        </w:tc>
        <w:tc>
          <w:tcPr>
            <w:tcW w:w="1304"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4082" w:type="dxa"/>
            <w:vAlign w:val="center"/>
          </w:tcPr>
          <w:p>
            <w:pPr>
              <w:pStyle w:val="17"/>
            </w:pPr>
            <w:r>
              <w:t>无</w:t>
            </w:r>
          </w:p>
        </w:tc>
        <w:tc>
          <w:tcPr>
            <w:tcW w:w="1304"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4082" w:type="dxa"/>
            <w:vAlign w:val="center"/>
          </w:tcPr>
          <w:p>
            <w:pPr>
              <w:pStyle w:val="17"/>
            </w:pPr>
            <w:r>
              <w:t>在校师生的满意程度</w:t>
            </w:r>
          </w:p>
        </w:tc>
        <w:tc>
          <w:tcPr>
            <w:tcW w:w="1304"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1.廊坊市第十六中学初中部对2023年在校学生1884人，按照义务教育生均公用经费标准申请财政预算资金，通过合理、合规使用资金达到保证学校正常运转，改善办学条件，促进义务教育发展。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940"/>
        <w:gridCol w:w="1446"/>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3940" w:type="dxa"/>
            <w:vAlign w:val="center"/>
          </w:tcPr>
          <w:p>
            <w:pPr>
              <w:pStyle w:val="15"/>
            </w:pPr>
            <w:r>
              <w:t>绩效指标描述</w:t>
            </w:r>
          </w:p>
        </w:tc>
        <w:tc>
          <w:tcPr>
            <w:tcW w:w="1446"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3940" w:type="dxa"/>
            <w:vAlign w:val="center"/>
          </w:tcPr>
          <w:p>
            <w:pPr>
              <w:pStyle w:val="17"/>
            </w:pPr>
            <w:r>
              <w:t>保障使用生均公用经费的实际校学生人数</w:t>
            </w:r>
          </w:p>
        </w:tc>
        <w:tc>
          <w:tcPr>
            <w:tcW w:w="1446" w:type="dxa"/>
            <w:vAlign w:val="center"/>
          </w:tcPr>
          <w:p>
            <w:pPr>
              <w:pStyle w:val="17"/>
            </w:pPr>
            <w:r>
              <w:t>1884人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3940" w:type="dxa"/>
            <w:vAlign w:val="center"/>
          </w:tcPr>
          <w:p>
            <w:pPr>
              <w:pStyle w:val="17"/>
            </w:pPr>
            <w:r>
              <w:t>生均公用经费使用符合文件中的相关规定</w:t>
            </w:r>
          </w:p>
        </w:tc>
        <w:tc>
          <w:tcPr>
            <w:tcW w:w="1446"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3940" w:type="dxa"/>
            <w:vAlign w:val="center"/>
          </w:tcPr>
          <w:p>
            <w:pPr>
              <w:pStyle w:val="17"/>
            </w:pPr>
            <w:r>
              <w:t>使用生均公用经费，用于保障学校正常运转的项目完成情况</w:t>
            </w:r>
          </w:p>
        </w:tc>
        <w:tc>
          <w:tcPr>
            <w:tcW w:w="1446"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3940" w:type="dxa"/>
            <w:vAlign w:val="center"/>
          </w:tcPr>
          <w:p>
            <w:pPr>
              <w:pStyle w:val="17"/>
            </w:pPr>
            <w:r>
              <w:t>使用生均公用经费，用于保障学校正常运转的项目支出成本等于935元/生</w:t>
            </w:r>
          </w:p>
        </w:tc>
        <w:tc>
          <w:tcPr>
            <w:tcW w:w="1446"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3940" w:type="dxa"/>
            <w:vAlign w:val="center"/>
          </w:tcPr>
          <w:p>
            <w:pPr>
              <w:pStyle w:val="17"/>
            </w:pPr>
            <w:r>
              <w:t>该资金用于学校正常运转，改善办学条件，促进义务教育均衡发展及学生素质提高</w:t>
            </w:r>
          </w:p>
        </w:tc>
        <w:tc>
          <w:tcPr>
            <w:tcW w:w="1446"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3940" w:type="dxa"/>
            <w:vAlign w:val="center"/>
          </w:tcPr>
          <w:p>
            <w:pPr>
              <w:pStyle w:val="17"/>
            </w:pPr>
            <w:r>
              <w:t>无</w:t>
            </w:r>
          </w:p>
        </w:tc>
        <w:tc>
          <w:tcPr>
            <w:tcW w:w="1446"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3940" w:type="dxa"/>
            <w:vAlign w:val="center"/>
          </w:tcPr>
          <w:p>
            <w:pPr>
              <w:pStyle w:val="17"/>
            </w:pPr>
            <w:r>
              <w:t>在校师生的满意程度</w:t>
            </w:r>
          </w:p>
        </w:tc>
        <w:tc>
          <w:tcPr>
            <w:tcW w:w="1446"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2023年，廊坊市第十六中学安排政府采购预算0.00万元。具体内容见下表。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0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992"/>
        <w:gridCol w:w="993"/>
        <w:gridCol w:w="1134"/>
        <w:gridCol w:w="708"/>
        <w:gridCol w:w="851"/>
        <w:gridCol w:w="709"/>
        <w:gridCol w:w="648"/>
        <w:gridCol w:w="964"/>
        <w:gridCol w:w="964"/>
        <w:gridCol w:w="1251"/>
        <w:gridCol w:w="850"/>
        <w:gridCol w:w="791"/>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3" w:type="dxa"/>
            <w:gridSpan w:val="7"/>
            <w:tcBorders>
              <w:top w:val="single" w:color="FFFFFF" w:sz="6" w:space="0"/>
              <w:left w:val="single" w:color="FFFFFF" w:sz="6" w:space="0"/>
              <w:right w:val="single" w:color="FFFFFF" w:sz="6" w:space="0"/>
            </w:tcBorders>
            <w:vAlign w:val="center"/>
          </w:tcPr>
          <w:p>
            <w:pPr>
              <w:pStyle w:val="14"/>
            </w:pPr>
            <w:r>
              <w:t>486001廊坊市第十六中学</w:t>
            </w:r>
          </w:p>
        </w:tc>
        <w:tc>
          <w:tcPr>
            <w:tcW w:w="8360"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gridSpan w:val="2"/>
            <w:vAlign w:val="center"/>
          </w:tcPr>
          <w:p>
            <w:pPr>
              <w:pStyle w:val="15"/>
            </w:pPr>
            <w:r>
              <w:t>政府采购项目来源</w:t>
            </w:r>
          </w:p>
        </w:tc>
        <w:tc>
          <w:tcPr>
            <w:tcW w:w="993"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8" w:type="dxa"/>
            <w:vMerge w:val="restart"/>
            <w:vAlign w:val="center"/>
          </w:tcPr>
          <w:p>
            <w:pPr>
              <w:pStyle w:val="15"/>
            </w:pPr>
            <w:r>
              <w:t>计量  单位</w:t>
            </w:r>
          </w:p>
        </w:tc>
        <w:tc>
          <w:tcPr>
            <w:tcW w:w="851" w:type="dxa"/>
            <w:vMerge w:val="restart"/>
            <w:vAlign w:val="center"/>
          </w:tcPr>
          <w:p>
            <w:pPr>
              <w:pStyle w:val="15"/>
            </w:pPr>
            <w:r>
              <w:t>数量</w:t>
            </w:r>
          </w:p>
        </w:tc>
        <w:tc>
          <w:tcPr>
            <w:tcW w:w="709" w:type="dxa"/>
            <w:vMerge w:val="restart"/>
            <w:vAlign w:val="center"/>
          </w:tcPr>
          <w:p>
            <w:pPr>
              <w:pStyle w:val="15"/>
            </w:pPr>
            <w:r>
              <w:t>单价</w:t>
            </w:r>
          </w:p>
        </w:tc>
        <w:tc>
          <w:tcPr>
            <w:tcW w:w="7396"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76" w:type="dxa"/>
            <w:vAlign w:val="center"/>
          </w:tcPr>
          <w:p>
            <w:pPr>
              <w:pStyle w:val="15"/>
            </w:pPr>
            <w:r>
              <w:t>项目名称</w:t>
            </w:r>
          </w:p>
        </w:tc>
        <w:tc>
          <w:tcPr>
            <w:tcW w:w="992" w:type="dxa"/>
            <w:vAlign w:val="center"/>
          </w:tcPr>
          <w:p>
            <w:pPr>
              <w:pStyle w:val="15"/>
            </w:pPr>
            <w:r>
              <w:t>预算    资金</w:t>
            </w:r>
          </w:p>
        </w:tc>
        <w:tc>
          <w:tcPr>
            <w:tcW w:w="993" w:type="dxa"/>
            <w:vMerge w:val="continue"/>
          </w:tcPr>
          <w:p/>
        </w:tc>
        <w:tc>
          <w:tcPr>
            <w:tcW w:w="1134" w:type="dxa"/>
            <w:vMerge w:val="continue"/>
          </w:tcPr>
          <w:p/>
        </w:tc>
        <w:tc>
          <w:tcPr>
            <w:tcW w:w="708" w:type="dxa"/>
            <w:vMerge w:val="continue"/>
          </w:tcPr>
          <w:p/>
        </w:tc>
        <w:tc>
          <w:tcPr>
            <w:tcW w:w="851" w:type="dxa"/>
            <w:vMerge w:val="continue"/>
          </w:tcPr>
          <w:p/>
        </w:tc>
        <w:tc>
          <w:tcPr>
            <w:tcW w:w="709" w:type="dxa"/>
            <w:vMerge w:val="continue"/>
          </w:tcPr>
          <w:p/>
        </w:tc>
        <w:tc>
          <w:tcPr>
            <w:tcW w:w="648"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1251" w:type="dxa"/>
            <w:vAlign w:val="center"/>
          </w:tcPr>
          <w:p>
            <w:pPr>
              <w:pStyle w:val="15"/>
            </w:pPr>
            <w:r>
              <w:t>国有资本经营预算拨款</w:t>
            </w:r>
          </w:p>
        </w:tc>
        <w:tc>
          <w:tcPr>
            <w:tcW w:w="850" w:type="dxa"/>
            <w:vAlign w:val="center"/>
          </w:tcPr>
          <w:p>
            <w:pPr>
              <w:pStyle w:val="15"/>
            </w:pPr>
            <w:r>
              <w:t>财政专户核拨</w:t>
            </w:r>
          </w:p>
        </w:tc>
        <w:tc>
          <w:tcPr>
            <w:tcW w:w="791"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76" w:type="dxa"/>
            <w:vAlign w:val="center"/>
          </w:tcPr>
          <w:p>
            <w:pPr>
              <w:pStyle w:val="17"/>
            </w:pPr>
          </w:p>
        </w:tc>
        <w:tc>
          <w:tcPr>
            <w:tcW w:w="992" w:type="dxa"/>
            <w:vAlign w:val="center"/>
          </w:tcPr>
          <w:p>
            <w:pPr>
              <w:pStyle w:val="16"/>
            </w:pPr>
          </w:p>
        </w:tc>
        <w:tc>
          <w:tcPr>
            <w:tcW w:w="993" w:type="dxa"/>
            <w:vAlign w:val="center"/>
          </w:tcPr>
          <w:p>
            <w:pPr>
              <w:pStyle w:val="17"/>
            </w:pPr>
          </w:p>
        </w:tc>
        <w:tc>
          <w:tcPr>
            <w:tcW w:w="1134" w:type="dxa"/>
            <w:vAlign w:val="center"/>
          </w:tcPr>
          <w:p>
            <w:pPr>
              <w:pStyle w:val="17"/>
            </w:pPr>
          </w:p>
        </w:tc>
        <w:tc>
          <w:tcPr>
            <w:tcW w:w="708" w:type="dxa"/>
            <w:vAlign w:val="center"/>
          </w:tcPr>
          <w:p>
            <w:pPr>
              <w:pStyle w:val="18"/>
            </w:pPr>
          </w:p>
        </w:tc>
        <w:tc>
          <w:tcPr>
            <w:tcW w:w="851" w:type="dxa"/>
            <w:vAlign w:val="center"/>
          </w:tcPr>
          <w:p>
            <w:pPr>
              <w:pStyle w:val="16"/>
            </w:pPr>
          </w:p>
        </w:tc>
        <w:tc>
          <w:tcPr>
            <w:tcW w:w="709" w:type="dxa"/>
            <w:vAlign w:val="center"/>
          </w:tcPr>
          <w:p>
            <w:pPr>
              <w:pStyle w:val="16"/>
            </w:pPr>
          </w:p>
        </w:tc>
        <w:tc>
          <w:tcPr>
            <w:tcW w:w="648" w:type="dxa"/>
            <w:vAlign w:val="center"/>
          </w:tcPr>
          <w:p>
            <w:pPr>
              <w:pStyle w:val="16"/>
            </w:pPr>
          </w:p>
        </w:tc>
        <w:tc>
          <w:tcPr>
            <w:tcW w:w="964" w:type="dxa"/>
            <w:vAlign w:val="center"/>
          </w:tcPr>
          <w:p>
            <w:pPr>
              <w:pStyle w:val="16"/>
            </w:pPr>
          </w:p>
        </w:tc>
        <w:tc>
          <w:tcPr>
            <w:tcW w:w="964" w:type="dxa"/>
            <w:vAlign w:val="center"/>
          </w:tcPr>
          <w:p>
            <w:pPr>
              <w:pStyle w:val="16"/>
            </w:pPr>
          </w:p>
        </w:tc>
        <w:tc>
          <w:tcPr>
            <w:tcW w:w="1251" w:type="dxa"/>
            <w:vAlign w:val="center"/>
          </w:tcPr>
          <w:p>
            <w:pPr>
              <w:pStyle w:val="16"/>
            </w:pPr>
          </w:p>
        </w:tc>
        <w:tc>
          <w:tcPr>
            <w:tcW w:w="850" w:type="dxa"/>
            <w:vAlign w:val="center"/>
          </w:tcPr>
          <w:p>
            <w:pPr>
              <w:pStyle w:val="16"/>
            </w:pPr>
          </w:p>
        </w:tc>
        <w:tc>
          <w:tcPr>
            <w:tcW w:w="791"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廊坊市第十六中学上年末固定资产金额为110.15万元（详见下表）。本年度拟购置固定资产总额为144.88万元，已按要求列入政府采购预算，详见政府采购预算表。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486001廊坊市第十六中学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110.15</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486AA4"/>
    <w:rsid w:val="000D6831"/>
    <w:rsid w:val="00486AA4"/>
    <w:rsid w:val="00695B67"/>
    <w:rsid w:val="00D64EE8"/>
    <w:rsid w:val="00E01F9A"/>
    <w:rsid w:val="00F85691"/>
    <w:rsid w:val="3A8A0E60"/>
    <w:rsid w:val="6AC92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11"/>
    <w:basedOn w:val="10"/>
    <w:uiPriority w:val="0"/>
    <w:rPr>
      <w:rFonts w:hint="eastAsia" w:ascii="宋体" w:hAnsi="宋体" w:eastAsia="宋体"/>
      <w:color w:val="000000"/>
      <w:sz w:val="22"/>
      <w:szCs w:val="22"/>
      <w:u w:val="none"/>
    </w:rPr>
  </w:style>
  <w:style w:type="character" w:customStyle="1" w:styleId="37">
    <w:name w:val="font51"/>
    <w:basedOn w:val="10"/>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2023-03-13T11:08:55Z</dcterms:created>
  <dcterms:modified xsi:type="dcterms:W3CDTF">2023-03-13T03:08:55Z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2023-03-13T11:08:59Z</dcterms:created>
  <dcterms:modified xsi:type="dcterms:W3CDTF">2023-03-13T03:08:59Z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2023-03-13T11:08:59Z</dcterms:created>
  <dcterms:modified xsi:type="dcterms:W3CDTF">2023-03-13T03:08:59Z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2023-03-13T11:08:58Z</dcterms:created>
  <dcterms:modified xsi:type="dcterms:W3CDTF">2023-03-13T03:08:58Z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2023-03-13T11:08:59Z</dcterms:created>
  <dcterms:modified xsi:type="dcterms:W3CDTF">2023-03-13T03:08:59Z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3A5AC83-4C81-44D6-9FCA-610A7A0C32DA}">
  <ds:schemaRefs/>
</ds:datastoreItem>
</file>

<file path=customXml/itemProps10.xml><?xml version="1.0" encoding="utf-8"?>
<ds:datastoreItem xmlns:ds="http://schemas.openxmlformats.org/officeDocument/2006/customXml" ds:itemID="{0796C602-4694-4103-883F-32E1A97E8B87}">
  <ds:schemaRefs/>
</ds:datastoreItem>
</file>

<file path=customXml/itemProps11.xml><?xml version="1.0" encoding="utf-8"?>
<ds:datastoreItem xmlns:ds="http://schemas.openxmlformats.org/officeDocument/2006/customXml" ds:itemID="{2C67F727-5C2A-44CA-BB3A-6B78C2F6AE47}">
  <ds:schemaRefs/>
</ds:datastoreItem>
</file>

<file path=customXml/itemProps12.xml><?xml version="1.0" encoding="utf-8"?>
<ds:datastoreItem xmlns:ds="http://schemas.openxmlformats.org/officeDocument/2006/customXml" ds:itemID="{DCD2D065-4139-4193-B234-F3BA47F24C01}">
  <ds:schemaRefs/>
</ds:datastoreItem>
</file>

<file path=customXml/itemProps13.xml><?xml version="1.0" encoding="utf-8"?>
<ds:datastoreItem xmlns:ds="http://schemas.openxmlformats.org/officeDocument/2006/customXml" ds:itemID="{7AD63D8A-5ABA-4966-9F91-900879201EB5}">
  <ds:schemaRefs/>
</ds:datastoreItem>
</file>

<file path=customXml/itemProps14.xml><?xml version="1.0" encoding="utf-8"?>
<ds:datastoreItem xmlns:ds="http://schemas.openxmlformats.org/officeDocument/2006/customXml" ds:itemID="{6608D78F-A5A4-4222-BDD1-DD9725AB5F7F}">
  <ds:schemaRefs/>
</ds:datastoreItem>
</file>

<file path=customXml/itemProps15.xml><?xml version="1.0" encoding="utf-8"?>
<ds:datastoreItem xmlns:ds="http://schemas.openxmlformats.org/officeDocument/2006/customXml" ds:itemID="{4B01E8CC-FA14-4618-9224-DE0229CA216F}">
  <ds:schemaRefs/>
</ds:datastoreItem>
</file>

<file path=customXml/itemProps16.xml><?xml version="1.0" encoding="utf-8"?>
<ds:datastoreItem xmlns:ds="http://schemas.openxmlformats.org/officeDocument/2006/customXml" ds:itemID="{DDDF9DF1-508A-4415-9217-7F96709E1330}">
  <ds:schemaRefs/>
</ds:datastoreItem>
</file>

<file path=customXml/itemProps17.xml><?xml version="1.0" encoding="utf-8"?>
<ds:datastoreItem xmlns:ds="http://schemas.openxmlformats.org/officeDocument/2006/customXml" ds:itemID="{624E2BB7-0520-49FE-8F61-EEBB23B484C9}">
  <ds:schemaRefs/>
</ds:datastoreItem>
</file>

<file path=customXml/itemProps18.xml><?xml version="1.0" encoding="utf-8"?>
<ds:datastoreItem xmlns:ds="http://schemas.openxmlformats.org/officeDocument/2006/customXml" ds:itemID="{36A4989B-89C6-42AA-873C-7E14ABD43BE7}">
  <ds:schemaRefs/>
</ds:datastoreItem>
</file>

<file path=customXml/itemProps2.xml><?xml version="1.0" encoding="utf-8"?>
<ds:datastoreItem xmlns:ds="http://schemas.openxmlformats.org/officeDocument/2006/customXml" ds:itemID="{D7025184-5246-4729-8E59-C7C71BC2EFAE}">
  <ds:schemaRefs/>
</ds:datastoreItem>
</file>

<file path=customXml/itemProps3.xml><?xml version="1.0" encoding="utf-8"?>
<ds:datastoreItem xmlns:ds="http://schemas.openxmlformats.org/officeDocument/2006/customXml" ds:itemID="{40994357-C20F-4C37-A4C0-4A851EAF01A4}">
  <ds:schemaRefs/>
</ds:datastoreItem>
</file>

<file path=customXml/itemProps4.xml><?xml version="1.0" encoding="utf-8"?>
<ds:datastoreItem xmlns:ds="http://schemas.openxmlformats.org/officeDocument/2006/customXml" ds:itemID="{DCA80FCF-0B0A-4AD8-A649-74B5269990AB}">
  <ds:schemaRefs/>
</ds:datastoreItem>
</file>

<file path=customXml/itemProps5.xml><?xml version="1.0" encoding="utf-8"?>
<ds:datastoreItem xmlns:ds="http://schemas.openxmlformats.org/officeDocument/2006/customXml" ds:itemID="{E979E2CF-88D5-4EA9-8944-5742B9FDD1EB}">
  <ds:schemaRefs/>
</ds:datastoreItem>
</file>

<file path=customXml/itemProps6.xml><?xml version="1.0" encoding="utf-8"?>
<ds:datastoreItem xmlns:ds="http://schemas.openxmlformats.org/officeDocument/2006/customXml" ds:itemID="{B20D2243-36C7-4668-BD6D-62324BEEBD3A}">
  <ds:schemaRefs/>
</ds:datastoreItem>
</file>

<file path=customXml/itemProps7.xml><?xml version="1.0" encoding="utf-8"?>
<ds:datastoreItem xmlns:ds="http://schemas.openxmlformats.org/officeDocument/2006/customXml" ds:itemID="{B86F796D-F23E-4C5B-97C8-B34787780D77}">
  <ds:schemaRefs/>
</ds:datastoreItem>
</file>

<file path=customXml/itemProps8.xml><?xml version="1.0" encoding="utf-8"?>
<ds:datastoreItem xmlns:ds="http://schemas.openxmlformats.org/officeDocument/2006/customXml" ds:itemID="{377B16C4-7FAD-44EE-B0CD-88AF1926FCBC}">
  <ds:schemaRefs/>
</ds:datastoreItem>
</file>

<file path=customXml/itemProps9.xml><?xml version="1.0" encoding="utf-8"?>
<ds:datastoreItem xmlns:ds="http://schemas.openxmlformats.org/officeDocument/2006/customXml" ds:itemID="{C23FD4A4-445E-41AA-A13A-CD65D72202B9}">
  <ds:schemaRefs/>
</ds:datastoreItem>
</file>

<file path=docProps/app.xml><?xml version="1.0" encoding="utf-8"?>
<Properties xmlns="http://schemas.openxmlformats.org/officeDocument/2006/extended-properties" xmlns:vt="http://schemas.openxmlformats.org/officeDocument/2006/docPropsVTypes">
  <Template>Normal</Template>
  <Pages>27</Pages>
  <Words>1674</Words>
  <Characters>9545</Characters>
  <Lines>79</Lines>
  <Paragraphs>22</Paragraphs>
  <TotalTime>5</TotalTime>
  <ScaleCrop>false</ScaleCrop>
  <LinksUpToDate>false</LinksUpToDate>
  <CharactersWithSpaces>11197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2024-01-11T01:52:30Z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3E9A85DBC77C4FE082A629D18D94EF45</vt:lpwstr>
  </property>
</Properties>
</file>