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2651.75</w:t>
            </w:r>
          </w:p>
        </w:tc>
        <w:tc>
          <w:tcPr>
            <w:tcW w:w="4535" w:type="dxa"/>
            <w:vAlign w:val="center"/>
          </w:tcPr>
          <w:p>
            <w:pPr>
              <w:pStyle w:val="17"/>
            </w:pPr>
            <w:r>
              <w:t>一、一般公共服务支出</w:t>
            </w:r>
          </w:p>
        </w:tc>
        <w:tc>
          <w:tcPr>
            <w:tcW w:w="2126" w:type="dxa"/>
            <w:vAlign w:val="center"/>
          </w:tcPr>
          <w:p>
            <w:pPr>
              <w:pStyle w:val="16"/>
            </w:pPr>
            <w:r>
              <w:t>1241.14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40626.90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45233.36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43278.65</w:t>
            </w:r>
          </w:p>
        </w:tc>
        <w:tc>
          <w:tcPr>
            <w:tcW w:w="4535" w:type="dxa"/>
            <w:vAlign w:val="center"/>
          </w:tcPr>
          <w:p>
            <w:pPr>
              <w:pStyle w:val="19"/>
            </w:pPr>
            <w:r>
              <w:t>本年支出合计</w:t>
            </w:r>
          </w:p>
        </w:tc>
        <w:tc>
          <w:tcPr>
            <w:tcW w:w="2126" w:type="dxa"/>
            <w:vAlign w:val="center"/>
          </w:tcPr>
          <w:p>
            <w:pPr>
              <w:pStyle w:val="20"/>
            </w:pPr>
            <w:r>
              <w:t>46565.12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3286.46</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46565.12</w:t>
            </w:r>
          </w:p>
        </w:tc>
        <w:tc>
          <w:tcPr>
            <w:tcW w:w="4535" w:type="dxa"/>
            <w:vAlign w:val="center"/>
          </w:tcPr>
          <w:p>
            <w:pPr>
              <w:pStyle w:val="19"/>
            </w:pPr>
            <w:r>
              <w:t>支出总计</w:t>
            </w:r>
          </w:p>
        </w:tc>
        <w:tc>
          <w:tcPr>
            <w:tcW w:w="2126" w:type="dxa"/>
            <w:vAlign w:val="center"/>
          </w:tcPr>
          <w:p>
            <w:pPr>
              <w:pStyle w:val="20"/>
            </w:pPr>
            <w:r>
              <w:t>46565.12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46565.12</w:t>
            </w:r>
          </w:p>
        </w:tc>
        <w:tc>
          <w:tcPr>
            <w:tcW w:w="1134" w:type="dxa"/>
            <w:vAlign w:val="center"/>
          </w:tcPr>
          <w:p>
            <w:pPr>
              <w:pStyle w:val="20"/>
            </w:pPr>
            <w:r>
              <w:t>43278.65</w:t>
            </w:r>
          </w:p>
        </w:tc>
        <w:tc>
          <w:tcPr>
            <w:tcW w:w="1134" w:type="dxa"/>
            <w:vAlign w:val="center"/>
          </w:tcPr>
          <w:p>
            <w:pPr>
              <w:pStyle w:val="20"/>
            </w:pPr>
            <w:r>
              <w:t>43278.65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3286.46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r>
              <w:t>1241.14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r>
              <w:t>45.51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5.73</w:t>
            </w:r>
          </w:p>
        </w:tc>
        <w:tc>
          <w:tcPr>
            <w:tcW w:w="1134" w:type="dxa"/>
            <w:vAlign w:val="center"/>
          </w:tcPr>
          <w:p>
            <w:pPr>
              <w:pStyle w:val="16"/>
            </w:pPr>
            <w:r>
              <w:t>5.73</w:t>
            </w:r>
          </w:p>
        </w:tc>
        <w:tc>
          <w:tcPr>
            <w:tcW w:w="1134" w:type="dxa"/>
            <w:vAlign w:val="center"/>
          </w:tcPr>
          <w:p>
            <w:pPr>
              <w:pStyle w:val="16"/>
            </w:pPr>
            <w:r>
              <w:t>5.73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39.77</w:t>
            </w:r>
          </w:p>
        </w:tc>
        <w:tc>
          <w:tcPr>
            <w:tcW w:w="1134" w:type="dxa"/>
            <w:vAlign w:val="center"/>
          </w:tcPr>
          <w:p>
            <w:pPr>
              <w:pStyle w:val="16"/>
            </w:pPr>
            <w:r>
              <w:t>39.77</w:t>
            </w:r>
          </w:p>
        </w:tc>
        <w:tc>
          <w:tcPr>
            <w:tcW w:w="1134" w:type="dxa"/>
            <w:vAlign w:val="center"/>
          </w:tcPr>
          <w:p>
            <w:pPr>
              <w:pStyle w:val="16"/>
            </w:pPr>
            <w:r>
              <w:t>39.77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r>
              <w:t>12.28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45233.36</w:t>
            </w:r>
          </w:p>
        </w:tc>
        <w:tc>
          <w:tcPr>
            <w:tcW w:w="1134" w:type="dxa"/>
            <w:vAlign w:val="center"/>
          </w:tcPr>
          <w:p>
            <w:pPr>
              <w:pStyle w:val="16"/>
            </w:pPr>
            <w:r>
              <w:t>41946.90</w:t>
            </w:r>
          </w:p>
        </w:tc>
        <w:tc>
          <w:tcPr>
            <w:tcW w:w="1134" w:type="dxa"/>
            <w:vAlign w:val="center"/>
          </w:tcPr>
          <w:p>
            <w:pPr>
              <w:pStyle w:val="16"/>
            </w:pPr>
            <w:r>
              <w:t>41946.90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3286.46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21203</w:t>
            </w:r>
          </w:p>
        </w:tc>
        <w:tc>
          <w:tcPr>
            <w:tcW w:w="1559" w:type="dxa"/>
            <w:vAlign w:val="center"/>
          </w:tcPr>
          <w:p>
            <w:pPr>
              <w:pStyle w:val="17"/>
            </w:pPr>
            <w:r>
              <w:t>城乡社区公共设施</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2120303</w:t>
            </w:r>
          </w:p>
        </w:tc>
        <w:tc>
          <w:tcPr>
            <w:tcW w:w="1559" w:type="dxa"/>
            <w:vAlign w:val="center"/>
          </w:tcPr>
          <w:p>
            <w:pPr>
              <w:pStyle w:val="17"/>
            </w:pPr>
            <w:r>
              <w:t>小城镇基础设施建设</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r>
              <w:t>1320.00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43913.36</w:t>
            </w:r>
          </w:p>
        </w:tc>
        <w:tc>
          <w:tcPr>
            <w:tcW w:w="1134" w:type="dxa"/>
            <w:vAlign w:val="center"/>
          </w:tcPr>
          <w:p>
            <w:pPr>
              <w:pStyle w:val="16"/>
            </w:pPr>
            <w:r>
              <w:t>40626.90</w:t>
            </w:r>
          </w:p>
        </w:tc>
        <w:tc>
          <w:tcPr>
            <w:tcW w:w="1134" w:type="dxa"/>
            <w:vAlign w:val="center"/>
          </w:tcPr>
          <w:p>
            <w:pPr>
              <w:pStyle w:val="16"/>
            </w:pPr>
            <w:r>
              <w:t>40626.90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3286.46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2120801</w:t>
            </w:r>
          </w:p>
        </w:tc>
        <w:tc>
          <w:tcPr>
            <w:tcW w:w="1559" w:type="dxa"/>
            <w:vAlign w:val="center"/>
          </w:tcPr>
          <w:p>
            <w:pPr>
              <w:pStyle w:val="17"/>
            </w:pPr>
            <w:r>
              <w:t>征地和拆迁补偿支出</w:t>
            </w:r>
          </w:p>
        </w:tc>
        <w:tc>
          <w:tcPr>
            <w:tcW w:w="1134" w:type="dxa"/>
            <w:vAlign w:val="center"/>
          </w:tcPr>
          <w:p>
            <w:pPr>
              <w:pStyle w:val="16"/>
            </w:pPr>
            <w:r>
              <w:t>11452.25</w:t>
            </w:r>
          </w:p>
        </w:tc>
        <w:tc>
          <w:tcPr>
            <w:tcW w:w="1134" w:type="dxa"/>
            <w:vAlign w:val="center"/>
          </w:tcPr>
          <w:p>
            <w:pPr>
              <w:pStyle w:val="16"/>
            </w:pPr>
            <w:r>
              <w:t>10678.25</w:t>
            </w:r>
          </w:p>
        </w:tc>
        <w:tc>
          <w:tcPr>
            <w:tcW w:w="1134" w:type="dxa"/>
            <w:vAlign w:val="center"/>
          </w:tcPr>
          <w:p>
            <w:pPr>
              <w:pStyle w:val="16"/>
            </w:pPr>
            <w:r>
              <w:t>10678.25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2120802</w:t>
            </w:r>
          </w:p>
        </w:tc>
        <w:tc>
          <w:tcPr>
            <w:tcW w:w="1559" w:type="dxa"/>
            <w:vAlign w:val="center"/>
          </w:tcPr>
          <w:p>
            <w:pPr>
              <w:pStyle w:val="17"/>
            </w:pPr>
            <w:r>
              <w:t>土地开发支出</w:t>
            </w:r>
          </w:p>
        </w:tc>
        <w:tc>
          <w:tcPr>
            <w:tcW w:w="1134" w:type="dxa"/>
            <w:vAlign w:val="center"/>
          </w:tcPr>
          <w:p>
            <w:pPr>
              <w:pStyle w:val="16"/>
            </w:pPr>
            <w:r>
              <w:t>480.77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2120803</w:t>
            </w:r>
          </w:p>
        </w:tc>
        <w:tc>
          <w:tcPr>
            <w:tcW w:w="1559" w:type="dxa"/>
            <w:vAlign w:val="center"/>
          </w:tcPr>
          <w:p>
            <w:pPr>
              <w:pStyle w:val="17"/>
            </w:pPr>
            <w:r>
              <w:t>城市建设支出</w:t>
            </w:r>
          </w:p>
        </w:tc>
        <w:tc>
          <w:tcPr>
            <w:tcW w:w="1134" w:type="dxa"/>
            <w:vAlign w:val="center"/>
          </w:tcPr>
          <w:p>
            <w:pPr>
              <w:pStyle w:val="16"/>
            </w:pPr>
            <w:r>
              <w:t>27449.60</w:t>
            </w:r>
          </w:p>
        </w:tc>
        <w:tc>
          <w:tcPr>
            <w:tcW w:w="1134" w:type="dxa"/>
            <w:vAlign w:val="center"/>
          </w:tcPr>
          <w:p>
            <w:pPr>
              <w:pStyle w:val="16"/>
            </w:pPr>
            <w:r>
              <w:t>26287.68</w:t>
            </w:r>
          </w:p>
        </w:tc>
        <w:tc>
          <w:tcPr>
            <w:tcW w:w="1134" w:type="dxa"/>
            <w:vAlign w:val="center"/>
          </w:tcPr>
          <w:p>
            <w:pPr>
              <w:pStyle w:val="16"/>
            </w:pPr>
            <w:r>
              <w:t>26287.68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2120805</w:t>
            </w:r>
          </w:p>
        </w:tc>
        <w:tc>
          <w:tcPr>
            <w:tcW w:w="1559" w:type="dxa"/>
            <w:vAlign w:val="center"/>
          </w:tcPr>
          <w:p>
            <w:pPr>
              <w:pStyle w:val="17"/>
            </w:pPr>
            <w:r>
              <w:t>补助被征地农民支出</w:t>
            </w:r>
          </w:p>
        </w:tc>
        <w:tc>
          <w:tcPr>
            <w:tcW w:w="1134" w:type="dxa"/>
            <w:vAlign w:val="center"/>
          </w:tcPr>
          <w:p>
            <w:pPr>
              <w:pStyle w:val="16"/>
            </w:pPr>
            <w:r>
              <w:t>3602.24</w:t>
            </w:r>
          </w:p>
        </w:tc>
        <w:tc>
          <w:tcPr>
            <w:tcW w:w="1134" w:type="dxa"/>
            <w:vAlign w:val="center"/>
          </w:tcPr>
          <w:p>
            <w:pPr>
              <w:pStyle w:val="16"/>
            </w:pPr>
            <w:r>
              <w:t>2960.97</w:t>
            </w:r>
          </w:p>
        </w:tc>
        <w:tc>
          <w:tcPr>
            <w:tcW w:w="1134" w:type="dxa"/>
            <w:vAlign w:val="center"/>
          </w:tcPr>
          <w:p>
            <w:pPr>
              <w:pStyle w:val="16"/>
            </w:pPr>
            <w:r>
              <w:t>2960.97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641.27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2120806</w:t>
            </w:r>
          </w:p>
        </w:tc>
        <w:tc>
          <w:tcPr>
            <w:tcW w:w="1559" w:type="dxa"/>
            <w:vAlign w:val="center"/>
          </w:tcPr>
          <w:p>
            <w:pPr>
              <w:pStyle w:val="17"/>
            </w:pPr>
            <w:r>
              <w:t>土地出让业务支出</w:t>
            </w:r>
          </w:p>
        </w:tc>
        <w:tc>
          <w:tcPr>
            <w:tcW w:w="1134" w:type="dxa"/>
            <w:vAlign w:val="center"/>
          </w:tcPr>
          <w:p>
            <w:pPr>
              <w:pStyle w:val="16"/>
            </w:pPr>
            <w:r>
              <w:t>928.50</w:t>
            </w:r>
          </w:p>
        </w:tc>
        <w:tc>
          <w:tcPr>
            <w:tcW w:w="1134" w:type="dxa"/>
            <w:vAlign w:val="center"/>
          </w:tcPr>
          <w:p>
            <w:pPr>
              <w:pStyle w:val="16"/>
            </w:pPr>
            <w:r>
              <w:t>700.00</w:t>
            </w:r>
          </w:p>
        </w:tc>
        <w:tc>
          <w:tcPr>
            <w:tcW w:w="1134" w:type="dxa"/>
            <w:vAlign w:val="center"/>
          </w:tcPr>
          <w:p>
            <w:pPr>
              <w:pStyle w:val="16"/>
            </w:pPr>
            <w:r>
              <w:t>700.00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r>
              <w:t>32.83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46565.12</w:t>
            </w:r>
          </w:p>
        </w:tc>
        <w:tc>
          <w:tcPr>
            <w:tcW w:w="1361" w:type="dxa"/>
            <w:vAlign w:val="center"/>
          </w:tcPr>
          <w:p>
            <w:pPr>
              <w:pStyle w:val="20"/>
            </w:pPr>
            <w:r>
              <w:t>1331.75</w:t>
            </w:r>
          </w:p>
        </w:tc>
        <w:tc>
          <w:tcPr>
            <w:tcW w:w="1361" w:type="dxa"/>
            <w:vAlign w:val="center"/>
          </w:tcPr>
          <w:p>
            <w:pPr>
              <w:pStyle w:val="20"/>
            </w:pPr>
            <w:r>
              <w:t>45233.36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1241.14</w:t>
            </w:r>
          </w:p>
        </w:tc>
        <w:tc>
          <w:tcPr>
            <w:tcW w:w="1361" w:type="dxa"/>
            <w:vAlign w:val="center"/>
          </w:tcPr>
          <w:p>
            <w:pPr>
              <w:pStyle w:val="16"/>
            </w:pPr>
            <w:r>
              <w:t>1241.14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1241.14</w:t>
            </w:r>
          </w:p>
        </w:tc>
        <w:tc>
          <w:tcPr>
            <w:tcW w:w="1361" w:type="dxa"/>
            <w:vAlign w:val="center"/>
          </w:tcPr>
          <w:p>
            <w:pPr>
              <w:pStyle w:val="16"/>
            </w:pPr>
            <w:r>
              <w:t>1241.14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1241.14</w:t>
            </w:r>
          </w:p>
        </w:tc>
        <w:tc>
          <w:tcPr>
            <w:tcW w:w="1361" w:type="dxa"/>
            <w:vAlign w:val="center"/>
          </w:tcPr>
          <w:p>
            <w:pPr>
              <w:pStyle w:val="16"/>
            </w:pPr>
            <w:r>
              <w:t>1241.14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45.51</w:t>
            </w:r>
          </w:p>
        </w:tc>
        <w:tc>
          <w:tcPr>
            <w:tcW w:w="1361" w:type="dxa"/>
            <w:vAlign w:val="center"/>
          </w:tcPr>
          <w:p>
            <w:pPr>
              <w:pStyle w:val="16"/>
            </w:pPr>
            <w:r>
              <w:t>45.51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45.51</w:t>
            </w:r>
          </w:p>
        </w:tc>
        <w:tc>
          <w:tcPr>
            <w:tcW w:w="1361" w:type="dxa"/>
            <w:vAlign w:val="center"/>
          </w:tcPr>
          <w:p>
            <w:pPr>
              <w:pStyle w:val="16"/>
            </w:pPr>
            <w:r>
              <w:t>45.51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5.73</w:t>
            </w:r>
          </w:p>
        </w:tc>
        <w:tc>
          <w:tcPr>
            <w:tcW w:w="1361" w:type="dxa"/>
            <w:vAlign w:val="center"/>
          </w:tcPr>
          <w:p>
            <w:pPr>
              <w:pStyle w:val="16"/>
            </w:pPr>
            <w:r>
              <w:t>5.73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39.77</w:t>
            </w:r>
          </w:p>
        </w:tc>
        <w:tc>
          <w:tcPr>
            <w:tcW w:w="1361" w:type="dxa"/>
            <w:vAlign w:val="center"/>
          </w:tcPr>
          <w:p>
            <w:pPr>
              <w:pStyle w:val="16"/>
            </w:pPr>
            <w:r>
              <w:t>39.77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12.28</w:t>
            </w:r>
          </w:p>
        </w:tc>
        <w:tc>
          <w:tcPr>
            <w:tcW w:w="1361" w:type="dxa"/>
            <w:vAlign w:val="center"/>
          </w:tcPr>
          <w:p>
            <w:pPr>
              <w:pStyle w:val="16"/>
            </w:pPr>
            <w:r>
              <w:t>12.28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12.28</w:t>
            </w:r>
          </w:p>
        </w:tc>
        <w:tc>
          <w:tcPr>
            <w:tcW w:w="1361" w:type="dxa"/>
            <w:vAlign w:val="center"/>
          </w:tcPr>
          <w:p>
            <w:pPr>
              <w:pStyle w:val="16"/>
            </w:pPr>
            <w:r>
              <w:t>12.28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12.28</w:t>
            </w:r>
          </w:p>
        </w:tc>
        <w:tc>
          <w:tcPr>
            <w:tcW w:w="1361" w:type="dxa"/>
            <w:vAlign w:val="center"/>
          </w:tcPr>
          <w:p>
            <w:pPr>
              <w:pStyle w:val="16"/>
            </w:pPr>
            <w:r>
              <w:t>12.28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45233.36</w:t>
            </w:r>
          </w:p>
        </w:tc>
        <w:tc>
          <w:tcPr>
            <w:tcW w:w="1361" w:type="dxa"/>
            <w:vAlign w:val="center"/>
          </w:tcPr>
          <w:p>
            <w:pPr>
              <w:pStyle w:val="16"/>
            </w:pPr>
          </w:p>
        </w:tc>
        <w:tc>
          <w:tcPr>
            <w:tcW w:w="1361" w:type="dxa"/>
            <w:vAlign w:val="center"/>
          </w:tcPr>
          <w:p>
            <w:pPr>
              <w:pStyle w:val="16"/>
            </w:pPr>
            <w:r>
              <w:t>45233.36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21203</w:t>
            </w:r>
          </w:p>
        </w:tc>
        <w:tc>
          <w:tcPr>
            <w:tcW w:w="4535" w:type="dxa"/>
            <w:vAlign w:val="center"/>
          </w:tcPr>
          <w:p>
            <w:pPr>
              <w:pStyle w:val="17"/>
            </w:pPr>
            <w:r>
              <w:t>城乡社区公共设施</w:t>
            </w: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2120303</w:t>
            </w:r>
          </w:p>
        </w:tc>
        <w:tc>
          <w:tcPr>
            <w:tcW w:w="4535" w:type="dxa"/>
            <w:vAlign w:val="center"/>
          </w:tcPr>
          <w:p>
            <w:pPr>
              <w:pStyle w:val="17"/>
            </w:pPr>
            <w:r>
              <w:t>小城镇基础设施建设</w:t>
            </w: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r>
              <w:t>1320.00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43913.36</w:t>
            </w:r>
          </w:p>
        </w:tc>
        <w:tc>
          <w:tcPr>
            <w:tcW w:w="1361" w:type="dxa"/>
            <w:vAlign w:val="center"/>
          </w:tcPr>
          <w:p>
            <w:pPr>
              <w:pStyle w:val="16"/>
            </w:pPr>
          </w:p>
        </w:tc>
        <w:tc>
          <w:tcPr>
            <w:tcW w:w="1361" w:type="dxa"/>
            <w:vAlign w:val="center"/>
          </w:tcPr>
          <w:p>
            <w:pPr>
              <w:pStyle w:val="16"/>
            </w:pPr>
            <w:r>
              <w:t>43913.36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2120801</w:t>
            </w:r>
          </w:p>
        </w:tc>
        <w:tc>
          <w:tcPr>
            <w:tcW w:w="4535" w:type="dxa"/>
            <w:vAlign w:val="center"/>
          </w:tcPr>
          <w:p>
            <w:pPr>
              <w:pStyle w:val="17"/>
            </w:pPr>
            <w:r>
              <w:t>征地和拆迁补偿支出</w:t>
            </w:r>
          </w:p>
        </w:tc>
        <w:tc>
          <w:tcPr>
            <w:tcW w:w="1361" w:type="dxa"/>
            <w:vAlign w:val="center"/>
          </w:tcPr>
          <w:p>
            <w:pPr>
              <w:pStyle w:val="16"/>
            </w:pPr>
            <w:r>
              <w:t>11452.25</w:t>
            </w:r>
          </w:p>
        </w:tc>
        <w:tc>
          <w:tcPr>
            <w:tcW w:w="1361" w:type="dxa"/>
            <w:vAlign w:val="center"/>
          </w:tcPr>
          <w:p>
            <w:pPr>
              <w:pStyle w:val="16"/>
            </w:pPr>
          </w:p>
        </w:tc>
        <w:tc>
          <w:tcPr>
            <w:tcW w:w="1361" w:type="dxa"/>
            <w:vAlign w:val="center"/>
          </w:tcPr>
          <w:p>
            <w:pPr>
              <w:pStyle w:val="16"/>
            </w:pPr>
            <w:r>
              <w:t>11452.25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2120802</w:t>
            </w:r>
          </w:p>
        </w:tc>
        <w:tc>
          <w:tcPr>
            <w:tcW w:w="4535" w:type="dxa"/>
            <w:vAlign w:val="center"/>
          </w:tcPr>
          <w:p>
            <w:pPr>
              <w:pStyle w:val="17"/>
            </w:pPr>
            <w:r>
              <w:t>土地开发支出</w:t>
            </w:r>
          </w:p>
        </w:tc>
        <w:tc>
          <w:tcPr>
            <w:tcW w:w="1361" w:type="dxa"/>
            <w:vAlign w:val="center"/>
          </w:tcPr>
          <w:p>
            <w:pPr>
              <w:pStyle w:val="16"/>
            </w:pPr>
            <w:r>
              <w:t>480.77</w:t>
            </w:r>
          </w:p>
        </w:tc>
        <w:tc>
          <w:tcPr>
            <w:tcW w:w="1361" w:type="dxa"/>
            <w:vAlign w:val="center"/>
          </w:tcPr>
          <w:p>
            <w:pPr>
              <w:pStyle w:val="16"/>
            </w:pPr>
          </w:p>
        </w:tc>
        <w:tc>
          <w:tcPr>
            <w:tcW w:w="1361" w:type="dxa"/>
            <w:vAlign w:val="center"/>
          </w:tcPr>
          <w:p>
            <w:pPr>
              <w:pStyle w:val="16"/>
            </w:pPr>
            <w:r>
              <w:t>480.77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2120803</w:t>
            </w:r>
          </w:p>
        </w:tc>
        <w:tc>
          <w:tcPr>
            <w:tcW w:w="4535" w:type="dxa"/>
            <w:vAlign w:val="center"/>
          </w:tcPr>
          <w:p>
            <w:pPr>
              <w:pStyle w:val="17"/>
            </w:pPr>
            <w:r>
              <w:t>城市建设支出</w:t>
            </w:r>
          </w:p>
        </w:tc>
        <w:tc>
          <w:tcPr>
            <w:tcW w:w="1361" w:type="dxa"/>
            <w:vAlign w:val="center"/>
          </w:tcPr>
          <w:p>
            <w:pPr>
              <w:pStyle w:val="16"/>
            </w:pPr>
            <w:r>
              <w:t>27449.60</w:t>
            </w:r>
          </w:p>
        </w:tc>
        <w:tc>
          <w:tcPr>
            <w:tcW w:w="1361" w:type="dxa"/>
            <w:vAlign w:val="center"/>
          </w:tcPr>
          <w:p>
            <w:pPr>
              <w:pStyle w:val="16"/>
            </w:pPr>
          </w:p>
        </w:tc>
        <w:tc>
          <w:tcPr>
            <w:tcW w:w="1361" w:type="dxa"/>
            <w:vAlign w:val="center"/>
          </w:tcPr>
          <w:p>
            <w:pPr>
              <w:pStyle w:val="16"/>
            </w:pPr>
            <w:r>
              <w:t>27449.60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2120805</w:t>
            </w:r>
          </w:p>
        </w:tc>
        <w:tc>
          <w:tcPr>
            <w:tcW w:w="4535" w:type="dxa"/>
            <w:vAlign w:val="center"/>
          </w:tcPr>
          <w:p>
            <w:pPr>
              <w:pStyle w:val="17"/>
            </w:pPr>
            <w:r>
              <w:t>补助被征地农民支出</w:t>
            </w:r>
          </w:p>
        </w:tc>
        <w:tc>
          <w:tcPr>
            <w:tcW w:w="1361" w:type="dxa"/>
            <w:vAlign w:val="center"/>
          </w:tcPr>
          <w:p>
            <w:pPr>
              <w:pStyle w:val="16"/>
            </w:pPr>
            <w:r>
              <w:t>3602.24</w:t>
            </w:r>
          </w:p>
        </w:tc>
        <w:tc>
          <w:tcPr>
            <w:tcW w:w="1361" w:type="dxa"/>
            <w:vAlign w:val="center"/>
          </w:tcPr>
          <w:p>
            <w:pPr>
              <w:pStyle w:val="16"/>
            </w:pPr>
          </w:p>
        </w:tc>
        <w:tc>
          <w:tcPr>
            <w:tcW w:w="1361" w:type="dxa"/>
            <w:vAlign w:val="center"/>
          </w:tcPr>
          <w:p>
            <w:pPr>
              <w:pStyle w:val="16"/>
            </w:pPr>
            <w:r>
              <w:t>3602.24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2120806</w:t>
            </w:r>
          </w:p>
        </w:tc>
        <w:tc>
          <w:tcPr>
            <w:tcW w:w="4535" w:type="dxa"/>
            <w:vAlign w:val="center"/>
          </w:tcPr>
          <w:p>
            <w:pPr>
              <w:pStyle w:val="17"/>
            </w:pPr>
            <w:r>
              <w:t>土地出让业务支出</w:t>
            </w:r>
          </w:p>
        </w:tc>
        <w:tc>
          <w:tcPr>
            <w:tcW w:w="1361" w:type="dxa"/>
            <w:vAlign w:val="center"/>
          </w:tcPr>
          <w:p>
            <w:pPr>
              <w:pStyle w:val="16"/>
            </w:pPr>
            <w:r>
              <w:t>928.50</w:t>
            </w:r>
          </w:p>
        </w:tc>
        <w:tc>
          <w:tcPr>
            <w:tcW w:w="1361" w:type="dxa"/>
            <w:vAlign w:val="center"/>
          </w:tcPr>
          <w:p>
            <w:pPr>
              <w:pStyle w:val="16"/>
            </w:pPr>
          </w:p>
        </w:tc>
        <w:tc>
          <w:tcPr>
            <w:tcW w:w="1361" w:type="dxa"/>
            <w:vAlign w:val="center"/>
          </w:tcPr>
          <w:p>
            <w:pPr>
              <w:pStyle w:val="16"/>
            </w:pPr>
            <w:r>
              <w:t>928.50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32.83</w:t>
            </w:r>
          </w:p>
        </w:tc>
        <w:tc>
          <w:tcPr>
            <w:tcW w:w="1361" w:type="dxa"/>
            <w:vAlign w:val="center"/>
          </w:tcPr>
          <w:p>
            <w:pPr>
              <w:pStyle w:val="16"/>
            </w:pPr>
            <w:r>
              <w:t>32.83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32.83</w:t>
            </w:r>
          </w:p>
        </w:tc>
        <w:tc>
          <w:tcPr>
            <w:tcW w:w="1361" w:type="dxa"/>
            <w:vAlign w:val="center"/>
          </w:tcPr>
          <w:p>
            <w:pPr>
              <w:pStyle w:val="16"/>
            </w:pPr>
            <w:r>
              <w:t>32.83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32.83</w:t>
            </w:r>
          </w:p>
        </w:tc>
        <w:tc>
          <w:tcPr>
            <w:tcW w:w="1361" w:type="dxa"/>
            <w:vAlign w:val="center"/>
          </w:tcPr>
          <w:p>
            <w:pPr>
              <w:pStyle w:val="16"/>
            </w:pPr>
            <w:r>
              <w:t>32.83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2651.75</w:t>
            </w:r>
          </w:p>
        </w:tc>
        <w:tc>
          <w:tcPr>
            <w:tcW w:w="3402" w:type="dxa"/>
            <w:vAlign w:val="center"/>
          </w:tcPr>
          <w:p>
            <w:pPr>
              <w:pStyle w:val="17"/>
            </w:pPr>
            <w:r>
              <w:t>一、一般公共服务支出</w:t>
            </w:r>
          </w:p>
        </w:tc>
        <w:tc>
          <w:tcPr>
            <w:tcW w:w="1474" w:type="dxa"/>
            <w:vAlign w:val="center"/>
          </w:tcPr>
          <w:p>
            <w:pPr>
              <w:pStyle w:val="16"/>
            </w:pPr>
            <w:r>
              <w:t>1241.14</w:t>
            </w:r>
          </w:p>
        </w:tc>
        <w:tc>
          <w:tcPr>
            <w:tcW w:w="1474" w:type="dxa"/>
            <w:vAlign w:val="center"/>
          </w:tcPr>
          <w:p>
            <w:pPr>
              <w:pStyle w:val="16"/>
            </w:pPr>
            <w:r>
              <w:t>1241.14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40626.90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45.51</w:t>
            </w:r>
          </w:p>
        </w:tc>
        <w:tc>
          <w:tcPr>
            <w:tcW w:w="1474" w:type="dxa"/>
            <w:vAlign w:val="center"/>
          </w:tcPr>
          <w:p>
            <w:pPr>
              <w:pStyle w:val="16"/>
            </w:pPr>
            <w:r>
              <w:t>45.51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12.28</w:t>
            </w:r>
          </w:p>
        </w:tc>
        <w:tc>
          <w:tcPr>
            <w:tcW w:w="1474" w:type="dxa"/>
            <w:vAlign w:val="center"/>
          </w:tcPr>
          <w:p>
            <w:pPr>
              <w:pStyle w:val="16"/>
            </w:pPr>
            <w:r>
              <w:t>12.28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45233.36</w:t>
            </w:r>
          </w:p>
        </w:tc>
        <w:tc>
          <w:tcPr>
            <w:tcW w:w="1474" w:type="dxa"/>
            <w:vAlign w:val="center"/>
          </w:tcPr>
          <w:p>
            <w:pPr>
              <w:pStyle w:val="16"/>
            </w:pPr>
            <w:r>
              <w:t>1320.00</w:t>
            </w:r>
          </w:p>
        </w:tc>
        <w:tc>
          <w:tcPr>
            <w:tcW w:w="1474" w:type="dxa"/>
            <w:vAlign w:val="center"/>
          </w:tcPr>
          <w:p>
            <w:pPr>
              <w:pStyle w:val="16"/>
            </w:pPr>
            <w:r>
              <w:t>43913.36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32.83</w:t>
            </w:r>
          </w:p>
        </w:tc>
        <w:tc>
          <w:tcPr>
            <w:tcW w:w="1474" w:type="dxa"/>
            <w:vAlign w:val="center"/>
          </w:tcPr>
          <w:p>
            <w:pPr>
              <w:pStyle w:val="16"/>
            </w:pPr>
            <w:r>
              <w:t>32.83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43278.65</w:t>
            </w:r>
          </w:p>
        </w:tc>
        <w:tc>
          <w:tcPr>
            <w:tcW w:w="3402" w:type="dxa"/>
            <w:vAlign w:val="center"/>
          </w:tcPr>
          <w:p>
            <w:pPr>
              <w:pStyle w:val="19"/>
            </w:pPr>
            <w:r>
              <w:t>本年支出合计</w:t>
            </w:r>
          </w:p>
        </w:tc>
        <w:tc>
          <w:tcPr>
            <w:tcW w:w="1474" w:type="dxa"/>
            <w:vAlign w:val="center"/>
          </w:tcPr>
          <w:p>
            <w:pPr>
              <w:pStyle w:val="20"/>
            </w:pPr>
            <w:r>
              <w:t>46565.12</w:t>
            </w:r>
          </w:p>
        </w:tc>
        <w:tc>
          <w:tcPr>
            <w:tcW w:w="1474" w:type="dxa"/>
            <w:vAlign w:val="center"/>
          </w:tcPr>
          <w:p>
            <w:pPr>
              <w:pStyle w:val="20"/>
            </w:pPr>
            <w:r>
              <w:t>2651.75</w:t>
            </w:r>
          </w:p>
        </w:tc>
        <w:tc>
          <w:tcPr>
            <w:tcW w:w="1474" w:type="dxa"/>
            <w:vAlign w:val="center"/>
          </w:tcPr>
          <w:p>
            <w:pPr>
              <w:pStyle w:val="20"/>
            </w:pPr>
            <w:r>
              <w:t>43913.36</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3286.46</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3286.46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46565.12</w:t>
            </w:r>
          </w:p>
        </w:tc>
        <w:tc>
          <w:tcPr>
            <w:tcW w:w="3402" w:type="dxa"/>
            <w:vAlign w:val="center"/>
          </w:tcPr>
          <w:p>
            <w:pPr>
              <w:pStyle w:val="19"/>
            </w:pPr>
            <w:r>
              <w:t>支出总计</w:t>
            </w:r>
          </w:p>
        </w:tc>
        <w:tc>
          <w:tcPr>
            <w:tcW w:w="1474" w:type="dxa"/>
            <w:vAlign w:val="center"/>
          </w:tcPr>
          <w:p>
            <w:pPr>
              <w:pStyle w:val="20"/>
            </w:pPr>
            <w:r>
              <w:t>46565.12</w:t>
            </w:r>
          </w:p>
        </w:tc>
        <w:tc>
          <w:tcPr>
            <w:tcW w:w="1474" w:type="dxa"/>
            <w:vAlign w:val="center"/>
          </w:tcPr>
          <w:p>
            <w:pPr>
              <w:pStyle w:val="20"/>
            </w:pPr>
            <w:r>
              <w:t>2651.75</w:t>
            </w:r>
          </w:p>
        </w:tc>
        <w:tc>
          <w:tcPr>
            <w:tcW w:w="1474" w:type="dxa"/>
            <w:vAlign w:val="center"/>
          </w:tcPr>
          <w:p>
            <w:pPr>
              <w:pStyle w:val="20"/>
            </w:pPr>
            <w:r>
              <w:t>43913.36</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2651.75</w:t>
            </w:r>
          </w:p>
        </w:tc>
        <w:tc>
          <w:tcPr>
            <w:tcW w:w="2551" w:type="dxa"/>
            <w:vAlign w:val="center"/>
          </w:tcPr>
          <w:p>
            <w:pPr>
              <w:pStyle w:val="20"/>
            </w:pPr>
            <w:r>
              <w:t>1331.75</w:t>
            </w:r>
          </w:p>
        </w:tc>
        <w:tc>
          <w:tcPr>
            <w:tcW w:w="2551" w:type="dxa"/>
            <w:vAlign w:val="center"/>
          </w:tcPr>
          <w:p>
            <w:pPr>
              <w:pStyle w:val="20"/>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1241.14</w:t>
            </w:r>
          </w:p>
        </w:tc>
        <w:tc>
          <w:tcPr>
            <w:tcW w:w="2551" w:type="dxa"/>
            <w:vAlign w:val="center"/>
          </w:tcPr>
          <w:p>
            <w:pPr>
              <w:pStyle w:val="16"/>
            </w:pPr>
            <w:r>
              <w:t>1241.14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1241.14</w:t>
            </w:r>
          </w:p>
        </w:tc>
        <w:tc>
          <w:tcPr>
            <w:tcW w:w="2551" w:type="dxa"/>
            <w:vAlign w:val="center"/>
          </w:tcPr>
          <w:p>
            <w:pPr>
              <w:pStyle w:val="16"/>
            </w:pPr>
            <w:r>
              <w:t>1241.14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1241.14</w:t>
            </w:r>
          </w:p>
        </w:tc>
        <w:tc>
          <w:tcPr>
            <w:tcW w:w="2551" w:type="dxa"/>
            <w:vAlign w:val="center"/>
          </w:tcPr>
          <w:p>
            <w:pPr>
              <w:pStyle w:val="16"/>
            </w:pPr>
            <w:r>
              <w:t>1241.14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45.51</w:t>
            </w:r>
          </w:p>
        </w:tc>
        <w:tc>
          <w:tcPr>
            <w:tcW w:w="2551" w:type="dxa"/>
            <w:vAlign w:val="center"/>
          </w:tcPr>
          <w:p>
            <w:pPr>
              <w:pStyle w:val="16"/>
            </w:pPr>
            <w:r>
              <w:t>45.51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45.51</w:t>
            </w:r>
          </w:p>
        </w:tc>
        <w:tc>
          <w:tcPr>
            <w:tcW w:w="2551" w:type="dxa"/>
            <w:vAlign w:val="center"/>
          </w:tcPr>
          <w:p>
            <w:pPr>
              <w:pStyle w:val="16"/>
            </w:pPr>
            <w:r>
              <w:t>45.51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5.73</w:t>
            </w:r>
          </w:p>
        </w:tc>
        <w:tc>
          <w:tcPr>
            <w:tcW w:w="2551" w:type="dxa"/>
            <w:vAlign w:val="center"/>
          </w:tcPr>
          <w:p>
            <w:pPr>
              <w:pStyle w:val="16"/>
            </w:pPr>
            <w:r>
              <w:t>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39.77</w:t>
            </w:r>
          </w:p>
        </w:tc>
        <w:tc>
          <w:tcPr>
            <w:tcW w:w="2551" w:type="dxa"/>
            <w:vAlign w:val="center"/>
          </w:tcPr>
          <w:p>
            <w:pPr>
              <w:pStyle w:val="16"/>
            </w:pPr>
            <w:r>
              <w:t>39.77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12.28</w:t>
            </w:r>
          </w:p>
        </w:tc>
        <w:tc>
          <w:tcPr>
            <w:tcW w:w="2551" w:type="dxa"/>
            <w:vAlign w:val="center"/>
          </w:tcPr>
          <w:p>
            <w:pPr>
              <w:pStyle w:val="16"/>
            </w:pPr>
            <w:r>
              <w:t>12.28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12.28</w:t>
            </w:r>
          </w:p>
        </w:tc>
        <w:tc>
          <w:tcPr>
            <w:tcW w:w="2551" w:type="dxa"/>
            <w:vAlign w:val="center"/>
          </w:tcPr>
          <w:p>
            <w:pPr>
              <w:pStyle w:val="16"/>
            </w:pPr>
            <w:r>
              <w:t>12.28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12.28</w:t>
            </w:r>
          </w:p>
        </w:tc>
        <w:tc>
          <w:tcPr>
            <w:tcW w:w="2551" w:type="dxa"/>
            <w:vAlign w:val="center"/>
          </w:tcPr>
          <w:p>
            <w:pPr>
              <w:pStyle w:val="16"/>
            </w:pPr>
            <w:r>
              <w:t>12.28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1320.00</w:t>
            </w:r>
          </w:p>
        </w:tc>
        <w:tc>
          <w:tcPr>
            <w:tcW w:w="2551" w:type="dxa"/>
            <w:vAlign w:val="center"/>
          </w:tcPr>
          <w:p>
            <w:pPr>
              <w:pStyle w:val="16"/>
            </w:pPr>
          </w:p>
        </w:tc>
        <w:tc>
          <w:tcPr>
            <w:tcW w:w="2551" w:type="dxa"/>
            <w:vAlign w:val="center"/>
          </w:tcPr>
          <w:p>
            <w:pPr>
              <w:pStyle w:val="16"/>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21203</w:t>
            </w:r>
          </w:p>
        </w:tc>
        <w:tc>
          <w:tcPr>
            <w:tcW w:w="4535" w:type="dxa"/>
            <w:vAlign w:val="center"/>
          </w:tcPr>
          <w:p>
            <w:pPr>
              <w:pStyle w:val="17"/>
            </w:pPr>
            <w:r>
              <w:t>城乡社区公共设施</w:t>
            </w:r>
          </w:p>
        </w:tc>
        <w:tc>
          <w:tcPr>
            <w:tcW w:w="2551" w:type="dxa"/>
            <w:vAlign w:val="center"/>
          </w:tcPr>
          <w:p>
            <w:pPr>
              <w:pStyle w:val="16"/>
            </w:pPr>
            <w:r>
              <w:t>1320.00</w:t>
            </w:r>
          </w:p>
        </w:tc>
        <w:tc>
          <w:tcPr>
            <w:tcW w:w="2551" w:type="dxa"/>
            <w:vAlign w:val="center"/>
          </w:tcPr>
          <w:p>
            <w:pPr>
              <w:pStyle w:val="16"/>
            </w:pPr>
          </w:p>
        </w:tc>
        <w:tc>
          <w:tcPr>
            <w:tcW w:w="2551" w:type="dxa"/>
            <w:vAlign w:val="center"/>
          </w:tcPr>
          <w:p>
            <w:pPr>
              <w:pStyle w:val="16"/>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2120303</w:t>
            </w:r>
          </w:p>
        </w:tc>
        <w:tc>
          <w:tcPr>
            <w:tcW w:w="4535" w:type="dxa"/>
            <w:vAlign w:val="center"/>
          </w:tcPr>
          <w:p>
            <w:pPr>
              <w:pStyle w:val="17"/>
            </w:pPr>
            <w:r>
              <w:t>小城镇基础设施建设</w:t>
            </w:r>
          </w:p>
        </w:tc>
        <w:tc>
          <w:tcPr>
            <w:tcW w:w="2551" w:type="dxa"/>
            <w:vAlign w:val="center"/>
          </w:tcPr>
          <w:p>
            <w:pPr>
              <w:pStyle w:val="16"/>
            </w:pPr>
            <w:r>
              <w:t>1320.00</w:t>
            </w:r>
          </w:p>
        </w:tc>
        <w:tc>
          <w:tcPr>
            <w:tcW w:w="2551" w:type="dxa"/>
            <w:vAlign w:val="center"/>
          </w:tcPr>
          <w:p>
            <w:pPr>
              <w:pStyle w:val="16"/>
            </w:pPr>
          </w:p>
        </w:tc>
        <w:tc>
          <w:tcPr>
            <w:tcW w:w="2551" w:type="dxa"/>
            <w:vAlign w:val="center"/>
          </w:tcPr>
          <w:p>
            <w:pPr>
              <w:pStyle w:val="16"/>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1331.75</w:t>
            </w:r>
          </w:p>
        </w:tc>
        <w:tc>
          <w:tcPr>
            <w:tcW w:w="2551" w:type="dxa"/>
            <w:vAlign w:val="center"/>
          </w:tcPr>
          <w:p>
            <w:pPr>
              <w:pStyle w:val="20"/>
            </w:pPr>
            <w:r>
              <w:t>1282.28</w:t>
            </w:r>
          </w:p>
        </w:tc>
        <w:tc>
          <w:tcPr>
            <w:tcW w:w="2551" w:type="dxa"/>
            <w:vAlign w:val="center"/>
          </w:tcPr>
          <w:p>
            <w:pPr>
              <w:pStyle w:val="20"/>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1276.50</w:t>
            </w:r>
          </w:p>
        </w:tc>
        <w:tc>
          <w:tcPr>
            <w:tcW w:w="2551" w:type="dxa"/>
            <w:vAlign w:val="center"/>
          </w:tcPr>
          <w:p>
            <w:pPr>
              <w:pStyle w:val="16"/>
            </w:pPr>
            <w:r>
              <w:t>1276.50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114.70</w:t>
            </w:r>
          </w:p>
        </w:tc>
        <w:tc>
          <w:tcPr>
            <w:tcW w:w="2551" w:type="dxa"/>
            <w:vAlign w:val="center"/>
          </w:tcPr>
          <w:p>
            <w:pPr>
              <w:pStyle w:val="16"/>
            </w:pPr>
            <w:r>
              <w:t>114.70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118.05</w:t>
            </w:r>
          </w:p>
        </w:tc>
        <w:tc>
          <w:tcPr>
            <w:tcW w:w="2551" w:type="dxa"/>
            <w:vAlign w:val="center"/>
          </w:tcPr>
          <w:p>
            <w:pPr>
              <w:pStyle w:val="16"/>
            </w:pPr>
            <w:r>
              <w:t>118.05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81.02</w:t>
            </w:r>
          </w:p>
        </w:tc>
        <w:tc>
          <w:tcPr>
            <w:tcW w:w="2551" w:type="dxa"/>
            <w:vAlign w:val="center"/>
          </w:tcPr>
          <w:p>
            <w:pPr>
              <w:pStyle w:val="16"/>
            </w:pPr>
            <w:r>
              <w:t>81.02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26.67</w:t>
            </w:r>
          </w:p>
        </w:tc>
        <w:tc>
          <w:tcPr>
            <w:tcW w:w="2551" w:type="dxa"/>
            <w:vAlign w:val="center"/>
          </w:tcPr>
          <w:p>
            <w:pPr>
              <w:pStyle w:val="16"/>
            </w:pPr>
            <w:r>
              <w:t>26.67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39.77</w:t>
            </w:r>
          </w:p>
        </w:tc>
        <w:tc>
          <w:tcPr>
            <w:tcW w:w="2551" w:type="dxa"/>
            <w:vAlign w:val="center"/>
          </w:tcPr>
          <w:p>
            <w:pPr>
              <w:pStyle w:val="16"/>
            </w:pPr>
            <w:r>
              <w:t>39.77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12.12</w:t>
            </w:r>
          </w:p>
        </w:tc>
        <w:tc>
          <w:tcPr>
            <w:tcW w:w="2551" w:type="dxa"/>
            <w:vAlign w:val="center"/>
          </w:tcPr>
          <w:p>
            <w:pPr>
              <w:pStyle w:val="16"/>
            </w:pPr>
            <w:r>
              <w:t>12.12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1.15</w:t>
            </w:r>
          </w:p>
        </w:tc>
        <w:tc>
          <w:tcPr>
            <w:tcW w:w="2551" w:type="dxa"/>
            <w:vAlign w:val="center"/>
          </w:tcPr>
          <w:p>
            <w:pPr>
              <w:pStyle w:val="16"/>
            </w:pPr>
            <w:r>
              <w:t>1.15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32.83</w:t>
            </w:r>
          </w:p>
        </w:tc>
        <w:tc>
          <w:tcPr>
            <w:tcW w:w="2551" w:type="dxa"/>
            <w:vAlign w:val="center"/>
          </w:tcPr>
          <w:p>
            <w:pPr>
              <w:pStyle w:val="16"/>
            </w:pPr>
            <w:r>
              <w:t>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850.18</w:t>
            </w:r>
          </w:p>
        </w:tc>
        <w:tc>
          <w:tcPr>
            <w:tcW w:w="2551" w:type="dxa"/>
            <w:vAlign w:val="center"/>
          </w:tcPr>
          <w:p>
            <w:pPr>
              <w:pStyle w:val="16"/>
            </w:pPr>
            <w:r>
              <w:t>850.18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49.47</w:t>
            </w:r>
          </w:p>
        </w:tc>
        <w:tc>
          <w:tcPr>
            <w:tcW w:w="2551" w:type="dxa"/>
            <w:vAlign w:val="center"/>
          </w:tcPr>
          <w:p>
            <w:pPr>
              <w:pStyle w:val="16"/>
            </w:pPr>
          </w:p>
        </w:tc>
        <w:tc>
          <w:tcPr>
            <w:tcW w:w="2551" w:type="dxa"/>
            <w:vAlign w:val="center"/>
          </w:tcPr>
          <w:p>
            <w:pPr>
              <w:pStyle w:val="16"/>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5.62</w:t>
            </w:r>
          </w:p>
        </w:tc>
        <w:tc>
          <w:tcPr>
            <w:tcW w:w="2551" w:type="dxa"/>
            <w:vAlign w:val="center"/>
          </w:tcPr>
          <w:p>
            <w:pPr>
              <w:pStyle w:val="16"/>
            </w:pPr>
          </w:p>
        </w:tc>
        <w:tc>
          <w:tcPr>
            <w:tcW w:w="2551" w:type="dxa"/>
            <w:vAlign w:val="center"/>
          </w:tcPr>
          <w:p>
            <w:pPr>
              <w:pStyle w:val="16"/>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0.83</w:t>
            </w:r>
          </w:p>
        </w:tc>
        <w:tc>
          <w:tcPr>
            <w:tcW w:w="2551" w:type="dxa"/>
            <w:vAlign w:val="center"/>
          </w:tcPr>
          <w:p>
            <w:pPr>
              <w:pStyle w:val="16"/>
            </w:pPr>
          </w:p>
        </w:tc>
        <w:tc>
          <w:tcPr>
            <w:tcW w:w="2551" w:type="dxa"/>
            <w:vAlign w:val="center"/>
          </w:tcPr>
          <w:p>
            <w:pPr>
              <w:pStyle w:val="16"/>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2.34</w:t>
            </w:r>
          </w:p>
        </w:tc>
        <w:tc>
          <w:tcPr>
            <w:tcW w:w="2551" w:type="dxa"/>
            <w:vAlign w:val="center"/>
          </w:tcPr>
          <w:p>
            <w:pPr>
              <w:pStyle w:val="16"/>
            </w:pPr>
          </w:p>
        </w:tc>
        <w:tc>
          <w:tcPr>
            <w:tcW w:w="2551" w:type="dxa"/>
            <w:vAlign w:val="center"/>
          </w:tcPr>
          <w:p>
            <w:pPr>
              <w:pStyle w:val="16"/>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13.60</w:t>
            </w:r>
          </w:p>
        </w:tc>
        <w:tc>
          <w:tcPr>
            <w:tcW w:w="2551" w:type="dxa"/>
            <w:vAlign w:val="center"/>
          </w:tcPr>
          <w:p>
            <w:pPr>
              <w:pStyle w:val="16"/>
            </w:pPr>
          </w:p>
        </w:tc>
        <w:tc>
          <w:tcPr>
            <w:tcW w:w="2551" w:type="dxa"/>
            <w:vAlign w:val="center"/>
          </w:tcPr>
          <w:p>
            <w:pPr>
              <w:pStyle w:val="16"/>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1.51</w:t>
            </w:r>
          </w:p>
        </w:tc>
        <w:tc>
          <w:tcPr>
            <w:tcW w:w="2551" w:type="dxa"/>
            <w:vAlign w:val="center"/>
          </w:tcPr>
          <w:p>
            <w:pPr>
              <w:pStyle w:val="16"/>
            </w:pPr>
          </w:p>
        </w:tc>
        <w:tc>
          <w:tcPr>
            <w:tcW w:w="2551" w:type="dxa"/>
            <w:vAlign w:val="center"/>
          </w:tcPr>
          <w:p>
            <w:pPr>
              <w:pStyle w:val="16"/>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5.41</w:t>
            </w:r>
          </w:p>
        </w:tc>
        <w:tc>
          <w:tcPr>
            <w:tcW w:w="2551" w:type="dxa"/>
            <w:vAlign w:val="center"/>
          </w:tcPr>
          <w:p>
            <w:pPr>
              <w:pStyle w:val="16"/>
            </w:pPr>
          </w:p>
        </w:tc>
        <w:tc>
          <w:tcPr>
            <w:tcW w:w="2551" w:type="dxa"/>
            <w:vAlign w:val="center"/>
          </w:tcPr>
          <w:p>
            <w:pPr>
              <w:pStyle w:val="16"/>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0.42</w:t>
            </w:r>
          </w:p>
        </w:tc>
        <w:tc>
          <w:tcPr>
            <w:tcW w:w="2551" w:type="dxa"/>
            <w:vAlign w:val="center"/>
          </w:tcPr>
          <w:p>
            <w:pPr>
              <w:pStyle w:val="16"/>
            </w:pPr>
          </w:p>
        </w:tc>
        <w:tc>
          <w:tcPr>
            <w:tcW w:w="2551"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2.32</w:t>
            </w:r>
          </w:p>
        </w:tc>
        <w:tc>
          <w:tcPr>
            <w:tcW w:w="2551" w:type="dxa"/>
            <w:vAlign w:val="center"/>
          </w:tcPr>
          <w:p>
            <w:pPr>
              <w:pStyle w:val="16"/>
            </w:pPr>
          </w:p>
        </w:tc>
        <w:tc>
          <w:tcPr>
            <w:tcW w:w="2551" w:type="dxa"/>
            <w:vAlign w:val="center"/>
          </w:tcPr>
          <w:p>
            <w:pPr>
              <w:pStyle w:val="16"/>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2.11</w:t>
            </w:r>
          </w:p>
        </w:tc>
        <w:tc>
          <w:tcPr>
            <w:tcW w:w="2551" w:type="dxa"/>
            <w:vAlign w:val="center"/>
          </w:tcPr>
          <w:p>
            <w:pPr>
              <w:pStyle w:val="16"/>
            </w:pPr>
          </w:p>
        </w:tc>
        <w:tc>
          <w:tcPr>
            <w:tcW w:w="2551" w:type="dxa"/>
            <w:vAlign w:val="center"/>
          </w:tcPr>
          <w:p>
            <w:pPr>
              <w:pStyle w:val="16"/>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12.42</w:t>
            </w:r>
          </w:p>
        </w:tc>
        <w:tc>
          <w:tcPr>
            <w:tcW w:w="2551" w:type="dxa"/>
            <w:vAlign w:val="center"/>
          </w:tcPr>
          <w:p>
            <w:pPr>
              <w:pStyle w:val="16"/>
            </w:pPr>
          </w:p>
        </w:tc>
        <w:tc>
          <w:tcPr>
            <w:tcW w:w="2551" w:type="dxa"/>
            <w:vAlign w:val="center"/>
          </w:tcPr>
          <w:p>
            <w:pPr>
              <w:pStyle w:val="16"/>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5.78</w:t>
            </w:r>
          </w:p>
        </w:tc>
        <w:tc>
          <w:tcPr>
            <w:tcW w:w="2551" w:type="dxa"/>
            <w:vAlign w:val="center"/>
          </w:tcPr>
          <w:p>
            <w:pPr>
              <w:pStyle w:val="16"/>
            </w:pPr>
            <w:r>
              <w:t>5.78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5.73</w:t>
            </w:r>
          </w:p>
        </w:tc>
        <w:tc>
          <w:tcPr>
            <w:tcW w:w="2551" w:type="dxa"/>
            <w:vAlign w:val="center"/>
          </w:tcPr>
          <w:p>
            <w:pPr>
              <w:pStyle w:val="16"/>
            </w:pPr>
            <w:r>
              <w:t>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43913.36</w:t>
            </w:r>
          </w:p>
        </w:tc>
        <w:tc>
          <w:tcPr>
            <w:tcW w:w="2551" w:type="dxa"/>
            <w:vAlign w:val="center"/>
          </w:tcPr>
          <w:p>
            <w:pPr>
              <w:pStyle w:val="20"/>
            </w:pPr>
          </w:p>
        </w:tc>
        <w:tc>
          <w:tcPr>
            <w:tcW w:w="2551" w:type="dxa"/>
            <w:vAlign w:val="center"/>
          </w:tcPr>
          <w:p>
            <w:pPr>
              <w:pStyle w:val="20"/>
            </w:pPr>
            <w:r>
              <w:t>43913.36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43913.36</w:t>
            </w:r>
          </w:p>
        </w:tc>
        <w:tc>
          <w:tcPr>
            <w:tcW w:w="2551" w:type="dxa"/>
            <w:vAlign w:val="center"/>
          </w:tcPr>
          <w:p>
            <w:pPr>
              <w:pStyle w:val="16"/>
            </w:pPr>
          </w:p>
        </w:tc>
        <w:tc>
          <w:tcPr>
            <w:tcW w:w="2551" w:type="dxa"/>
            <w:vAlign w:val="center"/>
          </w:tcPr>
          <w:p>
            <w:pPr>
              <w:pStyle w:val="16"/>
            </w:pPr>
            <w:r>
              <w:t>43913.36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43913.36</w:t>
            </w:r>
          </w:p>
        </w:tc>
        <w:tc>
          <w:tcPr>
            <w:tcW w:w="2551" w:type="dxa"/>
            <w:vAlign w:val="center"/>
          </w:tcPr>
          <w:p>
            <w:pPr>
              <w:pStyle w:val="16"/>
            </w:pPr>
          </w:p>
        </w:tc>
        <w:tc>
          <w:tcPr>
            <w:tcW w:w="2551" w:type="dxa"/>
            <w:vAlign w:val="center"/>
          </w:tcPr>
          <w:p>
            <w:pPr>
              <w:pStyle w:val="16"/>
            </w:pPr>
            <w:r>
              <w:t>43913.36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2120801</w:t>
            </w:r>
          </w:p>
        </w:tc>
        <w:tc>
          <w:tcPr>
            <w:tcW w:w="4535" w:type="dxa"/>
            <w:vAlign w:val="center"/>
          </w:tcPr>
          <w:p>
            <w:pPr>
              <w:pStyle w:val="17"/>
            </w:pPr>
            <w:r>
              <w:t>征地和拆迁补偿支出</w:t>
            </w:r>
          </w:p>
        </w:tc>
        <w:tc>
          <w:tcPr>
            <w:tcW w:w="2551" w:type="dxa"/>
            <w:vAlign w:val="center"/>
          </w:tcPr>
          <w:p>
            <w:pPr>
              <w:pStyle w:val="16"/>
            </w:pPr>
            <w:r>
              <w:t>11452.25</w:t>
            </w:r>
          </w:p>
        </w:tc>
        <w:tc>
          <w:tcPr>
            <w:tcW w:w="2551" w:type="dxa"/>
            <w:vAlign w:val="center"/>
          </w:tcPr>
          <w:p>
            <w:pPr>
              <w:pStyle w:val="16"/>
            </w:pPr>
          </w:p>
        </w:tc>
        <w:tc>
          <w:tcPr>
            <w:tcW w:w="2551" w:type="dxa"/>
            <w:vAlign w:val="center"/>
          </w:tcPr>
          <w:p>
            <w:pPr>
              <w:pStyle w:val="16"/>
            </w:pPr>
            <w:r>
              <w:t>11452.25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2120802</w:t>
            </w:r>
          </w:p>
        </w:tc>
        <w:tc>
          <w:tcPr>
            <w:tcW w:w="4535" w:type="dxa"/>
            <w:vAlign w:val="center"/>
          </w:tcPr>
          <w:p>
            <w:pPr>
              <w:pStyle w:val="17"/>
            </w:pPr>
            <w:r>
              <w:t>土地开发支出</w:t>
            </w:r>
          </w:p>
        </w:tc>
        <w:tc>
          <w:tcPr>
            <w:tcW w:w="2551" w:type="dxa"/>
            <w:vAlign w:val="center"/>
          </w:tcPr>
          <w:p>
            <w:pPr>
              <w:pStyle w:val="16"/>
            </w:pPr>
            <w:r>
              <w:t>480.77</w:t>
            </w:r>
          </w:p>
        </w:tc>
        <w:tc>
          <w:tcPr>
            <w:tcW w:w="2551" w:type="dxa"/>
            <w:vAlign w:val="center"/>
          </w:tcPr>
          <w:p>
            <w:pPr>
              <w:pStyle w:val="16"/>
            </w:pPr>
          </w:p>
        </w:tc>
        <w:tc>
          <w:tcPr>
            <w:tcW w:w="2551" w:type="dxa"/>
            <w:vAlign w:val="center"/>
          </w:tcPr>
          <w:p>
            <w:pPr>
              <w:pStyle w:val="16"/>
            </w:pPr>
            <w:r>
              <w:t>480.77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2120803</w:t>
            </w:r>
          </w:p>
        </w:tc>
        <w:tc>
          <w:tcPr>
            <w:tcW w:w="4535" w:type="dxa"/>
            <w:vAlign w:val="center"/>
          </w:tcPr>
          <w:p>
            <w:pPr>
              <w:pStyle w:val="17"/>
            </w:pPr>
            <w:r>
              <w:t>城市建设支出</w:t>
            </w:r>
          </w:p>
        </w:tc>
        <w:tc>
          <w:tcPr>
            <w:tcW w:w="2551" w:type="dxa"/>
            <w:vAlign w:val="center"/>
          </w:tcPr>
          <w:p>
            <w:pPr>
              <w:pStyle w:val="16"/>
            </w:pPr>
            <w:r>
              <w:t>27449.60</w:t>
            </w:r>
          </w:p>
        </w:tc>
        <w:tc>
          <w:tcPr>
            <w:tcW w:w="2551" w:type="dxa"/>
            <w:vAlign w:val="center"/>
          </w:tcPr>
          <w:p>
            <w:pPr>
              <w:pStyle w:val="16"/>
            </w:pPr>
          </w:p>
        </w:tc>
        <w:tc>
          <w:tcPr>
            <w:tcW w:w="2551" w:type="dxa"/>
            <w:vAlign w:val="center"/>
          </w:tcPr>
          <w:p>
            <w:pPr>
              <w:pStyle w:val="16"/>
            </w:pPr>
            <w:r>
              <w:t>27449.60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2120805</w:t>
            </w:r>
          </w:p>
        </w:tc>
        <w:tc>
          <w:tcPr>
            <w:tcW w:w="4535" w:type="dxa"/>
            <w:vAlign w:val="center"/>
          </w:tcPr>
          <w:p>
            <w:pPr>
              <w:pStyle w:val="17"/>
            </w:pPr>
            <w:r>
              <w:t>补助被征地农民支出</w:t>
            </w:r>
          </w:p>
        </w:tc>
        <w:tc>
          <w:tcPr>
            <w:tcW w:w="2551" w:type="dxa"/>
            <w:vAlign w:val="center"/>
          </w:tcPr>
          <w:p>
            <w:pPr>
              <w:pStyle w:val="16"/>
            </w:pPr>
            <w:r>
              <w:t>3602.24</w:t>
            </w:r>
          </w:p>
        </w:tc>
        <w:tc>
          <w:tcPr>
            <w:tcW w:w="2551" w:type="dxa"/>
            <w:vAlign w:val="center"/>
          </w:tcPr>
          <w:p>
            <w:pPr>
              <w:pStyle w:val="16"/>
            </w:pPr>
          </w:p>
        </w:tc>
        <w:tc>
          <w:tcPr>
            <w:tcW w:w="2551" w:type="dxa"/>
            <w:vAlign w:val="center"/>
          </w:tcPr>
          <w:p>
            <w:pPr>
              <w:pStyle w:val="16"/>
            </w:pPr>
            <w:r>
              <w:t>3602.24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2120806</w:t>
            </w:r>
          </w:p>
        </w:tc>
        <w:tc>
          <w:tcPr>
            <w:tcW w:w="4535" w:type="dxa"/>
            <w:vAlign w:val="center"/>
          </w:tcPr>
          <w:p>
            <w:pPr>
              <w:pStyle w:val="17"/>
            </w:pPr>
            <w:r>
              <w:t>土地出让业务支出</w:t>
            </w:r>
          </w:p>
        </w:tc>
        <w:tc>
          <w:tcPr>
            <w:tcW w:w="2551" w:type="dxa"/>
            <w:vAlign w:val="center"/>
          </w:tcPr>
          <w:p>
            <w:pPr>
              <w:pStyle w:val="16"/>
            </w:pPr>
            <w:r>
              <w:t>928.50</w:t>
            </w:r>
          </w:p>
        </w:tc>
        <w:tc>
          <w:tcPr>
            <w:tcW w:w="2551" w:type="dxa"/>
            <w:vAlign w:val="center"/>
          </w:tcPr>
          <w:p>
            <w:pPr>
              <w:pStyle w:val="16"/>
            </w:pPr>
          </w:p>
        </w:tc>
        <w:tc>
          <w:tcPr>
            <w:tcW w:w="2551" w:type="dxa"/>
            <w:vAlign w:val="center"/>
          </w:tcPr>
          <w:p>
            <w:pPr>
              <w:pStyle w:val="16"/>
            </w:pPr>
            <w:r>
              <w:t>928.50</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河北廊坊广阳经济开发区管理委员会2023年部门预算信息公开情况说明</w:t>
      </w:r>
    </w:p>
    <w:p>
      <w:pPr>
        <w:jc w:val="center"/>
      </w:pPr>
      <w:r>
        <w:rPr>
          <w:rFonts w:ascii="方正小标宋_GBK" w:hAnsi="方正小标宋_GBK" w:eastAsia="方正小标宋_GBK" w:cs="方正小标宋_GBK"/>
          <w:color w:val="000000"/>
          <w:sz w:val="44"/>
        </w:rPr>
        <w:t>河北廊坊广阳经济开发区管理委员会2023年部门预算信息公开情况说明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预算法》、《地方预决算公开操作规程》和《关于进一步推进预算公开工作的实施意见》规定，现将河北廊坊广阳经济开发区管理委员会2023年部门预算公开如下：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（一）政务服务</w:t>
      </w:r>
    </w:p>
    <w:p>
      <w:pPr>
        <w:pStyle w:val="22"/>
      </w:pPr>
      <w:r>
        <w:t>职责描述：经开区管委会做好政务公开、督察督办、政务联络等工作。以突出政务、加强事务、提升服务为准则，力求重点工作出精品，难点工作求突破、基础工作有创新、常规工作见特色。以机关干部作风量化指标为依据，增强工作的综合服务实力。</w:t>
      </w:r>
    </w:p>
    <w:p>
      <w:pPr>
        <w:pStyle w:val="22"/>
      </w:pPr>
      <w:r>
        <w:t>（二）政府办公室政务管理</w:t>
      </w:r>
    </w:p>
    <w:p>
      <w:pPr>
        <w:pStyle w:val="22"/>
      </w:pPr>
      <w:r>
        <w:t>职责描述：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pPr>
        <w:pStyle w:val="22"/>
      </w:pPr>
      <w:r>
        <w:t>（三）环境监测与监察</w:t>
      </w:r>
    </w:p>
    <w:p>
      <w:pPr>
        <w:pStyle w:val="22"/>
      </w:pPr>
      <w:r>
        <w:t>职责描述：经开区管委会开展环境要素的监测与综合分析评价，提高环境监测和预警能力，加大环境监管力度，完善环境基本公共服务体系建设。</w:t>
      </w:r>
    </w:p>
    <w:p>
      <w:pPr>
        <w:pStyle w:val="22"/>
      </w:pPr>
      <w:r>
        <w:t>（四）组织安全生产综合监督管理</w:t>
      </w:r>
    </w:p>
    <w:p>
      <w:pPr>
        <w:pStyle w:val="22"/>
      </w:pPr>
      <w:r>
        <w:t>职责描述：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pPr>
        <w:pStyle w:val="22"/>
      </w:pPr>
      <w:r>
        <w:t>（五）对外贸易管理</w:t>
      </w:r>
    </w:p>
    <w:p>
      <w:pPr>
        <w:pStyle w:val="22"/>
      </w:pPr>
      <w:r>
        <w:t>职责描述：促进对外贸易稳定增长，优化产品结构。完成县政府下达的外贸进出口指标。</w:t>
      </w:r>
    </w:p>
    <w:p>
      <w:pPr>
        <w:pStyle w:val="22"/>
      </w:pPr>
      <w:r>
        <w:t>年度绩效目标：通过开展“主体招商活动”，瞄准重点区域、重点客商和商务机构，推动和引领全县做好招商工作。突出引进战略投资者，力争在重点产业引进一批战略支撑项目、龙头企业和协力配套企业。</w:t>
      </w:r>
    </w:p>
    <w:p>
      <w:pPr>
        <w:pStyle w:val="22"/>
      </w:pPr>
      <w:r>
        <w:t>（六）促进区域经济发展</w:t>
      </w:r>
    </w:p>
    <w:p>
      <w:pPr>
        <w:pStyle w:val="22"/>
      </w:pPr>
      <w:r>
        <w:t>职责描述：研究提出区域经济协调发展、加快城镇化发展的政策建议；负责区域经济合作统筹协调。</w:t>
      </w:r>
    </w:p>
    <w:p>
      <w:pPr>
        <w:pStyle w:val="22"/>
      </w:pPr>
      <w:r>
        <w:t>（七）土地储备征收开发管理</w:t>
      </w:r>
    </w:p>
    <w:p>
      <w:pPr>
        <w:pStyle w:val="22"/>
      </w:pPr>
      <w:r>
        <w:t>职责描述：负责规划区内的土地开发、开发管理。完成年度土地收购储备计划、供地计划；进一步提高土地供应效率，加快土地出让速度，扩大土地出让规模，实现政府收益最大化。</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河北廊坊广阳经济开发区管理委员会本级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按照预算管理有关规定，目前我区部门预算的编制实行综合预算管理，即全部收入和支出都反映在预算中。河北廊坊广阳经济开发区管理委员会机关及所属事业单位的收支包含在部门预算中。</w:t>
      </w:r>
    </w:p>
    <w:p>
      <w:pPr>
        <w:pStyle w:val="23"/>
      </w:pPr>
      <w:r>
        <w:t>1、收入说明</w:t>
      </w:r>
    </w:p>
    <w:p>
      <w:pPr>
        <w:pStyle w:val="23"/>
      </w:pPr>
      <w:r>
        <w:t>反映本部门当年全部收入，2023年预算收入46565.12万元，其中：一般公共预算收入2651.75万元，基金预算收入40626.9万元，财政专户核拨收入0万元，其他来源收入0万元，上年结转3286.46万元。</w:t>
      </w:r>
    </w:p>
    <w:p>
      <w:pPr>
        <w:pStyle w:val="23"/>
      </w:pPr>
      <w:r>
        <w:t>2、支出说明</w:t>
      </w:r>
    </w:p>
    <w:p>
      <w:pPr>
        <w:pStyle w:val="23"/>
      </w:pPr>
      <w:r>
        <w:t>收支预算总表支出栏、基本支出表、项目支出表按经济分类和支出功能分类科目编制，反映河北廊坊市广阳区经济开发区管理委员会2023年度部门预算中支出预算的总体情况。2023年支出预算46565.12万元，其中：基本支出1331.75万元，包括人员经费1282.28万元和日常公用经费49.47万元；项目支出45233.36万元，全部为本级支出，主要为补助被征地农民资金（社保费、风险基金等）、土地开发支出资金、征地和拆迁补偿资金、建设发展公司注册资金等项目。</w:t>
      </w:r>
    </w:p>
    <w:p>
      <w:pPr>
        <w:pStyle w:val="23"/>
      </w:pPr>
      <w:r>
        <w:t>3、比上年增减情况</w:t>
      </w:r>
    </w:p>
    <w:p>
      <w:pPr>
        <w:pStyle w:val="23"/>
      </w:pPr>
      <w:r>
        <w:t>2023年预算收支安排46565.12万元，较2022年预算增加1039.83万元，其中：基本支出增加408.09万元，增加原因主要为人员经费支出增加；项目支出增加631.73万元，增加原因主要为经开区建设发展公司注册资本金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2023年，我部门运行经费共计安排49.47万元，主要用于办公区的日常维修、办公费用、办公用房水电费、办公用房取暖费、邮电费、差旅费、办公用房物业管理费、公务用车运行维护费等日常运行支出。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0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经开区将在区委区政府的正确领导下，以经济建设为导向，以务实高效</w:t>
      </w:r>
      <w:r>
        <w:rPr>
          <w:rFonts w:hint="eastAsia"/>
          <w:lang w:eastAsia="zh-CN"/>
        </w:rPr>
        <w:t>为己任</w:t>
      </w:r>
      <w:r>
        <w:t>，以加快发展为目标，勇于担当实干，继续深入完善包联机制，重点抓好招商引资、项目建设、基础设施、大气污染治理、等各项工作。</w:t>
      </w:r>
    </w:p>
    <w:p>
      <w:pPr>
        <w:pStyle w:val="26"/>
      </w:pPr>
      <w:r>
        <w:t>以只争朝夕的紧迫感和担当实干的使命感，把“企业服好务，项目不耽误。不为不办找理由，只为办好想办法”的理念贯彻始终，真抓实干、勇于担当，有效应对挑战，逐项破解难题，重点抓好招商引资、项目建设、基础设施、调区扩区、环境治理、安全生产等工作。</w:t>
      </w:r>
    </w:p>
    <w:p>
      <w:pPr>
        <w:spacing w:line="500" w:lineRule="exact"/>
        <w:ind w:firstLine="560"/>
      </w:pPr>
      <w:r>
        <w:rPr>
          <w:rFonts w:eastAsia="方正仿宋_GBK"/>
          <w:color w:val="000000"/>
          <w:sz w:val="28"/>
        </w:rPr>
        <w:t>（二）分项绩效目标</w:t>
      </w:r>
    </w:p>
    <w:p>
      <w:pPr>
        <w:pStyle w:val="27"/>
      </w:pPr>
      <w:r>
        <w:t>1、政务服务</w:t>
      </w:r>
    </w:p>
    <w:p>
      <w:pPr>
        <w:pStyle w:val="27"/>
      </w:pPr>
      <w:r>
        <w:t>绩效目标：进一步提升政务服务</w:t>
      </w:r>
    </w:p>
    <w:p>
      <w:pPr>
        <w:pStyle w:val="27"/>
      </w:pPr>
      <w:r>
        <w:t>绩效指标：通过完成管委会政务信息公开工作的指导监督工作，使管委会信息公开业务队伍素质不断提高，业务水平进一步提升；政府政务信息公开范围不断扩大，公开内容得到进一步细化。</w:t>
      </w:r>
    </w:p>
    <w:p>
      <w:pPr>
        <w:pStyle w:val="27"/>
      </w:pPr>
      <w:r>
        <w:t>2、政府办公室政务管理</w:t>
      </w:r>
    </w:p>
    <w:p>
      <w:pPr>
        <w:pStyle w:val="27"/>
      </w:pPr>
      <w:r>
        <w:t>绩效目标：加强政府办公室政务管理</w:t>
      </w:r>
    </w:p>
    <w:p>
      <w:pPr>
        <w:pStyle w:val="27"/>
      </w:pPr>
      <w:r>
        <w:t>绩效指标：协助领导组织起草或审核的公文；组织起草领导重要讲话及其他重要文稿；组织专题调研；开发区会议的准备和服务工作，协助管委会领导组织会议决定事项的落实；承办领导交办的其他事项。</w:t>
      </w:r>
    </w:p>
    <w:p>
      <w:pPr>
        <w:pStyle w:val="27"/>
      </w:pPr>
      <w:r>
        <w:t>3、环境监测与监察</w:t>
      </w:r>
    </w:p>
    <w:p>
      <w:pPr>
        <w:pStyle w:val="27"/>
      </w:pPr>
      <w:r>
        <w:t>绩效目标：加强环境监测与监察</w:t>
      </w:r>
    </w:p>
    <w:p>
      <w:pPr>
        <w:pStyle w:val="27"/>
      </w:pPr>
      <w:r>
        <w:t>绩效指标：加强开发区环境整体质量改进，确保不发生环境安全事故。加强环境行政监察，排污费管理、纠纷调查处理。</w:t>
      </w:r>
    </w:p>
    <w:p>
      <w:pPr>
        <w:pStyle w:val="27"/>
      </w:pPr>
      <w:r>
        <w:t>4、安全生产综合监督管理</w:t>
      </w:r>
    </w:p>
    <w:p>
      <w:pPr>
        <w:pStyle w:val="27"/>
      </w:pPr>
      <w:r>
        <w:t>绩效目标：组织安全生产综合监督活动</w:t>
      </w:r>
    </w:p>
    <w:p>
      <w:pPr>
        <w:pStyle w:val="27"/>
      </w:pPr>
      <w:r>
        <w:t>绩效指标：通过督导检查域内企业安全生产，最大限度地发现、纠正、督促企业消除各类隐患，预防和减少事故的发生，确保开发区安全生产形势持续稳定好。</w:t>
      </w:r>
    </w:p>
    <w:p>
      <w:pPr>
        <w:pStyle w:val="27"/>
      </w:pPr>
      <w:r>
        <w:t>5、对外贸易管理</w:t>
      </w:r>
    </w:p>
    <w:p>
      <w:pPr>
        <w:pStyle w:val="27"/>
      </w:pPr>
      <w:r>
        <w:t>绩效目标：加强对外贸易管理</w:t>
      </w:r>
    </w:p>
    <w:p>
      <w:pPr>
        <w:pStyle w:val="27"/>
      </w:pPr>
      <w:r>
        <w:t>绩效指标：通过开展“主体招商活动”，瞄准重点区域、重点客商和商务机构，推动和引领全县做好招商工作。突出引进战略投资者，力争在重点产业引进一批战略支撑项目、龙头企业和协力配套企业。</w:t>
      </w:r>
    </w:p>
    <w:p>
      <w:pPr>
        <w:pStyle w:val="27"/>
      </w:pPr>
      <w:r>
        <w:t>6、促进区域经济发展</w:t>
      </w:r>
    </w:p>
    <w:p>
      <w:pPr>
        <w:pStyle w:val="27"/>
      </w:pPr>
      <w:r>
        <w:t>绩效目标：促进区域经济发展</w:t>
      </w:r>
    </w:p>
    <w:p>
      <w:pPr>
        <w:pStyle w:val="27"/>
      </w:pPr>
      <w:r>
        <w:t>绩效指标：配合国家首都经济圈发展规划，做好与国家规划的有效衔接；组织争取国家政策、资金等支持。与北京、天津开展战略合作，推动合作协议的落实，深化拓展合作领域，实质性推动一批重大合作事项进展。</w:t>
      </w:r>
    </w:p>
    <w:p>
      <w:pPr>
        <w:pStyle w:val="27"/>
      </w:pPr>
      <w:r>
        <w:t>7、土地储备征收开发管理</w:t>
      </w:r>
    </w:p>
    <w:p>
      <w:pPr>
        <w:pStyle w:val="27"/>
      </w:pPr>
      <w:r>
        <w:t>绩效目标：土地储备征收开发管理</w:t>
      </w:r>
    </w:p>
    <w:p>
      <w:pPr>
        <w:pStyle w:val="27"/>
      </w:pPr>
      <w:r>
        <w:t>绩效指标：开展新增地、棚改项目用地、存量土地征地、收储等工作。实现土地收储，确保完成年度土地收储计划，做好土地征收赔偿等工作。</w:t>
      </w:r>
    </w:p>
    <w:p>
      <w:pPr>
        <w:spacing w:line="500" w:lineRule="exact"/>
        <w:ind w:firstLine="560"/>
      </w:pPr>
      <w:r>
        <w:rPr>
          <w:rFonts w:eastAsia="方正仿宋_GBK"/>
          <w:color w:val="000000"/>
          <w:sz w:val="28"/>
        </w:rPr>
        <w:t>（三）工作保障措施</w:t>
      </w:r>
    </w:p>
    <w:p>
      <w:pPr>
        <w:pStyle w:val="28"/>
      </w:pPr>
      <w:r>
        <w:t xml:space="preserve">1、强化预算执行进度管理的激励约束。按月分析预算执行情况,认真剖析影响预算支出执行进度的主要原因,研究对策,加快支出,加强财政支出的激励约束,加强考核和监控将年度预算编制与本年度预算执行情况进行挂钩,把预算执行作为部门预算安排的重要参考依据。  </w:t>
      </w:r>
    </w:p>
    <w:p>
      <w:pPr>
        <w:pStyle w:val="28"/>
      </w:pPr>
      <w:r>
        <w:t>2、加强日常监控工作。定期对部门的绩效目标运行情况进行跟踪管理和监督检查,掌握绩效目标进展、资金支出进度、项目实施情况等,促进绩效目标的顺利实现。</w:t>
      </w:r>
    </w:p>
    <w:p>
      <w:pPr>
        <w:pStyle w:val="28"/>
      </w:pPr>
      <w:r>
        <w:t>3、进一步优化项目指标，注重其科学性、实用性、可实现性和可操作性，既要关注部门的工作目标，也要考虑到受众者的体验和感受，做到相互补充、科学科学。</w:t>
      </w:r>
    </w:p>
    <w:p>
      <w:pPr>
        <w:pStyle w:val="28"/>
      </w:pPr>
      <w:r>
        <w:t>4、进一步建立健全预算管理和专项资金管理制度，加强资金监管，明确工作责任，提升工作积极性，促进项目预算的有序进行。</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709"/>
        <w:gridCol w:w="2126"/>
        <w:gridCol w:w="3828"/>
        <w:gridCol w:w="3402"/>
        <w:gridCol w:w="708"/>
        <w:gridCol w:w="709"/>
        <w:gridCol w:w="1418"/>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12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8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3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126" w:type="dxa"/>
            <w:vMerge w:val="continue"/>
            <w:shd w:val="clear" w:color="auto" w:fill="auto"/>
            <w:vAlign w:val="center"/>
          </w:tcPr>
          <w:p>
            <w:pPr>
              <w:rPr>
                <w:rFonts w:ascii="方正书宋_GBK" w:hAnsi="宋体" w:eastAsia="方正书宋_GBK" w:cs="宋体"/>
                <w:b/>
                <w:bCs/>
                <w:color w:val="000000"/>
              </w:rPr>
            </w:pPr>
          </w:p>
        </w:tc>
        <w:tc>
          <w:tcPr>
            <w:tcW w:w="3828"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41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348"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保障人数</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每未完成</w:t>
            </w:r>
            <w:r>
              <w:rPr>
                <w:rStyle w:val="35"/>
                <w:rFonts w:eastAsia="仿宋_GB2312"/>
              </w:rPr>
              <w:t>1</w:t>
            </w:r>
            <w:r>
              <w:rPr>
                <w:rStyle w:val="34"/>
                <w:rFonts w:hint="default"/>
              </w:rPr>
              <w:t>人，扣减分值</w:t>
            </w:r>
            <w:r>
              <w:rPr>
                <w:rStyle w:val="35"/>
                <w:rFonts w:eastAsia="仿宋_GB2312"/>
              </w:rPr>
              <w:t>1%</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保障人数</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30</w:t>
            </w:r>
          </w:p>
        </w:tc>
        <w:tc>
          <w:tcPr>
            <w:tcW w:w="141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3"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开展政治理论学习活动</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每未完成</w:t>
            </w:r>
            <w:r>
              <w:rPr>
                <w:rStyle w:val="35"/>
                <w:rFonts w:eastAsia="仿宋_GB2312"/>
              </w:rPr>
              <w:t>1</w:t>
            </w:r>
            <w:r>
              <w:rPr>
                <w:rStyle w:val="34"/>
                <w:rFonts w:hint="default"/>
              </w:rPr>
              <w:t>次，扣减分值</w:t>
            </w:r>
            <w:r>
              <w:rPr>
                <w:rStyle w:val="35"/>
                <w:rFonts w:eastAsia="仿宋_GB2312"/>
              </w:rPr>
              <w:t>5%</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开展政治理论活动</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w:t>
            </w:r>
          </w:p>
        </w:tc>
        <w:tc>
          <w:tcPr>
            <w:tcW w:w="141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次</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26"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招商引资接待次数</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3402" w:type="dxa"/>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招商引资接待次数</w:t>
            </w:r>
          </w:p>
        </w:tc>
        <w:tc>
          <w:tcPr>
            <w:tcW w:w="708" w:type="dxa"/>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w:t>
            </w:r>
          </w:p>
        </w:tc>
        <w:tc>
          <w:tcPr>
            <w:tcW w:w="1418"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次</w:t>
            </w:r>
          </w:p>
        </w:tc>
        <w:tc>
          <w:tcPr>
            <w:tcW w:w="1348"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126" w:type="dxa"/>
            <w:vMerge w:val="continue"/>
            <w:shd w:val="clear" w:color="auto" w:fill="auto"/>
            <w:vAlign w:val="center"/>
          </w:tcPr>
          <w:p>
            <w:pPr>
              <w:rPr>
                <w:rFonts w:ascii="仿宋_GB2312" w:hAnsi="宋体" w:eastAsia="仿宋_GB2312" w:cs="宋体"/>
                <w:color w:val="000000"/>
                <w:sz w:val="21"/>
                <w:szCs w:val="21"/>
              </w:rPr>
            </w:pP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每减少</w:t>
            </w:r>
            <w:r>
              <w:rPr>
                <w:rStyle w:val="35"/>
                <w:rFonts w:eastAsia="仿宋_GB2312"/>
              </w:rPr>
              <w:t>1</w:t>
            </w:r>
            <w:r>
              <w:rPr>
                <w:rStyle w:val="34"/>
                <w:rFonts w:hint="default"/>
              </w:rPr>
              <w:t>次，扣减分值</w:t>
            </w:r>
            <w:r>
              <w:rPr>
                <w:rStyle w:val="35"/>
                <w:rFonts w:eastAsia="仿宋_GB2312"/>
              </w:rPr>
              <w:t>5%</w:t>
            </w:r>
          </w:p>
        </w:tc>
        <w:tc>
          <w:tcPr>
            <w:tcW w:w="3402" w:type="dxa"/>
            <w:vMerge w:val="continue"/>
            <w:shd w:val="clear" w:color="auto" w:fill="auto"/>
            <w:vAlign w:val="center"/>
          </w:tcPr>
          <w:p>
            <w:pPr>
              <w:rPr>
                <w:rFonts w:ascii="仿宋_GB2312" w:hAnsi="宋体" w:eastAsia="仿宋_GB2312" w:cs="宋体"/>
                <w:color w:val="000000"/>
                <w:sz w:val="21"/>
                <w:szCs w:val="21"/>
              </w:rPr>
            </w:pPr>
          </w:p>
        </w:tc>
        <w:tc>
          <w:tcPr>
            <w:tcW w:w="708" w:type="dxa"/>
            <w:vMerge w:val="continue"/>
            <w:shd w:val="clear" w:color="auto" w:fill="auto"/>
            <w:vAlign w:val="center"/>
          </w:tcPr>
          <w:p>
            <w:pPr>
              <w:rPr>
                <w:rFonts w:eastAsia="宋体"/>
                <w:color w:val="000000"/>
                <w:sz w:val="21"/>
                <w:szCs w:val="21"/>
              </w:rPr>
            </w:pPr>
          </w:p>
        </w:tc>
        <w:tc>
          <w:tcPr>
            <w:tcW w:w="709" w:type="dxa"/>
            <w:vMerge w:val="continue"/>
            <w:shd w:val="clear" w:color="auto" w:fill="auto"/>
            <w:vAlign w:val="center"/>
          </w:tcPr>
          <w:p>
            <w:pPr>
              <w:rPr>
                <w:rFonts w:eastAsia="宋体"/>
                <w:color w:val="000000"/>
                <w:sz w:val="21"/>
                <w:szCs w:val="21"/>
              </w:rPr>
            </w:pPr>
          </w:p>
        </w:tc>
        <w:tc>
          <w:tcPr>
            <w:tcW w:w="1418"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工资</w:t>
            </w:r>
            <w:r>
              <w:rPr>
                <w:rStyle w:val="35"/>
                <w:rFonts w:eastAsia="仿宋_GB2312"/>
              </w:rPr>
              <w:t>(</w:t>
            </w:r>
            <w:r>
              <w:rPr>
                <w:rStyle w:val="34"/>
                <w:rFonts w:hint="default"/>
              </w:rPr>
              <w:t>福利</w:t>
            </w:r>
            <w:r>
              <w:rPr>
                <w:rStyle w:val="35"/>
                <w:rFonts w:eastAsia="仿宋_GB2312"/>
              </w:rPr>
              <w:t>)</w:t>
            </w:r>
            <w:r>
              <w:rPr>
                <w:rStyle w:val="34"/>
                <w:rFonts w:hint="default"/>
              </w:rPr>
              <w:t>等发放精准性</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每未准确发放</w:t>
            </w:r>
            <w:r>
              <w:rPr>
                <w:rStyle w:val="35"/>
                <w:rFonts w:eastAsia="仿宋_GB2312"/>
              </w:rPr>
              <w:t>1</w:t>
            </w:r>
            <w:r>
              <w:rPr>
                <w:rStyle w:val="34"/>
                <w:rFonts w:hint="default"/>
              </w:rPr>
              <w:t>笔，扣减分值</w:t>
            </w:r>
            <w:r>
              <w:rPr>
                <w:rStyle w:val="35"/>
                <w:rFonts w:eastAsia="仿宋_GB2312"/>
              </w:rPr>
              <w:t>5%</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工资福利等发放人员范围的精准性和发放数据的准确性</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社会保障（公积金）缴纳的准确性</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每未准确缴纳</w:t>
            </w:r>
            <w:r>
              <w:rPr>
                <w:rStyle w:val="35"/>
                <w:rFonts w:eastAsia="仿宋_GB2312"/>
              </w:rPr>
              <w:t>1</w:t>
            </w:r>
            <w:r>
              <w:rPr>
                <w:rStyle w:val="34"/>
                <w:rFonts w:hint="default"/>
              </w:rPr>
              <w:t>笔，扣减分值</w:t>
            </w:r>
            <w:r>
              <w:rPr>
                <w:rStyle w:val="35"/>
                <w:rFonts w:eastAsia="仿宋_GB2312"/>
              </w:rPr>
              <w:t>5%</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社会保障（公积金）缴纳数据的准确性</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Style w:val="36"/>
                <w:rFonts w:hint="default"/>
              </w:rPr>
              <w:t xml:space="preserve"> 质量</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运转保障率</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每降低</w:t>
            </w:r>
            <w:r>
              <w:rPr>
                <w:rStyle w:val="35"/>
                <w:rFonts w:eastAsia="仿宋_GB2312"/>
              </w:rPr>
              <w:t>5%</w:t>
            </w:r>
            <w:r>
              <w:rPr>
                <w:rStyle w:val="34"/>
                <w:rFonts w:hint="default"/>
              </w:rPr>
              <w:t>，扣标准分值的</w:t>
            </w:r>
            <w:r>
              <w:rPr>
                <w:rStyle w:val="35"/>
                <w:rFonts w:eastAsia="仿宋_GB2312"/>
              </w:rPr>
              <w:t>5%</w:t>
            </w:r>
            <w:r>
              <w:rPr>
                <w:rStyle w:val="34"/>
                <w:rFonts w:hint="default"/>
              </w:rPr>
              <w:t>。</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各项日常工作保障率</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Style w:val="34"/>
                <w:rFonts w:hint="default"/>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6"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Style w:val="34"/>
                <w:rFonts w:hint="default"/>
              </w:rPr>
              <w:t>工资</w:t>
            </w:r>
            <w:r>
              <w:rPr>
                <w:rStyle w:val="35"/>
                <w:rFonts w:eastAsia="仿宋_GB2312"/>
              </w:rPr>
              <w:t>(</w:t>
            </w:r>
            <w:r>
              <w:rPr>
                <w:rStyle w:val="34"/>
                <w:rFonts w:hint="default"/>
              </w:rPr>
              <w:t>福利</w:t>
            </w:r>
            <w:r>
              <w:rPr>
                <w:rStyle w:val="35"/>
                <w:rFonts w:eastAsia="仿宋_GB2312"/>
              </w:rPr>
              <w:t>)</w:t>
            </w:r>
            <w:r>
              <w:rPr>
                <w:rStyle w:val="34"/>
                <w:rFonts w:hint="default"/>
              </w:rPr>
              <w:t>发放及时性</w:t>
            </w:r>
          </w:p>
        </w:tc>
        <w:tc>
          <w:tcPr>
            <w:tcW w:w="382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Style w:val="34"/>
                <w:rFonts w:hint="default"/>
              </w:rPr>
              <w:t>未及时发放</w:t>
            </w:r>
            <w:r>
              <w:rPr>
                <w:rStyle w:val="35"/>
                <w:rFonts w:eastAsia="仿宋_GB2312"/>
              </w:rPr>
              <w:t xml:space="preserve">1 </w:t>
            </w:r>
            <w:r>
              <w:rPr>
                <w:rStyle w:val="34"/>
                <w:rFonts w:hint="default"/>
              </w:rPr>
              <w:t>次，扣减分值</w:t>
            </w:r>
            <w:r>
              <w:rPr>
                <w:rStyle w:val="35"/>
                <w:rFonts w:eastAsia="仿宋_GB2312"/>
              </w:rPr>
              <w:t>5%</w:t>
            </w:r>
          </w:p>
        </w:tc>
        <w:tc>
          <w:tcPr>
            <w:tcW w:w="3402"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工资福利等发放的时效情况</w:t>
            </w:r>
          </w:p>
        </w:tc>
        <w:tc>
          <w:tcPr>
            <w:tcW w:w="70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按规定时间发放</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6"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社会保障（公积金）缴纳的及时性</w:t>
            </w:r>
          </w:p>
        </w:tc>
        <w:tc>
          <w:tcPr>
            <w:tcW w:w="382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Style w:val="34"/>
                <w:rFonts w:hint="default"/>
              </w:rPr>
              <w:t>未及时缴纳</w:t>
            </w:r>
            <w:r>
              <w:rPr>
                <w:rStyle w:val="35"/>
                <w:rFonts w:eastAsia="仿宋_GB2312"/>
              </w:rPr>
              <w:t xml:space="preserve">1 </w:t>
            </w:r>
            <w:r>
              <w:rPr>
                <w:rStyle w:val="34"/>
                <w:rFonts w:hint="default"/>
              </w:rPr>
              <w:t>次，扣减分值</w:t>
            </w:r>
            <w:r>
              <w:rPr>
                <w:rStyle w:val="35"/>
                <w:rFonts w:eastAsia="仿宋_GB2312"/>
              </w:rPr>
              <w:t>5%</w:t>
            </w:r>
          </w:p>
        </w:tc>
        <w:tc>
          <w:tcPr>
            <w:tcW w:w="3402"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社会保障（公积金）等缴纳的时效情况</w:t>
            </w:r>
          </w:p>
        </w:tc>
        <w:tc>
          <w:tcPr>
            <w:tcW w:w="708" w:type="dxa"/>
            <w:shd w:val="clear" w:color="auto" w:fill="auto"/>
            <w:tcMar>
              <w:top w:w="15" w:type="dxa"/>
              <w:left w:w="15" w:type="dxa"/>
              <w:bottom w:w="0" w:type="dxa"/>
              <w:right w:w="15" w:type="dxa"/>
            </w:tcMa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按规定时间缴纳</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经费保障及时性</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及时保障得满分，否则不得分。</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及时保障各项日常办公需要</w:t>
            </w:r>
          </w:p>
        </w:tc>
        <w:tc>
          <w:tcPr>
            <w:tcW w:w="70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及时保障</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126"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三公经费控制率</w:t>
            </w:r>
          </w:p>
        </w:tc>
        <w:tc>
          <w:tcPr>
            <w:tcW w:w="3828"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三公经费实际支出数</w:t>
            </w:r>
            <w:r>
              <w:rPr>
                <w:rStyle w:val="35"/>
                <w:rFonts w:eastAsia="仿宋_GB2312"/>
              </w:rPr>
              <w:t>≤</w:t>
            </w:r>
            <w:r>
              <w:rPr>
                <w:rStyle w:val="34"/>
                <w:rFonts w:hint="default"/>
              </w:rPr>
              <w:t>预算安排的三公经费数，得权重分的</w:t>
            </w:r>
            <w:r>
              <w:rPr>
                <w:rStyle w:val="35"/>
                <w:rFonts w:eastAsia="仿宋_GB2312"/>
              </w:rPr>
              <w:t>50%</w:t>
            </w:r>
            <w:r>
              <w:rPr>
                <w:rStyle w:val="34"/>
                <w:rFonts w:hint="default"/>
              </w:rPr>
              <w:t>，否则不得分；</w:t>
            </w:r>
          </w:p>
        </w:tc>
        <w:tc>
          <w:tcPr>
            <w:tcW w:w="3402" w:type="dxa"/>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部门本年度实际支出的三公经费总额与预算安排的三公经费总额的比率</w:t>
            </w:r>
          </w:p>
        </w:tc>
        <w:tc>
          <w:tcPr>
            <w:tcW w:w="708" w:type="dxa"/>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126" w:type="dxa"/>
            <w:vMerge w:val="continue"/>
            <w:shd w:val="clear" w:color="auto" w:fill="auto"/>
            <w:vAlign w:val="center"/>
          </w:tcPr>
          <w:p>
            <w:pPr>
              <w:rPr>
                <w:rFonts w:ascii="仿宋_GB2312" w:hAnsi="宋体" w:eastAsia="仿宋_GB2312" w:cs="宋体"/>
                <w:color w:val="000000"/>
                <w:sz w:val="21"/>
                <w:szCs w:val="21"/>
              </w:rPr>
            </w:pPr>
          </w:p>
        </w:tc>
        <w:tc>
          <w:tcPr>
            <w:tcW w:w="3828" w:type="dxa"/>
            <w:vMerge w:val="continue"/>
            <w:shd w:val="clear" w:color="auto" w:fill="auto"/>
            <w:vAlign w:val="center"/>
          </w:tcPr>
          <w:p>
            <w:pPr>
              <w:rPr>
                <w:rFonts w:ascii="仿宋_GB2312" w:hAnsi="宋体" w:eastAsia="仿宋_GB2312" w:cs="宋体"/>
                <w:color w:val="000000"/>
                <w:sz w:val="21"/>
                <w:szCs w:val="21"/>
              </w:rPr>
            </w:pPr>
          </w:p>
        </w:tc>
        <w:tc>
          <w:tcPr>
            <w:tcW w:w="3402" w:type="dxa"/>
            <w:vMerge w:val="continue"/>
            <w:shd w:val="clear" w:color="auto" w:fill="auto"/>
            <w:vAlign w:val="center"/>
          </w:tcPr>
          <w:p>
            <w:pPr>
              <w:rPr>
                <w:rFonts w:ascii="仿宋_GB2312" w:hAnsi="宋体" w:eastAsia="仿宋_GB2312" w:cs="宋体"/>
                <w:color w:val="000000"/>
                <w:sz w:val="21"/>
                <w:szCs w:val="21"/>
              </w:rPr>
            </w:pPr>
          </w:p>
        </w:tc>
        <w:tc>
          <w:tcPr>
            <w:tcW w:w="708" w:type="dxa"/>
            <w:vMerge w:val="continue"/>
            <w:shd w:val="clear" w:color="auto" w:fill="auto"/>
            <w:vAlign w:val="center"/>
          </w:tcPr>
          <w:p>
            <w:pPr>
              <w:rPr>
                <w:rFonts w:eastAsia="宋体"/>
                <w:color w:val="000000"/>
                <w:sz w:val="21"/>
                <w:szCs w:val="21"/>
              </w:rPr>
            </w:pPr>
          </w:p>
        </w:tc>
        <w:tc>
          <w:tcPr>
            <w:tcW w:w="709" w:type="dxa"/>
            <w:vMerge w:val="continue"/>
            <w:shd w:val="clear" w:color="auto" w:fill="auto"/>
            <w:vAlign w:val="center"/>
          </w:tcPr>
          <w:p>
            <w:pPr>
              <w:rPr>
                <w:rFonts w:eastAsia="宋体"/>
                <w:color w:val="000000"/>
                <w:sz w:val="21"/>
                <w:szCs w:val="21"/>
              </w:rPr>
            </w:pPr>
          </w:p>
        </w:tc>
        <w:tc>
          <w:tcPr>
            <w:tcW w:w="1418" w:type="dxa"/>
            <w:vMerge w:val="continue"/>
            <w:shd w:val="clear" w:color="auto" w:fill="auto"/>
            <w:vAlign w:val="center"/>
          </w:tcPr>
          <w:p>
            <w:pPr>
              <w:rPr>
                <w:rFonts w:eastAsia="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126"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日常公用经费控制率</w:t>
            </w:r>
          </w:p>
        </w:tc>
        <w:tc>
          <w:tcPr>
            <w:tcW w:w="3828" w:type="dxa"/>
            <w:shd w:val="clear" w:color="auto" w:fill="auto"/>
            <w:tcMar>
              <w:top w:w="15" w:type="dxa"/>
              <w:left w:w="15" w:type="dxa"/>
              <w:bottom w:w="0" w:type="dxa"/>
              <w:right w:w="15" w:type="dxa"/>
            </w:tcMar>
          </w:tcPr>
          <w:p>
            <w:pPr>
              <w:rPr>
                <w:rFonts w:ascii="仿宋_GB2312" w:eastAsia="仿宋_GB2312"/>
                <w:color w:val="000000"/>
                <w:sz w:val="21"/>
                <w:szCs w:val="21"/>
              </w:rPr>
            </w:pPr>
            <w:r>
              <w:rPr>
                <w:rStyle w:val="34"/>
                <w:rFonts w:hint="default"/>
              </w:rPr>
              <w:t>日常公用经费决算数</w:t>
            </w:r>
            <w:r>
              <w:rPr>
                <w:rStyle w:val="35"/>
                <w:rFonts w:eastAsia="仿宋_GB2312"/>
              </w:rPr>
              <w:t>≤</w:t>
            </w:r>
            <w:r>
              <w:rPr>
                <w:rStyle w:val="34"/>
                <w:rFonts w:hint="default"/>
              </w:rPr>
              <w:t>日常公用经费调整预算数，得权重分的</w:t>
            </w:r>
            <w:r>
              <w:rPr>
                <w:rStyle w:val="35"/>
                <w:rFonts w:eastAsia="仿宋_GB2312"/>
              </w:rPr>
              <w:t>50%</w:t>
            </w:r>
            <w:r>
              <w:rPr>
                <w:rStyle w:val="34"/>
                <w:rFonts w:hint="default"/>
              </w:rPr>
              <w:t>，否则不得分</w:t>
            </w:r>
          </w:p>
        </w:tc>
        <w:tc>
          <w:tcPr>
            <w:tcW w:w="3402" w:type="dxa"/>
            <w:shd w:val="clear" w:color="auto" w:fill="auto"/>
            <w:tcMar>
              <w:top w:w="15" w:type="dxa"/>
              <w:left w:w="15" w:type="dxa"/>
              <w:bottom w:w="0" w:type="dxa"/>
              <w:right w:w="15" w:type="dxa"/>
            </w:tcMar>
          </w:tcPr>
          <w:p>
            <w:pPr>
              <w:rPr>
                <w:rFonts w:ascii="仿宋_GB2312" w:eastAsia="仿宋_GB2312"/>
                <w:color w:val="000000"/>
                <w:sz w:val="21"/>
                <w:szCs w:val="21"/>
              </w:rPr>
            </w:pPr>
            <w:r>
              <w:rPr>
                <w:rFonts w:hint="eastAsia" w:ascii="仿宋_GB2312" w:eastAsia="仿宋_GB2312"/>
                <w:color w:val="000000"/>
                <w:sz w:val="21"/>
                <w:szCs w:val="21"/>
              </w:rPr>
              <w:t>反映和考核部门对机构运转成本的实际可控制程度</w:t>
            </w:r>
          </w:p>
        </w:tc>
        <w:tc>
          <w:tcPr>
            <w:tcW w:w="708"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加强工作人员归属感，保持干部队伍稳定</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保持相对稳定得满分，否则不得分</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通过按时按标准发放工资福利等，进一步增强干部职工得归属感，保持职工队伍相对稳定，保障办公正常运转</w:t>
            </w:r>
          </w:p>
        </w:tc>
        <w:tc>
          <w:tcPr>
            <w:tcW w:w="70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保持职工队伍相对稳定</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 效益</w:t>
            </w:r>
          </w:p>
        </w:tc>
        <w:tc>
          <w:tcPr>
            <w:tcW w:w="2126"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保障日常办公需要，维持单位正常运转</w:t>
            </w:r>
          </w:p>
        </w:tc>
        <w:tc>
          <w:tcPr>
            <w:tcW w:w="382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每减少受益职工</w:t>
            </w:r>
            <w:r>
              <w:rPr>
                <w:rStyle w:val="35"/>
                <w:rFonts w:eastAsia="仿宋_GB2312"/>
              </w:rPr>
              <w:t>1</w:t>
            </w:r>
            <w:r>
              <w:rPr>
                <w:rStyle w:val="34"/>
                <w:rFonts w:hint="default"/>
              </w:rPr>
              <w:t>人，扣</w:t>
            </w:r>
            <w:r>
              <w:rPr>
                <w:rStyle w:val="35"/>
                <w:rFonts w:eastAsia="仿宋_GB2312"/>
              </w:rPr>
              <w:t>5%</w:t>
            </w:r>
            <w:r>
              <w:rPr>
                <w:rStyle w:val="34"/>
                <w:rFonts w:hint="default"/>
              </w:rPr>
              <w:t>权重分。</w:t>
            </w:r>
          </w:p>
        </w:tc>
        <w:tc>
          <w:tcPr>
            <w:tcW w:w="3402"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保障日常办公需要，维持单位正常运转</w:t>
            </w:r>
          </w:p>
        </w:tc>
        <w:tc>
          <w:tcPr>
            <w:tcW w:w="70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p>
        </w:tc>
        <w:tc>
          <w:tcPr>
            <w:tcW w:w="141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维持单位正常运转</w:t>
            </w:r>
          </w:p>
        </w:tc>
        <w:tc>
          <w:tcPr>
            <w:tcW w:w="1348" w:type="dxa"/>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126" w:type="dxa"/>
            <w:shd w:val="clear" w:color="auto" w:fill="auto"/>
            <w:noWrap/>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部门职工满意度</w:t>
            </w:r>
          </w:p>
        </w:tc>
        <w:tc>
          <w:tcPr>
            <w:tcW w:w="3828" w:type="dxa"/>
            <w:shd w:val="clear" w:color="auto" w:fill="auto"/>
            <w:noWrap/>
            <w:tcMar>
              <w:top w:w="15" w:type="dxa"/>
              <w:left w:w="15" w:type="dxa"/>
              <w:bottom w:w="0" w:type="dxa"/>
              <w:right w:w="15" w:type="dxa"/>
            </w:tcMar>
            <w:vAlign w:val="center"/>
          </w:tcPr>
          <w:p>
            <w:pPr>
              <w:jc w:val="both"/>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3402" w:type="dxa"/>
            <w:shd w:val="clear" w:color="auto" w:fill="auto"/>
            <w:noWrap/>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考察市直部门对财政局相关工作综合满意度</w:t>
            </w:r>
          </w:p>
        </w:tc>
        <w:tc>
          <w:tcPr>
            <w:tcW w:w="708" w:type="dxa"/>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418"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1、补助被征地农民资金绩效目标表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1.项目需完成缴纳社会保障费及风险基金工作后，即开展土地组卷、土地收储，加快项目进一步落地。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社会保障费及风险基金缴纳比例</w:t>
            </w:r>
          </w:p>
        </w:tc>
        <w:tc>
          <w:tcPr>
            <w:tcW w:w="2835" w:type="dxa"/>
            <w:vAlign w:val="center"/>
          </w:tcPr>
          <w:p>
            <w:pPr>
              <w:pStyle w:val="17"/>
            </w:pPr>
            <w:r>
              <w:t>社会保障费及风险基金缴纳比例</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缴纳及时性</w:t>
            </w:r>
          </w:p>
        </w:tc>
        <w:tc>
          <w:tcPr>
            <w:tcW w:w="2835" w:type="dxa"/>
            <w:vAlign w:val="center"/>
          </w:tcPr>
          <w:p>
            <w:pPr>
              <w:pStyle w:val="17"/>
            </w:pPr>
            <w:r>
              <w:t>按照进度及时拨付缴纳</w:t>
            </w:r>
          </w:p>
        </w:tc>
        <w:tc>
          <w:tcPr>
            <w:tcW w:w="2551" w:type="dxa"/>
            <w:vAlign w:val="center"/>
          </w:tcPr>
          <w:p>
            <w:pPr>
              <w:pStyle w:val="17"/>
            </w:pPr>
            <w:r>
              <w:t>及时缴纳</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按自然资源和规划部门提供区片价的25%征收被征地农民社会保障费，按照土地出让平均纯收益的10%提取被征地农民风险基金。</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被征地农民参加城乡居民基本养老保险</w:t>
            </w:r>
          </w:p>
        </w:tc>
        <w:tc>
          <w:tcPr>
            <w:tcW w:w="2835" w:type="dxa"/>
            <w:vAlign w:val="center"/>
          </w:tcPr>
          <w:p>
            <w:pPr>
              <w:pStyle w:val="17"/>
            </w:pPr>
            <w:r>
              <w:t>按发放标准计发</w:t>
            </w:r>
          </w:p>
        </w:tc>
        <w:tc>
          <w:tcPr>
            <w:tcW w:w="2551" w:type="dxa"/>
            <w:vAlign w:val="center"/>
          </w:tcPr>
          <w:p>
            <w:pPr>
              <w:pStyle w:val="17"/>
            </w:pPr>
            <w:r>
              <w:t>及时发放</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维护社会稳定保障征地工作推进</w:t>
            </w:r>
          </w:p>
        </w:tc>
        <w:tc>
          <w:tcPr>
            <w:tcW w:w="2551" w:type="dxa"/>
            <w:vAlign w:val="center"/>
          </w:tcPr>
          <w:p>
            <w:pPr>
              <w:pStyle w:val="17"/>
            </w:pPr>
            <w:r>
              <w:t>有效推进</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被征地农民满意度</w:t>
            </w:r>
          </w:p>
        </w:tc>
        <w:tc>
          <w:tcPr>
            <w:tcW w:w="2835" w:type="dxa"/>
            <w:vAlign w:val="center"/>
          </w:tcPr>
          <w:p>
            <w:pPr>
              <w:pStyle w:val="17"/>
            </w:pPr>
            <w:r>
              <w:t>被征地农民满意度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2、补助被征地农民资金（社保费、风险基金等）绩效目标表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1.项目需完成缴纳社会保障费及风险基金工作后，即开展土地组卷、土地收储，加快项目进一步落地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社会保障费及风险基金缴纳比例</w:t>
            </w:r>
          </w:p>
        </w:tc>
        <w:tc>
          <w:tcPr>
            <w:tcW w:w="2835" w:type="dxa"/>
            <w:vAlign w:val="center"/>
          </w:tcPr>
          <w:p>
            <w:pPr>
              <w:pStyle w:val="17"/>
            </w:pPr>
            <w:r>
              <w:t>社会保障费及风险基金缴纳比例</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合理使用</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缴纳及时性</w:t>
            </w:r>
          </w:p>
        </w:tc>
        <w:tc>
          <w:tcPr>
            <w:tcW w:w="2835" w:type="dxa"/>
            <w:vAlign w:val="center"/>
          </w:tcPr>
          <w:p>
            <w:pPr>
              <w:pStyle w:val="17"/>
            </w:pPr>
            <w:r>
              <w:t>按照进度及时拨付缴纳</w:t>
            </w:r>
          </w:p>
        </w:tc>
        <w:tc>
          <w:tcPr>
            <w:tcW w:w="2551" w:type="dxa"/>
            <w:vAlign w:val="center"/>
          </w:tcPr>
          <w:p>
            <w:pPr>
              <w:pStyle w:val="17"/>
            </w:pPr>
            <w:r>
              <w:t>及时缴纳</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按自然资源和规划部门提供区片价的25%征收被征地农民社会保障费，按照土地出让平均纯收益的10%提取被征地农民风险基金。</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被征地农民参加城乡居民基本养老保险</w:t>
            </w:r>
          </w:p>
        </w:tc>
        <w:tc>
          <w:tcPr>
            <w:tcW w:w="2835" w:type="dxa"/>
            <w:vAlign w:val="center"/>
          </w:tcPr>
          <w:p>
            <w:pPr>
              <w:pStyle w:val="17"/>
            </w:pPr>
            <w:r>
              <w:t>按发放标准计发</w:t>
            </w:r>
          </w:p>
        </w:tc>
        <w:tc>
          <w:tcPr>
            <w:tcW w:w="2551" w:type="dxa"/>
            <w:vAlign w:val="center"/>
          </w:tcPr>
          <w:p>
            <w:pPr>
              <w:pStyle w:val="17"/>
            </w:pPr>
            <w:r>
              <w:t>及时发放</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维护社会稳定保障征地工作推进</w:t>
            </w:r>
          </w:p>
        </w:tc>
        <w:tc>
          <w:tcPr>
            <w:tcW w:w="2551" w:type="dxa"/>
            <w:vAlign w:val="center"/>
          </w:tcPr>
          <w:p>
            <w:pPr>
              <w:pStyle w:val="17"/>
            </w:pPr>
            <w:r>
              <w:t>有效推进</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被征地农民满意度</w:t>
            </w:r>
          </w:p>
        </w:tc>
        <w:tc>
          <w:tcPr>
            <w:tcW w:w="2835" w:type="dxa"/>
            <w:vAlign w:val="center"/>
          </w:tcPr>
          <w:p>
            <w:pPr>
              <w:pStyle w:val="17"/>
            </w:pPr>
            <w:r>
              <w:t>被征地农民满意度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3、基础设施建设资金绩效目标表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1.完成经开区供水、供电、路网、污水处理、消防站等基础设施建设运营等。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工程完工率</w:t>
            </w:r>
          </w:p>
        </w:tc>
        <w:tc>
          <w:tcPr>
            <w:tcW w:w="2835" w:type="dxa"/>
            <w:vAlign w:val="center"/>
          </w:tcPr>
          <w:p>
            <w:pPr>
              <w:pStyle w:val="17"/>
            </w:pPr>
            <w:r>
              <w:t>工程完工率</w:t>
            </w:r>
          </w:p>
        </w:tc>
        <w:tc>
          <w:tcPr>
            <w:tcW w:w="2551" w:type="dxa"/>
            <w:vAlign w:val="center"/>
          </w:tcPr>
          <w:p>
            <w:pPr>
              <w:pStyle w:val="17"/>
            </w:pPr>
            <w:r>
              <w:t>≥90%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工程质量合格率</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资金支付及时性</w:t>
            </w:r>
          </w:p>
        </w:tc>
        <w:tc>
          <w:tcPr>
            <w:tcW w:w="2551" w:type="dxa"/>
            <w:vAlign w:val="center"/>
          </w:tcPr>
          <w:p>
            <w:pPr>
              <w:pStyle w:val="17"/>
            </w:pPr>
            <w:r>
              <w:t>及时支付</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设施正常运转率</w:t>
            </w:r>
          </w:p>
        </w:tc>
        <w:tc>
          <w:tcPr>
            <w:tcW w:w="2835" w:type="dxa"/>
            <w:vAlign w:val="center"/>
          </w:tcPr>
          <w:p>
            <w:pPr>
              <w:pStyle w:val="17"/>
            </w:pPr>
            <w:r>
              <w:t>正常运转设施占总设施的比率</w:t>
            </w:r>
          </w:p>
        </w:tc>
        <w:tc>
          <w:tcPr>
            <w:tcW w:w="2551" w:type="dxa"/>
            <w:vAlign w:val="center"/>
          </w:tcPr>
          <w:p>
            <w:pPr>
              <w:pStyle w:val="17"/>
            </w:pPr>
            <w:r>
              <w:t>≥90%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4、基础设施建设资金绩效目标表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1.完成经开区结算土地开发、基础设施建设等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基础设施建设资金额</w:t>
            </w:r>
          </w:p>
        </w:tc>
        <w:tc>
          <w:tcPr>
            <w:tcW w:w="2835" w:type="dxa"/>
            <w:vAlign w:val="center"/>
          </w:tcPr>
          <w:p>
            <w:pPr>
              <w:pStyle w:val="17"/>
            </w:pPr>
            <w:r>
              <w:t>基础设施建设面积</w:t>
            </w:r>
          </w:p>
        </w:tc>
        <w:tc>
          <w:tcPr>
            <w:tcW w:w="2551" w:type="dxa"/>
            <w:vAlign w:val="center"/>
          </w:tcPr>
          <w:p>
            <w:pPr>
              <w:pStyle w:val="17"/>
            </w:pPr>
            <w:r>
              <w:t>≥100亩</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资金投入率</w:t>
            </w:r>
          </w:p>
        </w:tc>
        <w:tc>
          <w:tcPr>
            <w:tcW w:w="2835" w:type="dxa"/>
            <w:vAlign w:val="center"/>
          </w:tcPr>
          <w:p>
            <w:pPr>
              <w:pStyle w:val="17"/>
            </w:pPr>
            <w:r>
              <w:t>资金投入率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及时拨付资金</w:t>
            </w:r>
          </w:p>
        </w:tc>
        <w:tc>
          <w:tcPr>
            <w:tcW w:w="2551" w:type="dxa"/>
            <w:vAlign w:val="center"/>
          </w:tcPr>
          <w:p>
            <w:pPr>
              <w:pStyle w:val="17"/>
            </w:pPr>
            <w:r>
              <w:t>及时拨付</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广阳经济开发区开发运营协议及补充协议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5、廊坊广阳经济开发区建设发展有限公司注册资本金绩效目标表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1.推进廊坊广阳经济开发区建设发展有限公司相关工作开展，促进经济发展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注册资本金额</w:t>
            </w:r>
          </w:p>
        </w:tc>
        <w:tc>
          <w:tcPr>
            <w:tcW w:w="2835" w:type="dxa"/>
            <w:vAlign w:val="center"/>
          </w:tcPr>
          <w:p>
            <w:pPr>
              <w:pStyle w:val="17"/>
            </w:pPr>
            <w:r>
              <w:t>注册资本金额</w:t>
            </w:r>
          </w:p>
        </w:tc>
        <w:tc>
          <w:tcPr>
            <w:tcW w:w="2551" w:type="dxa"/>
            <w:vAlign w:val="center"/>
          </w:tcPr>
          <w:p>
            <w:pPr>
              <w:pStyle w:val="17"/>
            </w:pPr>
            <w:r>
              <w:t>1320万元</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注册资本投入率</w:t>
            </w:r>
          </w:p>
        </w:tc>
        <w:tc>
          <w:tcPr>
            <w:tcW w:w="2835" w:type="dxa"/>
            <w:vAlign w:val="center"/>
          </w:tcPr>
          <w:p>
            <w:pPr>
              <w:pStyle w:val="17"/>
            </w:pPr>
            <w:r>
              <w:t>注册资本投入率</w:t>
            </w:r>
          </w:p>
        </w:tc>
        <w:tc>
          <w:tcPr>
            <w:tcW w:w="2551" w:type="dxa"/>
            <w:vAlign w:val="center"/>
          </w:tcPr>
          <w:p>
            <w:pPr>
              <w:pStyle w:val="17"/>
            </w:pPr>
            <w:r>
              <w:t>100%</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及时拨付资金</w:t>
            </w:r>
          </w:p>
        </w:tc>
        <w:tc>
          <w:tcPr>
            <w:tcW w:w="2551" w:type="dxa"/>
            <w:vAlign w:val="center"/>
          </w:tcPr>
          <w:p>
            <w:pPr>
              <w:pStyle w:val="17"/>
            </w:pPr>
            <w:r>
              <w:t>及时拨付</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资本金使用不超预算</w:t>
            </w:r>
          </w:p>
        </w:tc>
        <w:tc>
          <w:tcPr>
            <w:tcW w:w="2835" w:type="dxa"/>
            <w:vAlign w:val="center"/>
          </w:tcPr>
          <w:p>
            <w:pPr>
              <w:pStyle w:val="17"/>
            </w:pPr>
            <w:r>
              <w:t>资本金使用不超预算</w:t>
            </w:r>
          </w:p>
        </w:tc>
        <w:tc>
          <w:tcPr>
            <w:tcW w:w="2551" w:type="dxa"/>
            <w:vAlign w:val="center"/>
          </w:tcPr>
          <w:p>
            <w:pPr>
              <w:pStyle w:val="17"/>
            </w:pPr>
            <w:r>
              <w:t>不超预算</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廊广经开委【2022】32号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廊广经开委【2022】32号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6、土地出让业务费用绩效目标表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1.完成经开区内土地出让业务费支出等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土地出让面积</w:t>
            </w:r>
          </w:p>
        </w:tc>
        <w:tc>
          <w:tcPr>
            <w:tcW w:w="2835" w:type="dxa"/>
            <w:vAlign w:val="center"/>
          </w:tcPr>
          <w:p>
            <w:pPr>
              <w:pStyle w:val="17"/>
            </w:pPr>
            <w:r>
              <w:t>土地出让面积</w:t>
            </w:r>
          </w:p>
        </w:tc>
        <w:tc>
          <w:tcPr>
            <w:tcW w:w="2551" w:type="dxa"/>
            <w:vAlign w:val="center"/>
          </w:tcPr>
          <w:p>
            <w:pPr>
              <w:pStyle w:val="17"/>
            </w:pPr>
            <w:r>
              <w:t>≤1599亩</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土地利用率</w:t>
            </w:r>
          </w:p>
        </w:tc>
        <w:tc>
          <w:tcPr>
            <w:tcW w:w="2835" w:type="dxa"/>
            <w:vAlign w:val="center"/>
          </w:tcPr>
          <w:p>
            <w:pPr>
              <w:pStyle w:val="17"/>
            </w:pPr>
            <w:r>
              <w:t>出让土地利用率</w:t>
            </w:r>
          </w:p>
        </w:tc>
        <w:tc>
          <w:tcPr>
            <w:tcW w:w="2551" w:type="dxa"/>
            <w:vAlign w:val="center"/>
          </w:tcPr>
          <w:p>
            <w:pPr>
              <w:pStyle w:val="17"/>
            </w:pPr>
            <w:r>
              <w:t>≥90%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按照征收进度及时拨付资金</w:t>
            </w:r>
          </w:p>
        </w:tc>
        <w:tc>
          <w:tcPr>
            <w:tcW w:w="2551" w:type="dxa"/>
            <w:vAlign w:val="center"/>
          </w:tcPr>
          <w:p>
            <w:pPr>
              <w:pStyle w:val="17"/>
            </w:pPr>
            <w:r>
              <w:t>及时拨付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提高土地利用率</w:t>
            </w:r>
          </w:p>
        </w:tc>
        <w:tc>
          <w:tcPr>
            <w:tcW w:w="2835" w:type="dxa"/>
            <w:vAlign w:val="center"/>
          </w:tcPr>
          <w:p>
            <w:pPr>
              <w:pStyle w:val="17"/>
            </w:pPr>
            <w:r>
              <w:t>提高经开区土地利用率</w:t>
            </w:r>
          </w:p>
        </w:tc>
        <w:tc>
          <w:tcPr>
            <w:tcW w:w="2551" w:type="dxa"/>
            <w:vAlign w:val="center"/>
          </w:tcPr>
          <w:p>
            <w:pPr>
              <w:pStyle w:val="17"/>
            </w:pPr>
            <w:r>
              <w:t>有效提高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7、土地出让业务费用绩效目标表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1.完成经开区内土地出让业务费支出等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土地出让面积</w:t>
            </w:r>
          </w:p>
        </w:tc>
        <w:tc>
          <w:tcPr>
            <w:tcW w:w="2835" w:type="dxa"/>
            <w:vAlign w:val="center"/>
          </w:tcPr>
          <w:p>
            <w:pPr>
              <w:pStyle w:val="17"/>
            </w:pPr>
            <w:r>
              <w:t>土地出让面积</w:t>
            </w:r>
          </w:p>
        </w:tc>
        <w:tc>
          <w:tcPr>
            <w:tcW w:w="2551" w:type="dxa"/>
            <w:vAlign w:val="center"/>
          </w:tcPr>
          <w:p>
            <w:pPr>
              <w:pStyle w:val="17"/>
            </w:pPr>
            <w:r>
              <w:t>≥100亩</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土地利用率</w:t>
            </w:r>
          </w:p>
        </w:tc>
        <w:tc>
          <w:tcPr>
            <w:tcW w:w="2835" w:type="dxa"/>
            <w:vAlign w:val="center"/>
          </w:tcPr>
          <w:p>
            <w:pPr>
              <w:pStyle w:val="17"/>
            </w:pPr>
            <w:r>
              <w:t>出让土地利用率</w:t>
            </w:r>
          </w:p>
        </w:tc>
        <w:tc>
          <w:tcPr>
            <w:tcW w:w="2551" w:type="dxa"/>
            <w:vAlign w:val="center"/>
          </w:tcPr>
          <w:p>
            <w:pPr>
              <w:pStyle w:val="17"/>
            </w:pPr>
            <w:r>
              <w:t>≥90%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按照征收进度及时拨付资金</w:t>
            </w:r>
          </w:p>
        </w:tc>
        <w:tc>
          <w:tcPr>
            <w:tcW w:w="2551" w:type="dxa"/>
            <w:vAlign w:val="center"/>
          </w:tcPr>
          <w:p>
            <w:pPr>
              <w:pStyle w:val="17"/>
            </w:pPr>
            <w:r>
              <w:t>及时拨付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开发运营协议及补充协议</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开发运营协议及补充协议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8、土地开发支出资金绩效目标表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1.完成经开区前期土地开发性支出以及前期土地开发相关的费用等支出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土地开发面积</w:t>
            </w:r>
          </w:p>
        </w:tc>
        <w:tc>
          <w:tcPr>
            <w:tcW w:w="2835" w:type="dxa"/>
            <w:vAlign w:val="center"/>
          </w:tcPr>
          <w:p>
            <w:pPr>
              <w:pStyle w:val="17"/>
            </w:pPr>
            <w:r>
              <w:t>经开区土地开发面积</w:t>
            </w:r>
          </w:p>
        </w:tc>
        <w:tc>
          <w:tcPr>
            <w:tcW w:w="2551" w:type="dxa"/>
            <w:vAlign w:val="center"/>
          </w:tcPr>
          <w:p>
            <w:pPr>
              <w:pStyle w:val="17"/>
            </w:pPr>
            <w:r>
              <w:t>≤1599亩</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按照土地开发进度及时拨付资金</w:t>
            </w:r>
          </w:p>
        </w:tc>
        <w:tc>
          <w:tcPr>
            <w:tcW w:w="2551" w:type="dxa"/>
            <w:vAlign w:val="center"/>
          </w:tcPr>
          <w:p>
            <w:pPr>
              <w:pStyle w:val="17"/>
            </w:pPr>
            <w:r>
              <w:t>及时拨付资金</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提高经开区土地开发利用率</w:t>
            </w:r>
          </w:p>
        </w:tc>
        <w:tc>
          <w:tcPr>
            <w:tcW w:w="2835" w:type="dxa"/>
            <w:vAlign w:val="center"/>
          </w:tcPr>
          <w:p>
            <w:pPr>
              <w:pStyle w:val="17"/>
            </w:pPr>
            <w:r>
              <w:t>提高经开区土地开发利用率</w:t>
            </w:r>
          </w:p>
        </w:tc>
        <w:tc>
          <w:tcPr>
            <w:tcW w:w="2551" w:type="dxa"/>
            <w:vAlign w:val="center"/>
          </w:tcPr>
          <w:p>
            <w:pPr>
              <w:pStyle w:val="17"/>
            </w:pPr>
            <w:r>
              <w:t>有效提高</w:t>
            </w:r>
          </w:p>
        </w:tc>
        <w:tc>
          <w:tcPr>
            <w:tcW w:w="2268" w:type="dxa"/>
            <w:vAlign w:val="center"/>
          </w:tcPr>
          <w:p>
            <w:pPr>
              <w:pStyle w:val="17"/>
            </w:pPr>
            <w: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受益群体满意程度</w:t>
            </w:r>
          </w:p>
        </w:tc>
        <w:tc>
          <w:tcPr>
            <w:tcW w:w="2835" w:type="dxa"/>
            <w:vAlign w:val="center"/>
          </w:tcPr>
          <w:p>
            <w:pPr>
              <w:pStyle w:val="17"/>
            </w:pPr>
            <w:r>
              <w:t>受益群体满意程度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9、征地和拆迁补偿资金绩效目标表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1.完成经开区内土地征收工作及相关费用支出工作等</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征地面积</w:t>
            </w:r>
          </w:p>
        </w:tc>
        <w:tc>
          <w:tcPr>
            <w:tcW w:w="2835" w:type="dxa"/>
            <w:vAlign w:val="center"/>
          </w:tcPr>
          <w:p>
            <w:pPr>
              <w:pStyle w:val="17"/>
            </w:pPr>
            <w:r>
              <w:t>征收土地面积</w:t>
            </w:r>
          </w:p>
        </w:tc>
        <w:tc>
          <w:tcPr>
            <w:tcW w:w="2551" w:type="dxa"/>
            <w:vAlign w:val="center"/>
          </w:tcPr>
          <w:p>
            <w:pPr>
              <w:pStyle w:val="17"/>
            </w:pPr>
            <w:r>
              <w:t>≤1599亩</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土地利用率</w:t>
            </w:r>
          </w:p>
        </w:tc>
        <w:tc>
          <w:tcPr>
            <w:tcW w:w="2835" w:type="dxa"/>
            <w:vAlign w:val="center"/>
          </w:tcPr>
          <w:p>
            <w:pPr>
              <w:pStyle w:val="17"/>
            </w:pPr>
            <w:r>
              <w:t>征收土地利用率</w:t>
            </w:r>
          </w:p>
        </w:tc>
        <w:tc>
          <w:tcPr>
            <w:tcW w:w="2551" w:type="dxa"/>
            <w:vAlign w:val="center"/>
          </w:tcPr>
          <w:p>
            <w:pPr>
              <w:pStyle w:val="17"/>
            </w:pPr>
            <w:r>
              <w:t>≥90%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按照征收进度及时拨付资金</w:t>
            </w:r>
          </w:p>
        </w:tc>
        <w:tc>
          <w:tcPr>
            <w:tcW w:w="2551" w:type="dxa"/>
            <w:vAlign w:val="center"/>
          </w:tcPr>
          <w:p>
            <w:pPr>
              <w:pStyle w:val="17"/>
            </w:pPr>
            <w:r>
              <w:t>及时拨付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提高土地利用率</w:t>
            </w:r>
          </w:p>
        </w:tc>
        <w:tc>
          <w:tcPr>
            <w:tcW w:w="2835" w:type="dxa"/>
            <w:vAlign w:val="center"/>
          </w:tcPr>
          <w:p>
            <w:pPr>
              <w:pStyle w:val="17"/>
            </w:pPr>
            <w:r>
              <w:t>提高经开区土地利用率</w:t>
            </w:r>
          </w:p>
        </w:tc>
        <w:tc>
          <w:tcPr>
            <w:tcW w:w="2551" w:type="dxa"/>
            <w:vAlign w:val="center"/>
          </w:tcPr>
          <w:p>
            <w:pPr>
              <w:pStyle w:val="17"/>
            </w:pPr>
            <w:r>
              <w:t>有效提高</w:t>
            </w:r>
          </w:p>
        </w:tc>
        <w:tc>
          <w:tcPr>
            <w:tcW w:w="2268" w:type="dxa"/>
            <w:vAlign w:val="center"/>
          </w:tcPr>
          <w:p>
            <w:pPr>
              <w:pStyle w:val="17"/>
            </w:pPr>
            <w: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10、征地和拆迁补偿资金绩效目标表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1.完成征地和收购土地过程中支付的土地补偿费、安置补助费、地上附着和青苗补偿费、拆迁补偿费等支出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征收土地面积</w:t>
            </w:r>
          </w:p>
        </w:tc>
        <w:tc>
          <w:tcPr>
            <w:tcW w:w="2835" w:type="dxa"/>
            <w:vAlign w:val="center"/>
          </w:tcPr>
          <w:p>
            <w:pPr>
              <w:pStyle w:val="17"/>
            </w:pPr>
            <w:r>
              <w:t>征收土地面积</w:t>
            </w:r>
          </w:p>
        </w:tc>
        <w:tc>
          <w:tcPr>
            <w:tcW w:w="2551" w:type="dxa"/>
            <w:vAlign w:val="center"/>
          </w:tcPr>
          <w:p>
            <w:pPr>
              <w:pStyle w:val="17"/>
            </w:pPr>
            <w:r>
              <w:t>≥100亩</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征收土地利用率</w:t>
            </w:r>
          </w:p>
        </w:tc>
        <w:tc>
          <w:tcPr>
            <w:tcW w:w="2835" w:type="dxa"/>
            <w:vAlign w:val="center"/>
          </w:tcPr>
          <w:p>
            <w:pPr>
              <w:pStyle w:val="17"/>
            </w:pPr>
            <w:r>
              <w:t>征收土地利用率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及时拨付资金</w:t>
            </w:r>
          </w:p>
        </w:tc>
        <w:tc>
          <w:tcPr>
            <w:tcW w:w="2551" w:type="dxa"/>
            <w:vAlign w:val="center"/>
          </w:tcPr>
          <w:p>
            <w:pPr>
              <w:pStyle w:val="17"/>
            </w:pPr>
            <w:r>
              <w:t>及时拨付</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促进区域经济社会发展情况</w:t>
            </w:r>
          </w:p>
        </w:tc>
        <w:tc>
          <w:tcPr>
            <w:tcW w:w="2835" w:type="dxa"/>
            <w:vAlign w:val="center"/>
          </w:tcPr>
          <w:p>
            <w:pPr>
              <w:pStyle w:val="17"/>
            </w:pPr>
            <w:r>
              <w:t>促进区域经济社会发展情况</w:t>
            </w:r>
          </w:p>
        </w:tc>
        <w:tc>
          <w:tcPr>
            <w:tcW w:w="2551" w:type="dxa"/>
            <w:vAlign w:val="center"/>
          </w:tcPr>
          <w:p>
            <w:pPr>
              <w:pStyle w:val="17"/>
            </w:pPr>
            <w:r>
              <w:t>有效促进</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有效维护</w:t>
            </w:r>
          </w:p>
        </w:tc>
        <w:tc>
          <w:tcPr>
            <w:tcW w:w="2268" w:type="dxa"/>
            <w:vAlign w:val="center"/>
          </w:tcPr>
          <w:p>
            <w:pPr>
              <w:pStyle w:val="17"/>
            </w:pPr>
            <w:r>
              <w:t>广阳经济开发区开发运营协议及补充协议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受益群体满意度</w:t>
            </w:r>
          </w:p>
        </w:tc>
        <w:tc>
          <w:tcPr>
            <w:tcW w:w="2551" w:type="dxa"/>
            <w:vAlign w:val="center"/>
          </w:tcPr>
          <w:p>
            <w:pPr>
              <w:pStyle w:val="17"/>
            </w:pPr>
            <w:r>
              <w:t>≥90%</w:t>
            </w:r>
          </w:p>
        </w:tc>
        <w:tc>
          <w:tcPr>
            <w:tcW w:w="2268" w:type="dxa"/>
            <w:vAlign w:val="center"/>
          </w:tcPr>
          <w:p>
            <w:pPr>
              <w:pStyle w:val="17"/>
            </w:pPr>
            <w:r>
              <w:t>广阳经济开发区开发运营协议及补充协议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2023年，河北廊坊广阳经济开发区管理委员会安排政府采购预算1.40万元。具体内容见下表。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1.40</w:t>
            </w:r>
          </w:p>
        </w:tc>
        <w:tc>
          <w:tcPr>
            <w:tcW w:w="964" w:type="dxa"/>
            <w:vAlign w:val="center"/>
          </w:tcPr>
          <w:p>
            <w:pPr>
              <w:pStyle w:val="20"/>
            </w:pPr>
            <w:r>
              <w:t>1.40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河北廊坊广阳经济开发区管理委员会本级小计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1.40</w:t>
            </w:r>
          </w:p>
        </w:tc>
        <w:tc>
          <w:tcPr>
            <w:tcW w:w="964" w:type="dxa"/>
            <w:vAlign w:val="center"/>
          </w:tcPr>
          <w:p>
            <w:pPr>
              <w:pStyle w:val="20"/>
            </w:pPr>
            <w:r>
              <w:t>1.40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26.36</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0.50</w:t>
            </w: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26.36</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0.20</w:t>
            </w: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河北廊坊广阳经济开发区管理委员会（含所属单位）上年末固定资产金额为126.00万元（详见下表）。本年度拟购置固定资产总额为1.40万元，已按要求列入政府采购预算，详见政府采购预算表。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690河北廊坊广阳经济开发区管理委员会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62.68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192</w:t>
            </w:r>
          </w:p>
        </w:tc>
        <w:tc>
          <w:tcPr>
            <w:tcW w:w="2835" w:type="dxa"/>
            <w:vAlign w:val="center"/>
          </w:tcPr>
          <w:p>
            <w:pPr>
              <w:pStyle w:val="16"/>
            </w:pPr>
            <w:r>
              <w:t>63.32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A8"/>
    <w:rsid w:val="00155BE9"/>
    <w:rsid w:val="00355AD4"/>
    <w:rsid w:val="003B1AA8"/>
    <w:rsid w:val="00444ADC"/>
    <w:rsid w:val="00711C6F"/>
    <w:rsid w:val="00D32FE1"/>
    <w:rsid w:val="00FB2551"/>
    <w:rsid w:val="24402671"/>
    <w:rsid w:val="589E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uiPriority w:val="99"/>
    <w:pPr>
      <w:tabs>
        <w:tab w:val="center" w:pos="4153"/>
        <w:tab w:val="right" w:pos="8306"/>
      </w:tabs>
      <w:snapToGrid w:val="0"/>
    </w:pPr>
    <w:rPr>
      <w:sz w:val="18"/>
      <w:szCs w:val="18"/>
    </w:rPr>
  </w:style>
  <w:style w:type="paragraph" w:styleId="4">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51"/>
    <w:basedOn w:val="10"/>
    <w:uiPriority w:val="0"/>
    <w:rPr>
      <w:rFonts w:hint="eastAsia" w:ascii="仿宋_GB2312" w:eastAsia="仿宋_GB2312"/>
      <w:color w:val="000000"/>
      <w:sz w:val="21"/>
      <w:szCs w:val="21"/>
      <w:u w:val="none"/>
    </w:rPr>
  </w:style>
  <w:style w:type="character" w:customStyle="1" w:styleId="35">
    <w:name w:val="font41"/>
    <w:basedOn w:val="10"/>
    <w:uiPriority w:val="0"/>
    <w:rPr>
      <w:rFonts w:hint="default" w:ascii="Times New Roman" w:hAnsi="Times New Roman" w:cs="Times New Roman"/>
      <w:color w:val="000000"/>
      <w:sz w:val="21"/>
      <w:szCs w:val="21"/>
      <w:u w:val="none"/>
    </w:rPr>
  </w:style>
  <w:style w:type="character" w:customStyle="1" w:styleId="36">
    <w:name w:val="font31"/>
    <w:basedOn w:val="10"/>
    <w:qFormat/>
    <w:uiPriority w:val="0"/>
    <w:rPr>
      <w:rFonts w:hint="eastAsia" w:ascii="方正书宋_GBK" w:eastAsia="方正书宋_GBK"/>
      <w:color w:val="000000"/>
      <w:sz w:val="24"/>
      <w:szCs w:val="24"/>
      <w:u w:val="none"/>
    </w:rPr>
  </w:style>
  <w:style w:type="character" w:customStyle="1" w:styleId="37">
    <w:name w:val="页眉 Char"/>
    <w:basedOn w:val="10"/>
    <w:link w:val="4"/>
    <w:uiPriority w:val="99"/>
    <w:rPr>
      <w:rFonts w:eastAsia="Times New Roman"/>
      <w:sz w:val="18"/>
      <w:szCs w:val="18"/>
      <w:lang w:eastAsia="uk-UA"/>
    </w:rPr>
  </w:style>
  <w:style w:type="character" w:customStyle="1" w:styleId="38">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2023-03-13T11:12:04Z</dcterms:created>
  <dcterms:modified xsi:type="dcterms:W3CDTF">2023-03-13T03:12:04Z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2023-03-13T11:11:59Z</dcterms:created>
  <dcterms:modified xsi:type="dcterms:W3CDTF">2023-03-13T03:11:59Z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2023-03-13T11:12:06Z</dcterms:created>
  <dcterms:modified xsi:type="dcterms:W3CDTF">2023-03-13T03:12:06Z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2023-03-13T11:12:06Z</dcterms:created>
  <dcterms:modified xsi:type="dcterms:W3CDTF">2023-03-13T03:12:06Z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2023-03-13T11:12:05Z</dcterms:created>
  <dcterms:modified xsi:type="dcterms:W3CDTF">2023-03-13T03:12:05Z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2023-03-13T11:12:01Z</dcterms:created>
  <dcterms:modified xsi:type="dcterms:W3CDTF">2023-03-13T03:12:01Z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2023-03-13T11:12:00Z</dcterms:created>
  <dcterms:modified xsi:type="dcterms:W3CDTF">2023-03-13T03:12:00Z</dcterms:modified>
</cp:coreProperties>
</file>

<file path=customXml/itemProps1.xml><?xml version="1.0" encoding="utf-8"?>
<ds:datastoreItem xmlns:ds="http://schemas.openxmlformats.org/officeDocument/2006/customXml" ds:itemID="{AF78B74E-B818-45AE-BA8D-73E52E5759B2}">
  <ds:schemaRefs/>
</ds:datastoreItem>
</file>

<file path=customXml/itemProps10.xml><?xml version="1.0" encoding="utf-8"?>
<ds:datastoreItem xmlns:ds="http://schemas.openxmlformats.org/officeDocument/2006/customXml" ds:itemID="{F41EFBDB-E974-498B-B89A-947F2BEDE987}">
  <ds:schemaRefs/>
</ds:datastoreItem>
</file>

<file path=customXml/itemProps11.xml><?xml version="1.0" encoding="utf-8"?>
<ds:datastoreItem xmlns:ds="http://schemas.openxmlformats.org/officeDocument/2006/customXml" ds:itemID="{C69B9196-712F-40F9-A00F-2E020AF12B75}">
  <ds:schemaRefs/>
</ds:datastoreItem>
</file>

<file path=customXml/itemProps12.xml><?xml version="1.0" encoding="utf-8"?>
<ds:datastoreItem xmlns:ds="http://schemas.openxmlformats.org/officeDocument/2006/customXml" ds:itemID="{80CA2C28-797B-4F87-938E-828C724286D9}">
  <ds:schemaRefs/>
</ds:datastoreItem>
</file>

<file path=customXml/itemProps13.xml><?xml version="1.0" encoding="utf-8"?>
<ds:datastoreItem xmlns:ds="http://schemas.openxmlformats.org/officeDocument/2006/customXml" ds:itemID="{9B7EAAD1-1A60-4399-861B-E247F0556D6C}">
  <ds:schemaRefs/>
</ds:datastoreItem>
</file>

<file path=customXml/itemProps14.xml><?xml version="1.0" encoding="utf-8"?>
<ds:datastoreItem xmlns:ds="http://schemas.openxmlformats.org/officeDocument/2006/customXml" ds:itemID="{75376BF2-EF44-4D29-ABE6-A178ABD37850}">
  <ds:schemaRefs/>
</ds:datastoreItem>
</file>

<file path=customXml/itemProps15.xml><?xml version="1.0" encoding="utf-8"?>
<ds:datastoreItem xmlns:ds="http://schemas.openxmlformats.org/officeDocument/2006/customXml" ds:itemID="{CF033510-FB22-4255-AEEE-9E5B1235CDE9}">
  <ds:schemaRefs/>
</ds:datastoreItem>
</file>

<file path=customXml/itemProps16.xml><?xml version="1.0" encoding="utf-8"?>
<ds:datastoreItem xmlns:ds="http://schemas.openxmlformats.org/officeDocument/2006/customXml" ds:itemID="{781E3794-4038-44A4-BF10-881A5BC28EA7}">
  <ds:schemaRefs/>
</ds:datastoreItem>
</file>

<file path=customXml/itemProps17.xml><?xml version="1.0" encoding="utf-8"?>
<ds:datastoreItem xmlns:ds="http://schemas.openxmlformats.org/officeDocument/2006/customXml" ds:itemID="{83F5D5F8-1E36-42C0-A9F1-0B2D83709021}">
  <ds:schemaRefs/>
</ds:datastoreItem>
</file>

<file path=customXml/itemProps18.xml><?xml version="1.0" encoding="utf-8"?>
<ds:datastoreItem xmlns:ds="http://schemas.openxmlformats.org/officeDocument/2006/customXml" ds:itemID="{5B3950E4-6730-4D86-8748-8A1C03DD4A60}">
  <ds:schemaRefs/>
</ds:datastoreItem>
</file>

<file path=customXml/itemProps19.xml><?xml version="1.0" encoding="utf-8"?>
<ds:datastoreItem xmlns:ds="http://schemas.openxmlformats.org/officeDocument/2006/customXml" ds:itemID="{143EDA09-4F94-491B-A574-C5758162F130}">
  <ds:schemaRefs/>
</ds:datastoreItem>
</file>

<file path=customXml/itemProps2.xml><?xml version="1.0" encoding="utf-8"?>
<ds:datastoreItem xmlns:ds="http://schemas.openxmlformats.org/officeDocument/2006/customXml" ds:itemID="{58ADA841-A468-42FC-A9FA-E4DB777B54AA}">
  <ds:schemaRefs/>
</ds:datastoreItem>
</file>

<file path=customXml/itemProps20.xml><?xml version="1.0" encoding="utf-8"?>
<ds:datastoreItem xmlns:ds="http://schemas.openxmlformats.org/officeDocument/2006/customXml" ds:itemID="{E1CD2B39-C63F-45A6-B003-5C41076E8289}">
  <ds:schemaRefs/>
</ds:datastoreItem>
</file>

<file path=customXml/itemProps21.xml><?xml version="1.0" encoding="utf-8"?>
<ds:datastoreItem xmlns:ds="http://schemas.openxmlformats.org/officeDocument/2006/customXml" ds:itemID="{684E5460-1A53-4B3D-AD02-37EBF2160856}">
  <ds:schemaRefs/>
</ds:datastoreItem>
</file>

<file path=customXml/itemProps22.xml><?xml version="1.0" encoding="utf-8"?>
<ds:datastoreItem xmlns:ds="http://schemas.openxmlformats.org/officeDocument/2006/customXml" ds:itemID="{BB9D3FF9-C675-4F08-9DD9-EF0D1455F096}">
  <ds:schemaRefs/>
</ds:datastoreItem>
</file>

<file path=customXml/itemProps23.xml><?xml version="1.0" encoding="utf-8"?>
<ds:datastoreItem xmlns:ds="http://schemas.openxmlformats.org/officeDocument/2006/customXml" ds:itemID="{97BCD007-77EC-4962-BB7C-4D34966537BA}">
  <ds:schemaRefs/>
</ds:datastoreItem>
</file>

<file path=customXml/itemProps24.xml><?xml version="1.0" encoding="utf-8"?>
<ds:datastoreItem xmlns:ds="http://schemas.openxmlformats.org/officeDocument/2006/customXml" ds:itemID="{82422794-C917-4741-B1EA-3A9165CA4501}">
  <ds:schemaRefs/>
</ds:datastoreItem>
</file>

<file path=customXml/itemProps25.xml><?xml version="1.0" encoding="utf-8"?>
<ds:datastoreItem xmlns:ds="http://schemas.openxmlformats.org/officeDocument/2006/customXml" ds:itemID="{858F98BC-A4C4-4FCE-BD73-5526DC6E0BB0}">
  <ds:schemaRefs/>
</ds:datastoreItem>
</file>

<file path=customXml/itemProps26.xml><?xml version="1.0" encoding="utf-8"?>
<ds:datastoreItem xmlns:ds="http://schemas.openxmlformats.org/officeDocument/2006/customXml" ds:itemID="{D9C6544F-FC84-438B-AE35-2A2AEC8C8FAA}">
  <ds:schemaRefs/>
</ds:datastoreItem>
</file>

<file path=customXml/itemProps27.xml><?xml version="1.0" encoding="utf-8"?>
<ds:datastoreItem xmlns:ds="http://schemas.openxmlformats.org/officeDocument/2006/customXml" ds:itemID="{91F34E06-79E8-475A-9A1C-8E4C48265014}">
  <ds:schemaRefs/>
</ds:datastoreItem>
</file>

<file path=customXml/itemProps28.xml><?xml version="1.0" encoding="utf-8"?>
<ds:datastoreItem xmlns:ds="http://schemas.openxmlformats.org/officeDocument/2006/customXml" ds:itemID="{D36EF5FE-9F2C-4924-809F-BABC27A4CFF9}">
  <ds:schemaRefs/>
</ds:datastoreItem>
</file>

<file path=customXml/itemProps29.xml><?xml version="1.0" encoding="utf-8"?>
<ds:datastoreItem xmlns:ds="http://schemas.openxmlformats.org/officeDocument/2006/customXml" ds:itemID="{4495051F-1BBA-4470-89EC-A671D8E94645}">
  <ds:schemaRefs/>
</ds:datastoreItem>
</file>

<file path=customXml/itemProps3.xml><?xml version="1.0" encoding="utf-8"?>
<ds:datastoreItem xmlns:ds="http://schemas.openxmlformats.org/officeDocument/2006/customXml" ds:itemID="{8196AAFB-19C6-4BD6-A21F-3C276AE755AB}">
  <ds:schemaRefs/>
</ds:datastoreItem>
</file>

<file path=customXml/itemProps30.xml><?xml version="1.0" encoding="utf-8"?>
<ds:datastoreItem xmlns:ds="http://schemas.openxmlformats.org/officeDocument/2006/customXml" ds:itemID="{E7457E9D-A5C6-4CCD-A764-6ADDACA6B1F3}">
  <ds:schemaRefs/>
</ds:datastoreItem>
</file>

<file path=customXml/itemProps31.xml><?xml version="1.0" encoding="utf-8"?>
<ds:datastoreItem xmlns:ds="http://schemas.openxmlformats.org/officeDocument/2006/customXml" ds:itemID="{8AE40C13-6AF0-48D7-A963-2F4034262C40}">
  <ds:schemaRefs/>
</ds:datastoreItem>
</file>

<file path=customXml/itemProps32.xml><?xml version="1.0" encoding="utf-8"?>
<ds:datastoreItem xmlns:ds="http://schemas.openxmlformats.org/officeDocument/2006/customXml" ds:itemID="{04C04955-22FD-4B20-AE53-0F249D9013B3}">
  <ds:schemaRefs/>
</ds:datastoreItem>
</file>

<file path=customXml/itemProps33.xml><?xml version="1.0" encoding="utf-8"?>
<ds:datastoreItem xmlns:ds="http://schemas.openxmlformats.org/officeDocument/2006/customXml" ds:itemID="{EB9AD3A2-6D3F-4F06-8A7A-F0251507871F}">
  <ds:schemaRefs/>
</ds:datastoreItem>
</file>

<file path=customXml/itemProps34.xml><?xml version="1.0" encoding="utf-8"?>
<ds:datastoreItem xmlns:ds="http://schemas.openxmlformats.org/officeDocument/2006/customXml" ds:itemID="{C273202C-67A4-43C3-9738-5DC441F89FB7}">
  <ds:schemaRefs/>
</ds:datastoreItem>
</file>

<file path=customXml/itemProps35.xml><?xml version="1.0" encoding="utf-8"?>
<ds:datastoreItem xmlns:ds="http://schemas.openxmlformats.org/officeDocument/2006/customXml" ds:itemID="{897EF41D-DDE9-4B11-8A90-8F33944466BF}">
  <ds:schemaRefs/>
</ds:datastoreItem>
</file>

<file path=customXml/itemProps36.xml><?xml version="1.0" encoding="utf-8"?>
<ds:datastoreItem xmlns:ds="http://schemas.openxmlformats.org/officeDocument/2006/customXml" ds:itemID="{BC8B2C14-7B8C-4029-A749-9CD9822D6E21}">
  <ds:schemaRefs/>
</ds:datastoreItem>
</file>

<file path=customXml/itemProps37.xml><?xml version="1.0" encoding="utf-8"?>
<ds:datastoreItem xmlns:ds="http://schemas.openxmlformats.org/officeDocument/2006/customXml" ds:itemID="{9945E3DD-084A-4875-9065-F4AE90291643}">
  <ds:schemaRefs/>
</ds:datastoreItem>
</file>

<file path=customXml/itemProps38.xml><?xml version="1.0" encoding="utf-8"?>
<ds:datastoreItem xmlns:ds="http://schemas.openxmlformats.org/officeDocument/2006/customXml" ds:itemID="{9B1BA575-07DE-4EE8-9136-537AC8719A6B}">
  <ds:schemaRefs/>
</ds:datastoreItem>
</file>

<file path=customXml/itemProps39.xml><?xml version="1.0" encoding="utf-8"?>
<ds:datastoreItem xmlns:ds="http://schemas.openxmlformats.org/officeDocument/2006/customXml" ds:itemID="{898876CE-4952-44E5-8047-DA149EBA6666}">
  <ds:schemaRefs/>
</ds:datastoreItem>
</file>

<file path=customXml/itemProps4.xml><?xml version="1.0" encoding="utf-8"?>
<ds:datastoreItem xmlns:ds="http://schemas.openxmlformats.org/officeDocument/2006/customXml" ds:itemID="{47097137-748F-4F78-AC6D-C0D602B97E47}">
  <ds:schemaRefs/>
</ds:datastoreItem>
</file>

<file path=customXml/itemProps40.xml><?xml version="1.0" encoding="utf-8"?>
<ds:datastoreItem xmlns:ds="http://schemas.openxmlformats.org/officeDocument/2006/customXml" ds:itemID="{3E033E0B-EE83-428A-A5E7-5656537F82F5}">
  <ds:schemaRefs/>
</ds:datastoreItem>
</file>

<file path=customXml/itemProps41.xml><?xml version="1.0" encoding="utf-8"?>
<ds:datastoreItem xmlns:ds="http://schemas.openxmlformats.org/officeDocument/2006/customXml" ds:itemID="{FA2158CA-4A7D-459C-8C42-E69FCCFCD2D9}">
  <ds:schemaRefs/>
</ds:datastoreItem>
</file>

<file path=customXml/itemProps42.xml><?xml version="1.0" encoding="utf-8"?>
<ds:datastoreItem xmlns:ds="http://schemas.openxmlformats.org/officeDocument/2006/customXml" ds:itemID="{D9752908-30BA-4A2A-B902-E99FF801506F}">
  <ds:schemaRefs/>
</ds:datastoreItem>
</file>

<file path=customXml/itemProps43.xml><?xml version="1.0" encoding="utf-8"?>
<ds:datastoreItem xmlns:ds="http://schemas.openxmlformats.org/officeDocument/2006/customXml" ds:itemID="{CF765747-13E9-4DC2-83C5-0BC267251CE3}">
  <ds:schemaRefs/>
</ds:datastoreItem>
</file>

<file path=customXml/itemProps44.xml><?xml version="1.0" encoding="utf-8"?>
<ds:datastoreItem xmlns:ds="http://schemas.openxmlformats.org/officeDocument/2006/customXml" ds:itemID="{E492CE1C-C5A0-4117-8379-EAA16C7E42D3}">
  <ds:schemaRefs/>
</ds:datastoreItem>
</file>

<file path=customXml/itemProps45.xml><?xml version="1.0" encoding="utf-8"?>
<ds:datastoreItem xmlns:ds="http://schemas.openxmlformats.org/officeDocument/2006/customXml" ds:itemID="{0A3E27FE-AC29-4C0D-A0C6-5AC6A5FBB6CC}">
  <ds:schemaRefs/>
</ds:datastoreItem>
</file>

<file path=customXml/itemProps46.xml><?xml version="1.0" encoding="utf-8"?>
<ds:datastoreItem xmlns:ds="http://schemas.openxmlformats.org/officeDocument/2006/customXml" ds:itemID="{B220C5A8-9992-46DD-9B50-358469DC4D62}">
  <ds:schemaRefs/>
</ds:datastoreItem>
</file>

<file path=customXml/itemProps47.xml><?xml version="1.0" encoding="utf-8"?>
<ds:datastoreItem xmlns:ds="http://schemas.openxmlformats.org/officeDocument/2006/customXml" ds:itemID="{CFC10DA1-1C92-4AAF-B51C-6320CDFA2BB8}">
  <ds:schemaRefs/>
</ds:datastoreItem>
</file>

<file path=customXml/itemProps48.xml><?xml version="1.0" encoding="utf-8"?>
<ds:datastoreItem xmlns:ds="http://schemas.openxmlformats.org/officeDocument/2006/customXml" ds:itemID="{9DD9A879-8810-4C7B-98E5-436F81D92BC6}">
  <ds:schemaRefs/>
</ds:datastoreItem>
</file>

<file path=customXml/itemProps49.xml><?xml version="1.0" encoding="utf-8"?>
<ds:datastoreItem xmlns:ds="http://schemas.openxmlformats.org/officeDocument/2006/customXml" ds:itemID="{F180A2DF-C063-42DD-8AA6-DB2619F57940}">
  <ds:schemaRefs/>
</ds:datastoreItem>
</file>

<file path=customXml/itemProps5.xml><?xml version="1.0" encoding="utf-8"?>
<ds:datastoreItem xmlns:ds="http://schemas.openxmlformats.org/officeDocument/2006/customXml" ds:itemID="{76B11EDC-7C1B-40A7-AD56-A294B3B9F55C}">
  <ds:schemaRefs/>
</ds:datastoreItem>
</file>

<file path=customXml/itemProps50.xml><?xml version="1.0" encoding="utf-8"?>
<ds:datastoreItem xmlns:ds="http://schemas.openxmlformats.org/officeDocument/2006/customXml" ds:itemID="{B7496481-03B6-4677-B2E2-2FAE8465AD5A}">
  <ds:schemaRefs/>
</ds:datastoreItem>
</file>

<file path=customXml/itemProps6.xml><?xml version="1.0" encoding="utf-8"?>
<ds:datastoreItem xmlns:ds="http://schemas.openxmlformats.org/officeDocument/2006/customXml" ds:itemID="{454C0E73-AEC4-4597-9251-86789AD7E1E7}">
  <ds:schemaRefs/>
</ds:datastoreItem>
</file>

<file path=customXml/itemProps7.xml><?xml version="1.0" encoding="utf-8"?>
<ds:datastoreItem xmlns:ds="http://schemas.openxmlformats.org/officeDocument/2006/customXml" ds:itemID="{61ACCD99-23CE-4313-AA50-3C61CAC2D0D2}">
  <ds:schemaRefs/>
</ds:datastoreItem>
</file>

<file path=customXml/itemProps8.xml><?xml version="1.0" encoding="utf-8"?>
<ds:datastoreItem xmlns:ds="http://schemas.openxmlformats.org/officeDocument/2006/customXml" ds:itemID="{EE8059E8-D234-43DD-9C60-D913187FE060}">
  <ds:schemaRefs/>
</ds:datastoreItem>
</file>

<file path=customXml/itemProps9.xml><?xml version="1.0" encoding="utf-8"?>
<ds:datastoreItem xmlns:ds="http://schemas.openxmlformats.org/officeDocument/2006/customXml" ds:itemID="{331D5128-D0C0-4F7D-98BE-CBA9A97E0C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2612</Words>
  <Characters>14895</Characters>
  <Lines>124</Lines>
  <Paragraphs>34</Paragraphs>
  <TotalTime>1</TotalTime>
  <ScaleCrop>false</ScaleCrop>
  <LinksUpToDate>false</LinksUpToDate>
  <CharactersWithSpaces>17473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2023-03-15T07:06:00Z</dcterms:created>
  <dc:creator>Liz</dc:creator>
  <cp:lastModifiedBy>111</cp:lastModifiedBy>
  <dcterms:modified xsi:type="dcterms:W3CDTF">2024-05-15T09:15:26Z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BF6D153FBFD1469394265D03C562104B</vt:lpwstr>
  </property>
</Properties>
</file>