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广阳区就业服务局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广阳区就业服务局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就业服务局主要职能为：负责就业服务信息数据的收集、发布等工作；负责就业招聘、求职登记和职业指导服务工作；为劳务协作和农村劳动力向非农产业转移、失业保险、劳动事务代理、就业失业登记、劳动力就业创业培训等工作提供服务保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廊坊市广阳区就业服务局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参公事业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广阳区就业服务局</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153.83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153.83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广阳区就业服务局2022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153.83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153.83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141.03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12.8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元，包括本级支出。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153.83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w:t>
      </w:r>
      <w:r>
        <w:rPr>
          <w:rFonts w:hint="eastAsia" w:ascii="Times New Roman" w:hAnsi="Times New Roman" w:eastAsia="仿宋_GB2312" w:cs="Times New Roman"/>
          <w:sz w:val="32"/>
          <w:szCs w:val="32"/>
        </w:rPr>
        <w:t>1760.69</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0.81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公用经费</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rPr>
        <w:t>1761.5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购买服务人员经费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w:t>
      </w:r>
      <w:r>
        <w:rPr>
          <w:rFonts w:hint="eastAsia" w:ascii="Times New Roman" w:hAnsi="Times New Roman" w:eastAsia="仿宋_GB2312" w:cs="Times New Roman"/>
          <w:color w:val="000000" w:themeColor="text1"/>
          <w:sz w:val="32"/>
          <w:szCs w:val="32"/>
          <w14:textFill>
            <w14:solidFill>
              <w14:schemeClr w14:val="tx1"/>
            </w14:solidFill>
          </w14:textFill>
        </w:rPr>
        <w:t>比</w:t>
      </w:r>
      <w:r>
        <w:rPr>
          <w:rFonts w:ascii="Times New Roman" w:hAnsi="Times New Roman" w:eastAsia="仿宋_GB2312" w:cs="Times New Roman"/>
          <w:color w:val="000000" w:themeColor="text1"/>
          <w:sz w:val="32"/>
          <w:szCs w:val="32"/>
          <w14:textFill>
            <w14:solidFill>
              <w14:schemeClr w14:val="tx1"/>
            </w14:solidFill>
          </w14:textFill>
        </w:rPr>
        <w:t>持平，无增减变化。</w:t>
      </w:r>
    </w:p>
    <w:p>
      <w:pPr>
        <w:spacing w:line="584"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我局总体绩效目标为突出就业优先，全力提升就业创业质量；突出服务发展，切实加强人员素质培养；突出乡村振兴，巩固拓展脱贫攻坚成果。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全面落实就业政策，帮助失业人员再就业完成600人目标任务，全面开展就业服务局各项重点工作，保障各项工作任务于2022年底顺利完成，全年持续进行就业创业服务。规范资金使用流程，保障资金使用安全。积极开展职业技能提升行动，让劳动力有一技之长，提升广阳区劳动力就业水平。</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坚持实施积极的就业创业政策，加强政府引导，完善市场机制。以高校毕业生、农村转移劳动力、就业困难人员为重点服务对象，通过开展就业创业专项活动，发挥就业服务网络作用，深入乡镇、村开展“春风行动”、“就业扶贫援助月”等专项活动，搭建起坚实的就业服务平台。为企业和求职者搭建线上线下对接平台，提供职业指导、职业培训等全方位服务。充分利用职业技能提升行动，保持劳动者稳定就业。进一步加大培训宣传力度，切实提高政策公众知晓度，加快推进职业技能提升行动实施。通过精准服务开展职业技能培训、企业新型学徒制培训等，就业质量进一步提升，就业稳定性进一步增强。</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656"/>
        <w:gridCol w:w="1119"/>
        <w:gridCol w:w="2074"/>
        <w:gridCol w:w="5637"/>
        <w:gridCol w:w="2060"/>
        <w:gridCol w:w="373"/>
        <w:gridCol w:w="652"/>
        <w:gridCol w:w="373"/>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11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07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563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0" w:type="auto"/>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1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0" w:type="auto"/>
            <w:vMerge w:val="continue"/>
            <w:tcBorders>
              <w:tl2br w:val="nil"/>
              <w:tr2bl w:val="nil"/>
            </w:tcBorders>
            <w:vAlign w:val="center"/>
          </w:tcPr>
          <w:p/>
        </w:tc>
        <w:tc>
          <w:tcPr>
            <w:tcW w:w="1119" w:type="dxa"/>
            <w:vMerge w:val="continue"/>
            <w:tcBorders>
              <w:tl2br w:val="nil"/>
              <w:tr2bl w:val="nil"/>
            </w:tcBorders>
            <w:vAlign w:val="center"/>
          </w:tcPr>
          <w:p/>
        </w:tc>
        <w:tc>
          <w:tcPr>
            <w:tcW w:w="2074" w:type="dxa"/>
            <w:vMerge w:val="continue"/>
            <w:tcBorders>
              <w:tl2br w:val="nil"/>
              <w:tr2bl w:val="nil"/>
            </w:tcBorders>
            <w:vAlign w:val="center"/>
          </w:tcPr>
          <w:p/>
        </w:tc>
        <w:tc>
          <w:tcPr>
            <w:tcW w:w="5637" w:type="dxa"/>
            <w:vMerge w:val="continue"/>
            <w:tcBorders>
              <w:tl2br w:val="nil"/>
              <w:tr2bl w:val="nil"/>
            </w:tcBorders>
            <w:vAlign w:val="center"/>
          </w:tcPr>
          <w:p/>
        </w:tc>
        <w:tc>
          <w:tcPr>
            <w:tcW w:w="0" w:type="auto"/>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0" w:type="auto"/>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0" w:type="auto"/>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19"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0" w:type="auto"/>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1119" w:type="dxa"/>
            <w:tcBorders>
              <w:tl2br w:val="nil"/>
              <w:tr2bl w:val="nil"/>
            </w:tcBorders>
            <w:vAlign w:val="center"/>
          </w:tcPr>
          <w:p>
            <w:pPr>
              <w:widowControl/>
              <w:adjustRightInd w:val="0"/>
              <w:snapToGrid w:val="0"/>
              <w:jc w:val="center"/>
              <w:rPr>
                <w:rFonts w:hint="eastAsia" w:ascii="方正书宋_GBK" w:eastAsia="方正书宋_GBK" w:cs="Arial"/>
              </w:rPr>
            </w:pPr>
            <w:r>
              <w:rPr>
                <w:rFonts w:hint="eastAsia" w:ascii="方正书宋_GBK" w:eastAsia="方正书宋_GBK" w:cs="Arial"/>
              </w:rPr>
              <w:t>数量</w:t>
            </w:r>
          </w:p>
        </w:tc>
        <w:tc>
          <w:tcPr>
            <w:tcW w:w="207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失业人员再就业人数</w:t>
            </w:r>
          </w:p>
        </w:tc>
        <w:tc>
          <w:tcPr>
            <w:tcW w:w="563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达到目标值得权重分的100%，每降低5%，扣权重分5%</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失业人员再就业人数</w:t>
            </w:r>
          </w:p>
        </w:tc>
        <w:tc>
          <w:tcPr>
            <w:tcW w:w="0" w:type="auto"/>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0" w:type="auto"/>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600</w:t>
            </w:r>
          </w:p>
        </w:tc>
        <w:tc>
          <w:tcPr>
            <w:tcW w:w="0" w:type="auto"/>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人</w:t>
            </w:r>
          </w:p>
        </w:tc>
        <w:tc>
          <w:tcPr>
            <w:tcW w:w="1219"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tc>
        <w:tc>
          <w:tcPr>
            <w:tcW w:w="1119" w:type="dxa"/>
            <w:tcBorders>
              <w:tl2br w:val="nil"/>
              <w:tr2bl w:val="nil"/>
            </w:tcBorders>
            <w:vAlign w:val="center"/>
          </w:tcPr>
          <w:p>
            <w:pPr>
              <w:widowControl/>
              <w:adjustRightInd w:val="0"/>
              <w:snapToGrid w:val="0"/>
              <w:jc w:val="center"/>
              <w:rPr>
                <w:rFonts w:hint="eastAsia" w:ascii="方正书宋_GBK" w:eastAsia="方正书宋_GBK" w:cs="Arial"/>
              </w:rPr>
            </w:pPr>
            <w:r>
              <w:rPr>
                <w:rFonts w:hint="eastAsia" w:ascii="方正书宋_GBK" w:eastAsia="方正书宋_GBK" w:cs="Arial"/>
              </w:rPr>
              <w:t>质量</w:t>
            </w:r>
          </w:p>
        </w:tc>
        <w:tc>
          <w:tcPr>
            <w:tcW w:w="207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各项工作全面完成预期目标</w:t>
            </w:r>
          </w:p>
        </w:tc>
        <w:tc>
          <w:tcPr>
            <w:tcW w:w="563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达到目标值得权重分的100%，每降低5%，扣权重分5%。</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各项工作全面完成预期目标</w:t>
            </w:r>
          </w:p>
        </w:tc>
        <w:tc>
          <w:tcPr>
            <w:tcW w:w="0" w:type="auto"/>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0" w:type="auto"/>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19"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0" w:type="auto"/>
            <w:vMerge w:val="continue"/>
            <w:tcBorders>
              <w:tl2br w:val="nil"/>
              <w:tr2bl w:val="nil"/>
            </w:tcBorders>
            <w:vAlign w:val="center"/>
          </w:tcPr>
          <w:p/>
        </w:tc>
        <w:tc>
          <w:tcPr>
            <w:tcW w:w="1119" w:type="dxa"/>
            <w:tcBorders>
              <w:tl2br w:val="nil"/>
              <w:tr2bl w:val="nil"/>
            </w:tcBorders>
            <w:vAlign w:val="center"/>
          </w:tcPr>
          <w:p>
            <w:pPr>
              <w:widowControl/>
              <w:adjustRightInd w:val="0"/>
              <w:snapToGrid w:val="0"/>
              <w:jc w:val="center"/>
              <w:rPr>
                <w:rFonts w:hint="eastAsia" w:ascii="方正书宋_GBK" w:eastAsia="方正书宋_GBK" w:cs="Arial"/>
              </w:rPr>
            </w:pPr>
            <w:r>
              <w:rPr>
                <w:rFonts w:hint="eastAsia" w:ascii="方正书宋_GBK" w:eastAsia="方正书宋_GBK" w:cs="Arial"/>
              </w:rPr>
              <w:t>时效</w:t>
            </w:r>
          </w:p>
        </w:tc>
        <w:tc>
          <w:tcPr>
            <w:tcW w:w="207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2022年1月1日-2022年12月31日</w:t>
            </w:r>
          </w:p>
        </w:tc>
        <w:tc>
          <w:tcPr>
            <w:tcW w:w="563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达到目标值得权重分的100%，每增加10%，扣权重分5%。</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工作开展时间</w:t>
            </w:r>
          </w:p>
        </w:tc>
        <w:tc>
          <w:tcPr>
            <w:tcW w:w="0" w:type="auto"/>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0" w:type="auto"/>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19"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工作性质为全年任务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tc>
        <w:tc>
          <w:tcPr>
            <w:tcW w:w="1119" w:type="dxa"/>
            <w:tcBorders>
              <w:tl2br w:val="nil"/>
              <w:tr2bl w:val="nil"/>
            </w:tcBorders>
            <w:vAlign w:val="center"/>
          </w:tcPr>
          <w:p>
            <w:pPr>
              <w:widowControl/>
              <w:adjustRightInd w:val="0"/>
              <w:snapToGrid w:val="0"/>
              <w:jc w:val="center"/>
              <w:rPr>
                <w:rFonts w:hint="eastAsia" w:ascii="方正书宋_GBK" w:eastAsia="方正书宋_GBK" w:cs="Arial"/>
              </w:rPr>
            </w:pPr>
            <w:r>
              <w:rPr>
                <w:rFonts w:hint="eastAsia" w:ascii="方正书宋_GBK" w:eastAsia="方正书宋_GBK" w:cs="Arial"/>
              </w:rPr>
              <w:t>成本</w:t>
            </w:r>
          </w:p>
        </w:tc>
        <w:tc>
          <w:tcPr>
            <w:tcW w:w="207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不超过预算总成本</w:t>
            </w:r>
          </w:p>
        </w:tc>
        <w:tc>
          <w:tcPr>
            <w:tcW w:w="563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达到目标值得权重分的100%，每增加10%，扣权重分5%。</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总预算数</w:t>
            </w:r>
          </w:p>
        </w:tc>
        <w:tc>
          <w:tcPr>
            <w:tcW w:w="0" w:type="auto"/>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0" w:type="auto"/>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153.83</w:t>
            </w:r>
          </w:p>
        </w:tc>
        <w:tc>
          <w:tcPr>
            <w:tcW w:w="0" w:type="auto"/>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万元</w:t>
            </w:r>
          </w:p>
        </w:tc>
        <w:tc>
          <w:tcPr>
            <w:tcW w:w="1219"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2022年初预算申报表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1119" w:type="dxa"/>
            <w:tcBorders>
              <w:tl2br w:val="nil"/>
              <w:tr2bl w:val="nil"/>
            </w:tcBorders>
            <w:vAlign w:val="center"/>
          </w:tcPr>
          <w:p>
            <w:pPr>
              <w:widowControl/>
              <w:adjustRightInd w:val="0"/>
              <w:snapToGrid w:val="0"/>
              <w:jc w:val="center"/>
              <w:rPr>
                <w:rFonts w:hint="eastAsia" w:ascii="方正书宋_GBK" w:eastAsia="方正书宋_GBK" w:cs="Arial"/>
              </w:rPr>
            </w:pPr>
            <w:r>
              <w:rPr>
                <w:rFonts w:hint="eastAsia" w:ascii="方正书宋_GBK" w:eastAsia="方正书宋_GBK" w:cs="Arial"/>
              </w:rPr>
              <w:t>社会</w:t>
            </w:r>
          </w:p>
          <w:p>
            <w:pPr>
              <w:widowControl/>
              <w:adjustRightInd w:val="0"/>
              <w:snapToGrid w:val="0"/>
              <w:jc w:val="center"/>
              <w:rPr>
                <w:rFonts w:hint="eastAsia" w:ascii="方正书宋_GBK" w:eastAsia="方正书宋_GBK" w:cs="Arial"/>
              </w:rPr>
            </w:pPr>
            <w:r>
              <w:rPr>
                <w:rFonts w:hint="eastAsia" w:ascii="方正书宋_GBK" w:eastAsia="方正书宋_GBK" w:cs="Arial"/>
              </w:rPr>
              <w:t>效益</w:t>
            </w:r>
          </w:p>
        </w:tc>
        <w:tc>
          <w:tcPr>
            <w:tcW w:w="207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提供公共就业服务</w:t>
            </w:r>
          </w:p>
        </w:tc>
        <w:tc>
          <w:tcPr>
            <w:tcW w:w="563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积极开展职业技能行动得权重分的100%。</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提升劳动力就业技能</w:t>
            </w:r>
          </w:p>
        </w:tc>
        <w:tc>
          <w:tcPr>
            <w:tcW w:w="0" w:type="auto"/>
            <w:gridSpan w:val="3"/>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提升劳动力</w:t>
            </w:r>
          </w:p>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就业技能</w:t>
            </w:r>
          </w:p>
        </w:tc>
        <w:tc>
          <w:tcPr>
            <w:tcW w:w="1219"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开展职业技能培训行动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0" w:type="auto"/>
            <w:vMerge w:val="continue"/>
            <w:tcBorders>
              <w:tl2br w:val="nil"/>
              <w:tr2bl w:val="nil"/>
            </w:tcBorders>
            <w:vAlign w:val="center"/>
          </w:tcPr>
          <w:p/>
        </w:tc>
        <w:tc>
          <w:tcPr>
            <w:tcW w:w="1119" w:type="dxa"/>
            <w:tcBorders>
              <w:tl2br w:val="nil"/>
              <w:tr2bl w:val="nil"/>
            </w:tcBorders>
            <w:vAlign w:val="center"/>
          </w:tcPr>
          <w:p>
            <w:pPr>
              <w:widowControl/>
              <w:adjustRightInd w:val="0"/>
              <w:snapToGrid w:val="0"/>
              <w:jc w:val="center"/>
              <w:rPr>
                <w:rFonts w:hint="eastAsia" w:ascii="方正书宋_GBK" w:eastAsia="方正书宋_GBK" w:cs="Arial"/>
              </w:rPr>
            </w:pPr>
            <w:r>
              <w:rPr>
                <w:rFonts w:hint="eastAsia" w:ascii="方正书宋_GBK" w:eastAsia="方正书宋_GBK" w:cs="Arial"/>
              </w:rPr>
              <w:t>满意度</w:t>
            </w:r>
          </w:p>
        </w:tc>
        <w:tc>
          <w:tcPr>
            <w:tcW w:w="2074"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5637"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达到目标值得权重分的100%，每降低1%，扣权重分5%。</w:t>
            </w:r>
          </w:p>
        </w:tc>
        <w:tc>
          <w:tcPr>
            <w:tcW w:w="0" w:type="auto"/>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219"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autoSpaceDE w:val="0"/>
        <w:autoSpaceDN w:val="0"/>
        <w:adjustRightInd w:val="0"/>
        <w:spacing w:line="584" w:lineRule="exact"/>
        <w:ind w:firstLine="960" w:firstLineChars="300"/>
        <w:jc w:val="left"/>
        <w:rPr>
          <w:rFonts w:ascii="Times New Roman" w:hAnsi="Times New Roman" w:eastAsia="仿宋_GB2312" w:cs="Times New Roman"/>
          <w:sz w:val="32"/>
          <w:szCs w:val="32"/>
        </w:rPr>
      </w:pPr>
      <w:bookmarkStart w:id="0" w:name="_Toc29799657"/>
      <w:bookmarkEnd w:id="0"/>
      <w:r>
        <w:rPr>
          <w:rFonts w:hint="eastAsia" w:ascii="Times New Roman" w:hAnsi="Times New Roman" w:eastAsia="仿宋_GB2312" w:cs="Times New Roman"/>
          <w:sz w:val="32"/>
          <w:szCs w:val="32"/>
          <w:lang w:eastAsia="zh-CN"/>
        </w:rPr>
        <w:t>无</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t>***廊坊市</w:t>
      </w:r>
      <w:r>
        <w:rPr>
          <w:rFonts w:hint="eastAsia"/>
        </w:rPr>
        <w:t>广阳区*</w:t>
      </w:r>
      <w:r>
        <w:t>**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bookmarkStart w:id="3" w:name="_GoBack"/>
      <w:bookmarkEnd w:id="3"/>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广阳区就业服务局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12.6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广阳区就业服务局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广阳区就业服务局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1058.44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608.29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A039780-B59A-422F-90E7-858B878D5D12}"/>
  </w:font>
  <w:font w:name="黑体">
    <w:panose1 w:val="02010609060101010101"/>
    <w:charset w:val="86"/>
    <w:family w:val="auto"/>
    <w:pitch w:val="default"/>
    <w:sig w:usb0="800002BF" w:usb1="38CF7CFA" w:usb2="00000016" w:usb3="00000000" w:csb0="00040001" w:csb1="00000000"/>
    <w:embedRegular r:id="rId2" w:fontKey="{B7FC664C-F68C-49B0-92BA-B1599F3D7C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embedRegular r:id="rId3" w:fontKey="{4DEE07D2-2B1E-4248-AC5D-ADF4C167666D}"/>
  </w:font>
  <w:font w:name="方正仿宋_GBK">
    <w:panose1 w:val="02000000000000000000"/>
    <w:charset w:val="86"/>
    <w:family w:val="script"/>
    <w:pitch w:val="default"/>
    <w:sig w:usb0="A00002BF" w:usb1="38CF7CFA" w:usb2="00082016" w:usb3="00000000" w:csb0="00040001" w:csb1="00000000"/>
    <w:embedRegular r:id="rId4" w:fontKey="{B69D8334-3D12-441B-9356-0AD7081976A8}"/>
  </w:font>
  <w:font w:name="方正小标宋简体">
    <w:panose1 w:val="03000509000000000000"/>
    <w:charset w:val="86"/>
    <w:family w:val="auto"/>
    <w:pitch w:val="default"/>
    <w:sig w:usb0="00000001" w:usb1="080E0000" w:usb2="00000000" w:usb3="00000000" w:csb0="00040000" w:csb1="00000000"/>
    <w:embedRegular r:id="rId5" w:fontKey="{F720F3E9-1252-4F90-AD93-23522EB91ED9}"/>
  </w:font>
  <w:font w:name="仿宋_GB2312">
    <w:panose1 w:val="02010609030101010101"/>
    <w:charset w:val="86"/>
    <w:family w:val="modern"/>
    <w:pitch w:val="default"/>
    <w:sig w:usb0="00000001" w:usb1="080E0000" w:usb2="00000000" w:usb3="00000000" w:csb0="00040000" w:csb1="00000000"/>
    <w:embedRegular r:id="rId6" w:fontKey="{1456918C-C73A-43B0-A6FC-8F1836D5BCF8}"/>
  </w:font>
  <w:font w:name="楷体_GB2312">
    <w:panose1 w:val="02010609030101010101"/>
    <w:charset w:val="86"/>
    <w:family w:val="modern"/>
    <w:pitch w:val="default"/>
    <w:sig w:usb0="00000001" w:usb1="080E0000" w:usb2="00000000" w:usb3="00000000" w:csb0="00040000" w:csb1="00000000"/>
    <w:embedRegular r:id="rId7" w:fontKey="{624687E9-9BE9-4308-9AB9-5F2147BE9272}"/>
  </w:font>
  <w:font w:name="方正小标宋_GBK">
    <w:altName w:val="微软雅黑"/>
    <w:panose1 w:val="00000000000000000000"/>
    <w:charset w:val="86"/>
    <w:family w:val="script"/>
    <w:pitch w:val="default"/>
    <w:sig w:usb0="00000000" w:usb1="00000000" w:usb2="00000010" w:usb3="00000000" w:csb0="00040000" w:csb1="00000000"/>
    <w:embedRegular r:id="rId8" w:fontKey="{4322BD92-6C3B-4A84-85D6-2870E023815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10</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3B2532"/>
    <w:rsid w:val="004A0196"/>
    <w:rsid w:val="004A54AA"/>
    <w:rsid w:val="008A0C20"/>
    <w:rsid w:val="00944233"/>
    <w:rsid w:val="00B40732"/>
    <w:rsid w:val="00B80935"/>
    <w:rsid w:val="00D32118"/>
    <w:rsid w:val="00D347CC"/>
    <w:rsid w:val="00DC72B4"/>
    <w:rsid w:val="00EB323C"/>
    <w:rsid w:val="00F260B2"/>
    <w:rsid w:val="05B024A8"/>
    <w:rsid w:val="07D97B59"/>
    <w:rsid w:val="0CEC1180"/>
    <w:rsid w:val="0D543309"/>
    <w:rsid w:val="151A04AD"/>
    <w:rsid w:val="164D3B7F"/>
    <w:rsid w:val="17EB6845"/>
    <w:rsid w:val="25C62FBF"/>
    <w:rsid w:val="34376EFD"/>
    <w:rsid w:val="3BAD673E"/>
    <w:rsid w:val="3C0C0444"/>
    <w:rsid w:val="4B841D6E"/>
    <w:rsid w:val="566F2CB5"/>
    <w:rsid w:val="61FD48AA"/>
    <w:rsid w:val="632B4247"/>
    <w:rsid w:val="6B6E359B"/>
    <w:rsid w:val="6D10338D"/>
    <w:rsid w:val="712C41E9"/>
    <w:rsid w:val="73693C55"/>
    <w:rsid w:val="79C41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515</Words>
  <Characters>2937</Characters>
  <Lines>24</Lines>
  <Paragraphs>6</Paragraphs>
  <TotalTime>1</TotalTime>
  <ScaleCrop>false</ScaleCrop>
  <LinksUpToDate>false</LinksUpToDate>
  <CharactersWithSpaces>3446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2023-08-14T02:20:22Z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4F71ED5AEF304E24B0D4D5A42D12D2A7</vt:lpwstr>
  </property>
</Properties>
</file>