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广阳区委员会办公室</w:t>
      </w:r>
      <w:r>
        <w:rPr>
          <w:rFonts w:ascii="Times New Roman" w:hAnsi="Times New Roman" w:eastAsia="方正小标宋简体" w:cs="Times New Roman"/>
          <w:sz w:val="44"/>
          <w:szCs w:val="44"/>
        </w:rPr>
        <w:t xml:space="preserve">          </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bookmarkStart w:id="5" w:name="_GoBack"/>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负责推动党中央和省、市、区委决策部署的落实，按照区委要求协调有关方面开展工作，承担区委运行保障具体事务。</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负责区委和区委办公室文件、区委领导讲话稿的起草、修改等工作。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负责党中央和省、市、区委重要决策部署贯彻落实的督促检查，中央和省、市、区委领导批示和交办事项的催办反馈，区委统一部署的重大专项活动的推进落实。</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围绕党中央和省、市、区委总体工作部署开展调查研究，收集和处理信息、反映动态；负责社情民意的搜集、整理和编报工作。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负责区委全会、区委常委会和区委其他重要会议的会务工作；负责区委领导参加重大活动和日常工作活动的组织安排。</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负责区委日常文书处理；负责区委文件和区委办公室代区委行文的审核工作；负责区委制定党内法规和规范性文件的服务工作；负责统筹协调和督促指导全区党务公开工作。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负责全区档案事业宏观管理和执法复议、监督指导等工作。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负责部分原区级领导同志和本室离退休人员的服务工作；负责区委机关行政后勤、安全保卫和区委办公室财务管理工作。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完成领导交办的其他任务。</w:t>
      </w:r>
    </w:p>
    <w:p>
      <w:pPr>
        <w:spacing w:line="584" w:lineRule="exact"/>
        <w:ind w:left="660"/>
        <w:rPr>
          <w:rFonts w:ascii="Times New Roman" w:hAnsi="Times New Roman" w:eastAsia="仿宋_GB2312" w:cs="Times New Roman"/>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12"/>
        <w:tblW w:w="10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5"/>
        <w:gridCol w:w="1285"/>
        <w:gridCol w:w="1125"/>
        <w:gridCol w:w="4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21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8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2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215" w:type="dxa"/>
            <w:vMerge w:val="continue"/>
            <w:shd w:val="clear" w:color="auto" w:fill="auto"/>
            <w:vAlign w:val="center"/>
          </w:tcPr>
          <w:p/>
        </w:tc>
        <w:tc>
          <w:tcPr>
            <w:tcW w:w="1285" w:type="dxa"/>
            <w:vMerge w:val="continue"/>
            <w:shd w:val="clear" w:color="auto" w:fill="auto"/>
            <w:vAlign w:val="center"/>
          </w:tcPr>
          <w:p/>
        </w:tc>
        <w:tc>
          <w:tcPr>
            <w:tcW w:w="1125" w:type="dxa"/>
            <w:vMerge w:val="continue"/>
            <w:shd w:val="clear" w:color="auto" w:fill="auto"/>
            <w:vAlign w:val="center"/>
          </w:tcPr>
          <w:p/>
        </w:tc>
        <w:tc>
          <w:tcPr>
            <w:tcW w:w="4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215" w:type="dxa"/>
            <w:shd w:val="clear" w:color="auto" w:fill="auto"/>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Times New Roman"/>
                <w:b/>
                <w:bCs/>
                <w:sz w:val="22"/>
              </w:rPr>
              <w:t>中国共产党廊坊市广阳区委员会办公室</w:t>
            </w:r>
          </w:p>
        </w:tc>
        <w:tc>
          <w:tcPr>
            <w:tcW w:w="12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12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420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left="660"/>
        <w:rPr>
          <w:rFonts w:ascii="Times New Roman" w:hAnsi="Times New Roman"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321.35万元，其中：一般公共预算收入</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321.35万元，基金预算收入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321.35万元，其中基本支出</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82.53万元，包括人员类项目经费585.21万元和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公用项目经费197.32万元；运转类其他及特定目标类项目支出538.82万元。</w:t>
      </w:r>
    </w:p>
    <w:p>
      <w:pPr>
        <w:spacing w:line="584" w:lineRule="exact"/>
        <w:ind w:firstLine="640"/>
        <w:rPr>
          <w:rFonts w:hint="eastAsia"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321.35万元，较20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118.41万元，其中：基本支出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4.1万元，主要为</w:t>
      </w:r>
      <w:r>
        <w:rPr>
          <w:rFonts w:hint="eastAsia" w:ascii="Times New Roman" w:hAnsi="Times New Roman" w:eastAsia="仿宋_GB2312" w:cs="Times New Roman"/>
          <w:sz w:val="32"/>
          <w:szCs w:val="32"/>
        </w:rPr>
        <w:t>人员经费及日常公用经费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增加1</w:t>
      </w:r>
      <w:r>
        <w:rPr>
          <w:rFonts w:ascii="Times New Roman" w:hAnsi="Times New Roman" w:eastAsia="仿宋_GB2312" w:cs="Times New Roman"/>
          <w:sz w:val="32"/>
          <w:szCs w:val="32"/>
        </w:rPr>
        <w:t>14.31万元，主要为</w:t>
      </w:r>
      <w:r>
        <w:rPr>
          <w:rFonts w:hint="eastAsia" w:ascii="Times New Roman" w:hAnsi="Times New Roman" w:eastAsia="仿宋_GB2312" w:cs="Times New Roman"/>
          <w:sz w:val="32"/>
          <w:szCs w:val="32"/>
        </w:rPr>
        <w:t>增加了</w:t>
      </w:r>
      <w:r>
        <w:rPr>
          <w:rFonts w:ascii="Times New Roman" w:hAnsi="Times New Roman" w:eastAsia="仿宋_GB2312" w:cs="Times New Roman"/>
          <w:sz w:val="32"/>
          <w:szCs w:val="32"/>
        </w:rPr>
        <w:t>职工活动中心建设</w:t>
      </w:r>
      <w:r>
        <w:rPr>
          <w:rFonts w:hint="eastAsia" w:ascii="Times New Roman" w:hAnsi="Times New Roman" w:eastAsia="仿宋_GB2312" w:cs="Times New Roman"/>
          <w:sz w:val="32"/>
          <w:szCs w:val="32"/>
        </w:rPr>
        <w:t>经费等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机关运行经费共计安排197.32万元，主要用于办公区的日常</w:t>
      </w:r>
      <w:r>
        <w:rPr>
          <w:rFonts w:hint="eastAsia" w:ascii="Times New Roman" w:hAnsi="Times New Roman" w:eastAsia="仿宋_GB2312" w:cs="Times New Roman"/>
          <w:sz w:val="32"/>
          <w:szCs w:val="32"/>
        </w:rPr>
        <w:t>办公、</w:t>
      </w:r>
      <w:r>
        <w:rPr>
          <w:rFonts w:ascii="Times New Roman" w:hAnsi="Times New Roman" w:eastAsia="仿宋_GB2312" w:cs="Times New Roman"/>
          <w:sz w:val="32"/>
          <w:szCs w:val="32"/>
        </w:rPr>
        <w:t>维修、水电费、取暖费、办公用房物业管理费等日常运行支出。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 w:eastAsia="仿宋" w:cs="仿宋"/>
          <w:color w:val="000000"/>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2年，财政拨款“三公”经费预算安排</w:t>
      </w:r>
      <w:r>
        <w:rPr>
          <w:rFonts w:hint="eastAsia" w:ascii="Times New Roman" w:hAnsi="Times New Roman" w:eastAsia="仿宋_GB2312" w:cs="Times New Roman"/>
          <w:sz w:val="32"/>
          <w:szCs w:val="32"/>
        </w:rPr>
        <w:t>89.14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w:t>
      </w:r>
      <w:r>
        <w:rPr>
          <w:rFonts w:hint="eastAsia" w:ascii="仿宋" w:eastAsia="仿宋" w:cs="仿宋"/>
          <w:color w:val="000000"/>
          <w:sz w:val="32"/>
          <w:szCs w:val="32"/>
        </w:rPr>
        <w:t>与202</w:t>
      </w:r>
      <w:r>
        <w:rPr>
          <w:rFonts w:ascii="仿宋" w:eastAsia="仿宋" w:cs="仿宋"/>
          <w:color w:val="000000"/>
          <w:sz w:val="32"/>
          <w:szCs w:val="32"/>
        </w:rPr>
        <w:t>1</w:t>
      </w:r>
      <w:r>
        <w:rPr>
          <w:rFonts w:hint="eastAsia" w:ascii="仿宋" w:eastAsia="仿宋" w:cs="仿宋"/>
          <w:color w:val="000000"/>
          <w:sz w:val="32"/>
          <w:szCs w:val="32"/>
        </w:rPr>
        <w:t>年相比持平，无增减变化。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hint="eastAsia" w:ascii="仿宋_GB2312" w:eastAsia="仿宋_GB2312"/>
          <w:sz w:val="22"/>
          <w:szCs w:val="24"/>
        </w:rPr>
      </w:pPr>
      <w:r>
        <w:rPr>
          <w:rFonts w:hint="eastAsia" w:ascii="仿宋_GB2312" w:eastAsia="仿宋_GB2312"/>
          <w:sz w:val="32"/>
          <w:szCs w:val="24"/>
        </w:rPr>
        <w:t>我们将坚持以习近平新时代中国特色社会主义思想为指导，推动全区上下深入贯彻落实习近平总书记的重要指示精神和上级各</w:t>
      </w:r>
      <w:r>
        <w:rPr>
          <w:rFonts w:hint="eastAsia" w:ascii="仿宋_GB2312" w:eastAsia="仿宋_GB2312"/>
          <w:sz w:val="32"/>
          <w:szCs w:val="24"/>
          <w:lang w:eastAsia="zh-CN"/>
        </w:rPr>
        <w:t>单位</w:t>
      </w:r>
      <w:r>
        <w:rPr>
          <w:rFonts w:hint="eastAsia" w:ascii="仿宋_GB2312" w:eastAsia="仿宋_GB2312"/>
          <w:sz w:val="32"/>
          <w:szCs w:val="24"/>
        </w:rPr>
        <w:t>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w:t>
      </w:r>
      <w:r>
        <w:rPr>
          <w:rFonts w:hint="eastAsia" w:ascii="仿宋_GB2312" w:eastAsia="仿宋_GB2312"/>
          <w:sz w:val="32"/>
          <w:szCs w:val="24"/>
          <w:lang w:eastAsia="zh-CN"/>
        </w:rPr>
        <w:t>单位</w:t>
      </w:r>
      <w:r>
        <w:rPr>
          <w:rFonts w:hint="eastAsia" w:ascii="仿宋_GB2312" w:eastAsia="仿宋_GB2312"/>
          <w:sz w:val="32"/>
          <w:szCs w:val="24"/>
        </w:rPr>
        <w:t>体制机制建设，改进运转保障工作，确保区委各</w:t>
      </w:r>
      <w:r>
        <w:rPr>
          <w:rFonts w:hint="eastAsia" w:ascii="仿宋_GB2312" w:eastAsia="仿宋_GB2312"/>
          <w:sz w:val="32"/>
          <w:szCs w:val="24"/>
          <w:lang w:eastAsia="zh-CN"/>
        </w:rPr>
        <w:t>单位</w:t>
      </w:r>
      <w:r>
        <w:rPr>
          <w:rFonts w:hint="eastAsia" w:ascii="仿宋_GB2312" w:eastAsia="仿宋_GB2312"/>
          <w:sz w:val="32"/>
          <w:szCs w:val="24"/>
        </w:rPr>
        <w:t>运转通畅、高效快捷，不断提升各</w:t>
      </w:r>
      <w:r>
        <w:rPr>
          <w:rFonts w:hint="eastAsia" w:ascii="仿宋_GB2312" w:eastAsia="仿宋_GB2312"/>
          <w:sz w:val="32"/>
          <w:szCs w:val="24"/>
          <w:lang w:eastAsia="zh-CN"/>
        </w:rPr>
        <w:t>单位</w:t>
      </w:r>
      <w:r>
        <w:rPr>
          <w:rFonts w:hint="eastAsia" w:ascii="仿宋_GB2312" w:eastAsia="仿宋_GB2312"/>
          <w:sz w:val="32"/>
          <w:szCs w:val="24"/>
        </w:rPr>
        <w:t>“三服务”质量和水平。</w:t>
      </w:r>
    </w:p>
    <w:p>
      <w:pPr>
        <w:keepNext w:val="0"/>
        <w:keepLines w:val="0"/>
        <w:pageBreakBefore w:val="0"/>
        <w:numPr>
          <w:ilvl w:val="0"/>
          <w:numId w:val="2"/>
        </w:numPr>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分项绩效目标</w:t>
      </w:r>
    </w:p>
    <w:p>
      <w:pPr>
        <w:pStyle w:val="16"/>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保安保洁等临时人员工资</w:t>
      </w:r>
    </w:p>
    <w:p>
      <w:pPr>
        <w:pStyle w:val="16"/>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rPr>
        <w:t>绩效目标：及时发放区委办保安保洁临时人员工资，做到专款专用， 确保区委大院各</w:t>
      </w:r>
      <w:r>
        <w:rPr>
          <w:rFonts w:hint="eastAsia" w:ascii="仿宋_GB2312" w:eastAsia="仿宋_GB2312"/>
          <w:sz w:val="32"/>
          <w:szCs w:val="32"/>
          <w:lang w:eastAsia="zh-CN"/>
        </w:rPr>
        <w:t>单位</w:t>
      </w:r>
      <w:r>
        <w:rPr>
          <w:rFonts w:hint="eastAsia" w:ascii="仿宋_GB2312" w:eastAsia="仿宋_GB2312"/>
          <w:sz w:val="32"/>
          <w:szCs w:val="32"/>
        </w:rPr>
        <w:t>的正常运转，同时保障临时人员满意度。</w:t>
      </w:r>
    </w:p>
    <w:p>
      <w:pPr>
        <w:pStyle w:val="16"/>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rPr>
        <w:t>绩效指标：数量保安服务人数9人保洁服务人数37人。时效保安保洁服务进度严格按照合同约定执行。质量保安保洁服务验收合格。质量保安保洁人员全部到岗。成本成本控制小于120万。社会效益推动各项工作的开展可以保障区委后勤工作正常开展。可持续影响持续维护机关后勤工作正常运转，年内持续保障机关后勤工作。满意度工作人员满意度　大于95%。</w:t>
      </w:r>
    </w:p>
    <w:p>
      <w:pPr>
        <w:pStyle w:val="16"/>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政务服务经费</w:t>
      </w:r>
    </w:p>
    <w:p>
      <w:pPr>
        <w:pStyle w:val="16"/>
        <w:keepNext w:val="0"/>
        <w:keepLines w:val="0"/>
        <w:pageBreakBefore w:val="0"/>
        <w:kinsoku/>
        <w:wordWrap/>
        <w:overflowPunct/>
        <w:topLinePunct w:val="0"/>
        <w:autoSpaceDE/>
        <w:autoSpaceDN/>
        <w:bidi w:val="0"/>
        <w:adjustRightInd/>
        <w:snapToGrid/>
        <w:spacing w:line="584" w:lineRule="exact"/>
        <w:textAlignment w:val="auto"/>
        <w:rPr>
          <w:rFonts w:hint="eastAsia" w:ascii="仿宋_GB2312" w:eastAsia="仿宋_GB2312"/>
          <w:sz w:val="32"/>
          <w:szCs w:val="32"/>
        </w:rPr>
      </w:pPr>
      <w:r>
        <w:rPr>
          <w:rFonts w:hint="eastAsia" w:ascii="仿宋_GB2312" w:eastAsia="仿宋_GB2312"/>
          <w:sz w:val="32"/>
          <w:szCs w:val="32"/>
        </w:rPr>
        <w:t>绩效目标：保障区委大院各</w:t>
      </w:r>
      <w:r>
        <w:rPr>
          <w:rFonts w:hint="eastAsia" w:ascii="仿宋_GB2312" w:eastAsia="仿宋_GB2312"/>
          <w:sz w:val="32"/>
          <w:szCs w:val="32"/>
          <w:lang w:eastAsia="zh-CN"/>
        </w:rPr>
        <w:t>单位</w:t>
      </w:r>
      <w:r>
        <w:rPr>
          <w:rFonts w:hint="eastAsia" w:ascii="仿宋_GB2312" w:eastAsia="仿宋_GB2312"/>
          <w:sz w:val="32"/>
          <w:szCs w:val="32"/>
        </w:rPr>
        <w:t>开展好工作所需经费开支，为确保区委大院各单位各</w:t>
      </w:r>
      <w:r>
        <w:rPr>
          <w:rFonts w:hint="eastAsia" w:ascii="仿宋_GB2312" w:eastAsia="仿宋_GB2312"/>
          <w:sz w:val="32"/>
          <w:szCs w:val="32"/>
          <w:lang w:eastAsia="zh-CN"/>
        </w:rPr>
        <w:t>单位</w:t>
      </w:r>
      <w:r>
        <w:rPr>
          <w:rFonts w:hint="eastAsia" w:ascii="仿宋_GB2312" w:eastAsia="仿宋_GB2312"/>
          <w:sz w:val="32"/>
          <w:szCs w:val="32"/>
        </w:rPr>
        <w:t>的正常办公秩序提供保障，同时提高机关工作人员满意度。满足开展工作所需的经费开支，为区委大院各单位各</w:t>
      </w:r>
      <w:r>
        <w:rPr>
          <w:rFonts w:hint="eastAsia" w:ascii="仿宋_GB2312" w:eastAsia="仿宋_GB2312"/>
          <w:sz w:val="32"/>
          <w:szCs w:val="32"/>
          <w:lang w:eastAsia="zh-CN"/>
        </w:rPr>
        <w:t>单位</w:t>
      </w:r>
      <w:r>
        <w:rPr>
          <w:rFonts w:hint="eastAsia" w:ascii="仿宋_GB2312" w:eastAsia="仿宋_GB2312"/>
          <w:sz w:val="32"/>
          <w:szCs w:val="32"/>
        </w:rPr>
        <w:t>的正常办公秩序提供保障，实现高效规范开展工作，提高服务质量。</w:t>
      </w:r>
    </w:p>
    <w:p>
      <w:pPr>
        <w:pStyle w:val="16"/>
        <w:keepNext w:val="0"/>
        <w:keepLines w:val="0"/>
        <w:pageBreakBefore w:val="0"/>
        <w:kinsoku/>
        <w:wordWrap/>
        <w:overflowPunct/>
        <w:topLinePunct w:val="0"/>
        <w:autoSpaceDE/>
        <w:autoSpaceDN/>
        <w:bidi w:val="0"/>
        <w:adjustRightInd/>
        <w:snapToGrid/>
        <w:spacing w:line="584" w:lineRule="exact"/>
        <w:textAlignment w:val="auto"/>
        <w:rPr>
          <w:rFonts w:ascii="仿宋" w:eastAsia="仿宋"/>
        </w:rPr>
      </w:pPr>
      <w:r>
        <w:rPr>
          <w:rFonts w:hint="eastAsia" w:ascii="仿宋_GB2312" w:eastAsia="仿宋_GB2312"/>
          <w:sz w:val="32"/>
          <w:szCs w:val="32"/>
        </w:rPr>
        <w:t>绩效指标：数量保障大院200人办公。数量保障全部办公面积。质量验收合格。时效严格按照进度计划推进。成本成本控制在350万以内。社会效益指标后勤保障到位。可持续影响指标持续保障日常办公。满意度工作人员满意度超95%</w:t>
      </w:r>
      <w:r>
        <w:rPr>
          <w:rFonts w:hint="eastAsia" w:ascii="仿宋" w:eastAsia="仿宋"/>
        </w:rPr>
        <w:t>。</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1.加强预算支出管理，确保支出进度达标</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2.加强内部监督管理，确保资金安全有效</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3.加强宣传培训调研，确保绩效目标实现</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ascii="仿宋" w:eastAsia="仿宋"/>
          <w:sz w:val="28"/>
        </w:rPr>
      </w:pPr>
      <w:r>
        <w:rPr>
          <w:rFonts w:hint="eastAsia" w:ascii="仿宋_GB2312" w:eastAsia="仿宋_GB2312"/>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489"/>
        <w:gridCol w:w="787"/>
        <w:gridCol w:w="2963"/>
        <w:gridCol w:w="652"/>
        <w:gridCol w:w="6118"/>
        <w:gridCol w:w="498"/>
        <w:gridCol w:w="355"/>
        <w:gridCol w:w="94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7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28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07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3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22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53"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4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78" w:type="pct"/>
            <w:vMerge w:val="continue"/>
            <w:tcBorders>
              <w:tl2br w:val="nil"/>
              <w:tr2bl w:val="nil"/>
            </w:tcBorders>
            <w:vAlign w:val="center"/>
          </w:tcPr>
          <w:p/>
        </w:tc>
        <w:tc>
          <w:tcPr>
            <w:tcW w:w="286" w:type="pct"/>
            <w:vMerge w:val="continue"/>
            <w:tcBorders>
              <w:tl2br w:val="nil"/>
              <w:tr2bl w:val="nil"/>
            </w:tcBorders>
            <w:vAlign w:val="center"/>
          </w:tcPr>
          <w:p/>
        </w:tc>
        <w:tc>
          <w:tcPr>
            <w:tcW w:w="1077" w:type="pct"/>
            <w:vMerge w:val="continue"/>
            <w:tcBorders>
              <w:tl2br w:val="nil"/>
              <w:tr2bl w:val="nil"/>
            </w:tcBorders>
            <w:vAlign w:val="center"/>
          </w:tcPr>
          <w:p/>
        </w:tc>
        <w:tc>
          <w:tcPr>
            <w:tcW w:w="237" w:type="pct"/>
            <w:vMerge w:val="continue"/>
            <w:tcBorders>
              <w:tl2br w:val="nil"/>
              <w:tr2bl w:val="nil"/>
            </w:tcBorders>
            <w:vAlign w:val="center"/>
          </w:tcPr>
          <w:p/>
        </w:tc>
        <w:tc>
          <w:tcPr>
            <w:tcW w:w="2224" w:type="pct"/>
            <w:vMerge w:val="continue"/>
            <w:tcBorders>
              <w:tl2br w:val="nil"/>
              <w:tr2bl w:val="nil"/>
            </w:tcBorders>
            <w:vAlign w:val="center"/>
          </w:tcPr>
          <w:p/>
        </w:tc>
        <w:tc>
          <w:tcPr>
            <w:tcW w:w="181"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2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43"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41"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78" w:type="pct"/>
            <w:vMerge w:val="restar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lang w:eastAsia="zh-CN"/>
              </w:rPr>
              <w:t>单位</w:t>
            </w:r>
            <w:r>
              <w:rPr>
                <w:rFonts w:hint="eastAsia" w:ascii="仿宋" w:eastAsia="仿宋"/>
                <w:sz w:val="21"/>
                <w:szCs w:val="21"/>
              </w:rPr>
              <w:t>产出</w:t>
            </w:r>
          </w:p>
        </w:tc>
        <w:tc>
          <w:tcPr>
            <w:tcW w:w="286"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数量</w:t>
            </w:r>
          </w:p>
        </w:tc>
        <w:tc>
          <w:tcPr>
            <w:tcW w:w="1077"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全年工作完成量</w:t>
            </w:r>
          </w:p>
        </w:tc>
        <w:tc>
          <w:tcPr>
            <w:tcW w:w="237" w:type="pct"/>
            <w:tcBorders>
              <w:tl2br w:val="nil"/>
              <w:tr2bl w:val="nil"/>
            </w:tcBorders>
            <w:vAlign w:val="center"/>
          </w:tcPr>
          <w:p>
            <w:pPr>
              <w:widowControl/>
              <w:adjustRightInd w:val="0"/>
              <w:snapToGrid w:val="0"/>
              <w:rPr>
                <w:rFonts w:ascii="仿宋" w:eastAsia="仿宋"/>
                <w:sz w:val="21"/>
                <w:szCs w:val="21"/>
              </w:rPr>
            </w:pPr>
          </w:p>
        </w:tc>
        <w:tc>
          <w:tcPr>
            <w:tcW w:w="2224"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全年已完成工作计划的比例</w:t>
            </w:r>
          </w:p>
        </w:tc>
        <w:tc>
          <w:tcPr>
            <w:tcW w:w="181"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129"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95</w:t>
            </w:r>
          </w:p>
        </w:tc>
        <w:tc>
          <w:tcPr>
            <w:tcW w:w="343"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34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l2br w:val="nil"/>
              <w:tr2bl w:val="nil"/>
            </w:tcBorders>
            <w:vAlign w:val="center"/>
          </w:tcPr>
          <w:p>
            <w:pPr>
              <w:rPr>
                <w:sz w:val="21"/>
                <w:szCs w:val="21"/>
              </w:rPr>
            </w:pPr>
          </w:p>
        </w:tc>
        <w:tc>
          <w:tcPr>
            <w:tcW w:w="286"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质量</w:t>
            </w:r>
          </w:p>
        </w:tc>
        <w:tc>
          <w:tcPr>
            <w:tcW w:w="1077"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完成率</w:t>
            </w:r>
          </w:p>
        </w:tc>
        <w:tc>
          <w:tcPr>
            <w:tcW w:w="237" w:type="pct"/>
            <w:tcBorders>
              <w:tl2br w:val="nil"/>
              <w:tr2bl w:val="nil"/>
            </w:tcBorders>
            <w:vAlign w:val="center"/>
          </w:tcPr>
          <w:p>
            <w:pPr>
              <w:widowControl/>
              <w:adjustRightInd w:val="0"/>
              <w:snapToGrid w:val="0"/>
              <w:rPr>
                <w:rFonts w:ascii="仿宋" w:eastAsia="仿宋"/>
                <w:sz w:val="21"/>
                <w:szCs w:val="21"/>
              </w:rPr>
            </w:pPr>
          </w:p>
        </w:tc>
        <w:tc>
          <w:tcPr>
            <w:tcW w:w="2224"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按上级要求，完成好本级</w:t>
            </w:r>
            <w:r>
              <w:rPr>
                <w:rFonts w:hint="eastAsia" w:ascii="仿宋" w:eastAsia="仿宋"/>
                <w:sz w:val="21"/>
                <w:szCs w:val="21"/>
                <w:lang w:eastAsia="zh-CN"/>
              </w:rPr>
              <w:t>单位</w:t>
            </w:r>
            <w:r>
              <w:rPr>
                <w:rFonts w:hint="eastAsia" w:ascii="仿宋" w:eastAsia="仿宋"/>
                <w:sz w:val="21"/>
                <w:szCs w:val="21"/>
              </w:rPr>
              <w:t>的工作占全年上级要求工作量的比例</w:t>
            </w:r>
          </w:p>
        </w:tc>
        <w:tc>
          <w:tcPr>
            <w:tcW w:w="181"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129"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95</w:t>
            </w:r>
          </w:p>
        </w:tc>
        <w:tc>
          <w:tcPr>
            <w:tcW w:w="343"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34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78" w:type="pct"/>
            <w:vMerge w:val="continue"/>
            <w:tcBorders>
              <w:tl2br w:val="nil"/>
              <w:tr2bl w:val="nil"/>
            </w:tcBorders>
            <w:vAlign w:val="center"/>
          </w:tcPr>
          <w:p>
            <w:pPr>
              <w:rPr>
                <w:sz w:val="21"/>
                <w:szCs w:val="21"/>
              </w:rPr>
            </w:pPr>
          </w:p>
        </w:tc>
        <w:tc>
          <w:tcPr>
            <w:tcW w:w="286"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时效</w:t>
            </w:r>
          </w:p>
        </w:tc>
        <w:tc>
          <w:tcPr>
            <w:tcW w:w="1077"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各类工作完成时限率</w:t>
            </w:r>
          </w:p>
        </w:tc>
        <w:tc>
          <w:tcPr>
            <w:tcW w:w="237" w:type="pct"/>
            <w:tcBorders>
              <w:tl2br w:val="nil"/>
              <w:tr2bl w:val="nil"/>
            </w:tcBorders>
            <w:vAlign w:val="center"/>
          </w:tcPr>
          <w:p>
            <w:pPr>
              <w:widowControl/>
              <w:adjustRightInd w:val="0"/>
              <w:snapToGrid w:val="0"/>
              <w:rPr>
                <w:rFonts w:ascii="仿宋" w:eastAsia="仿宋"/>
                <w:sz w:val="21"/>
                <w:szCs w:val="21"/>
              </w:rPr>
            </w:pPr>
          </w:p>
        </w:tc>
        <w:tc>
          <w:tcPr>
            <w:tcW w:w="2224"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各类工作完成的时限占全年工作量的比例</w:t>
            </w:r>
          </w:p>
        </w:tc>
        <w:tc>
          <w:tcPr>
            <w:tcW w:w="181"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129"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95</w:t>
            </w:r>
          </w:p>
        </w:tc>
        <w:tc>
          <w:tcPr>
            <w:tcW w:w="343"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34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l2br w:val="nil"/>
              <w:tr2bl w:val="nil"/>
            </w:tcBorders>
            <w:vAlign w:val="center"/>
          </w:tcPr>
          <w:p>
            <w:pPr>
              <w:rPr>
                <w:sz w:val="21"/>
                <w:szCs w:val="21"/>
              </w:rPr>
            </w:pPr>
          </w:p>
        </w:tc>
        <w:tc>
          <w:tcPr>
            <w:tcW w:w="286"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成本</w:t>
            </w:r>
          </w:p>
        </w:tc>
        <w:tc>
          <w:tcPr>
            <w:tcW w:w="1077"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控制成本</w:t>
            </w:r>
          </w:p>
        </w:tc>
        <w:tc>
          <w:tcPr>
            <w:tcW w:w="237" w:type="pct"/>
            <w:tcBorders>
              <w:tl2br w:val="nil"/>
              <w:tr2bl w:val="nil"/>
            </w:tcBorders>
            <w:vAlign w:val="center"/>
          </w:tcPr>
          <w:p>
            <w:pPr>
              <w:widowControl/>
              <w:adjustRightInd w:val="0"/>
              <w:snapToGrid w:val="0"/>
              <w:rPr>
                <w:rFonts w:ascii="仿宋" w:eastAsia="仿宋"/>
                <w:sz w:val="21"/>
                <w:szCs w:val="21"/>
              </w:rPr>
            </w:pPr>
          </w:p>
        </w:tc>
        <w:tc>
          <w:tcPr>
            <w:tcW w:w="2224"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按照年初预算合理安排支出</w:t>
            </w:r>
          </w:p>
        </w:tc>
        <w:tc>
          <w:tcPr>
            <w:tcW w:w="181" w:type="pct"/>
            <w:tcBorders>
              <w:tl2br w:val="nil"/>
              <w:tr2bl w:val="nil"/>
            </w:tcBorders>
            <w:vAlign w:val="center"/>
          </w:tcPr>
          <w:p>
            <w:pPr>
              <w:widowControl/>
              <w:adjustRightInd w:val="0"/>
              <w:snapToGrid w:val="0"/>
              <w:jc w:val="center"/>
              <w:rPr>
                <w:rFonts w:ascii="仿宋" w:eastAsia="仿宋"/>
                <w:sz w:val="21"/>
                <w:szCs w:val="21"/>
              </w:rPr>
            </w:pPr>
          </w:p>
        </w:tc>
        <w:tc>
          <w:tcPr>
            <w:tcW w:w="129" w:type="pct"/>
            <w:tcBorders>
              <w:tl2br w:val="nil"/>
              <w:tr2bl w:val="nil"/>
            </w:tcBorders>
            <w:vAlign w:val="center"/>
          </w:tcPr>
          <w:p>
            <w:pPr>
              <w:widowControl/>
              <w:adjustRightInd w:val="0"/>
              <w:snapToGrid w:val="0"/>
              <w:jc w:val="center"/>
              <w:rPr>
                <w:rFonts w:ascii="仿宋" w:eastAsia="仿宋"/>
                <w:sz w:val="21"/>
                <w:szCs w:val="21"/>
              </w:rPr>
            </w:pPr>
          </w:p>
        </w:tc>
        <w:tc>
          <w:tcPr>
            <w:tcW w:w="343" w:type="pct"/>
            <w:tcBorders>
              <w:tl2br w:val="nil"/>
              <w:tr2bl w:val="nil"/>
            </w:tcBorders>
            <w:vAlign w:val="center"/>
          </w:tcPr>
          <w:p>
            <w:pPr>
              <w:widowControl/>
              <w:adjustRightInd w:val="0"/>
              <w:snapToGrid w:val="0"/>
              <w:jc w:val="center"/>
              <w:rPr>
                <w:rFonts w:ascii="仿宋" w:eastAsia="仿宋"/>
                <w:sz w:val="21"/>
                <w:szCs w:val="21"/>
              </w:rPr>
            </w:pPr>
          </w:p>
        </w:tc>
        <w:tc>
          <w:tcPr>
            <w:tcW w:w="34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restart"/>
            <w:tcBorders>
              <w:tl2br w:val="nil"/>
              <w:tr2bl w:val="nil"/>
            </w:tcBorders>
            <w:vAlign w:val="center"/>
          </w:tcPr>
          <w:p>
            <w:pPr>
              <w:adjustRightInd w:val="0"/>
              <w:snapToGrid w:val="0"/>
              <w:jc w:val="center"/>
              <w:rPr>
                <w:rFonts w:ascii="仿宋" w:eastAsia="仿宋"/>
                <w:sz w:val="21"/>
                <w:szCs w:val="21"/>
              </w:rPr>
            </w:pPr>
            <w:r>
              <w:rPr>
                <w:rFonts w:hint="eastAsia" w:ascii="仿宋" w:eastAsia="仿宋"/>
                <w:sz w:val="21"/>
                <w:szCs w:val="21"/>
                <w:lang w:eastAsia="zh-CN"/>
              </w:rPr>
              <w:t>单位</w:t>
            </w:r>
            <w:r>
              <w:rPr>
                <w:rFonts w:hint="eastAsia" w:ascii="仿宋" w:eastAsia="仿宋"/>
                <w:sz w:val="21"/>
                <w:szCs w:val="21"/>
              </w:rPr>
              <w:t>效果</w:t>
            </w:r>
          </w:p>
        </w:tc>
        <w:tc>
          <w:tcPr>
            <w:tcW w:w="286"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经济</w:t>
            </w:r>
          </w:p>
          <w:p>
            <w:pPr>
              <w:widowControl/>
              <w:adjustRightInd w:val="0"/>
              <w:snapToGrid w:val="0"/>
              <w:jc w:val="center"/>
              <w:rPr>
                <w:rFonts w:ascii="仿宋" w:eastAsia="仿宋"/>
                <w:sz w:val="21"/>
                <w:szCs w:val="21"/>
              </w:rPr>
            </w:pPr>
            <w:r>
              <w:rPr>
                <w:rFonts w:hint="eastAsia" w:ascii="仿宋" w:eastAsia="仿宋"/>
                <w:sz w:val="21"/>
                <w:szCs w:val="21"/>
              </w:rPr>
              <w:t>效益</w:t>
            </w:r>
          </w:p>
        </w:tc>
        <w:tc>
          <w:tcPr>
            <w:tcW w:w="1077"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维护工作正常运转</w:t>
            </w:r>
          </w:p>
        </w:tc>
        <w:tc>
          <w:tcPr>
            <w:tcW w:w="237" w:type="pct"/>
            <w:tcBorders>
              <w:tl2br w:val="nil"/>
              <w:tr2bl w:val="nil"/>
            </w:tcBorders>
            <w:vAlign w:val="center"/>
          </w:tcPr>
          <w:p>
            <w:pPr>
              <w:widowControl/>
              <w:adjustRightInd w:val="0"/>
              <w:snapToGrid w:val="0"/>
              <w:rPr>
                <w:rFonts w:ascii="仿宋" w:eastAsia="仿宋"/>
                <w:sz w:val="21"/>
                <w:szCs w:val="21"/>
              </w:rPr>
            </w:pPr>
          </w:p>
        </w:tc>
        <w:tc>
          <w:tcPr>
            <w:tcW w:w="2224"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保障区委大院设备运行良好提供良好工作环境</w:t>
            </w:r>
          </w:p>
        </w:tc>
        <w:tc>
          <w:tcPr>
            <w:tcW w:w="18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文字描述</w:t>
            </w:r>
          </w:p>
        </w:tc>
        <w:tc>
          <w:tcPr>
            <w:tcW w:w="129" w:type="pct"/>
            <w:tcBorders>
              <w:tl2br w:val="nil"/>
              <w:tr2bl w:val="nil"/>
            </w:tcBorders>
            <w:vAlign w:val="center"/>
          </w:tcPr>
          <w:p>
            <w:pPr>
              <w:widowControl/>
              <w:adjustRightInd w:val="0"/>
              <w:snapToGrid w:val="0"/>
              <w:jc w:val="center"/>
              <w:rPr>
                <w:rFonts w:ascii="仿宋" w:eastAsia="仿宋"/>
                <w:sz w:val="21"/>
                <w:szCs w:val="21"/>
              </w:rPr>
            </w:pPr>
          </w:p>
        </w:tc>
        <w:tc>
          <w:tcPr>
            <w:tcW w:w="343"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做好区委后勤保障工作</w:t>
            </w:r>
          </w:p>
        </w:tc>
        <w:tc>
          <w:tcPr>
            <w:tcW w:w="34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l2br w:val="nil"/>
              <w:tr2bl w:val="nil"/>
            </w:tcBorders>
            <w:vAlign w:val="center"/>
          </w:tcPr>
          <w:p>
            <w:pPr>
              <w:rPr>
                <w:sz w:val="21"/>
                <w:szCs w:val="21"/>
              </w:rPr>
            </w:pPr>
          </w:p>
        </w:tc>
        <w:tc>
          <w:tcPr>
            <w:tcW w:w="286"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满意度</w:t>
            </w:r>
          </w:p>
        </w:tc>
        <w:tc>
          <w:tcPr>
            <w:tcW w:w="1077" w:type="pct"/>
            <w:tcBorders>
              <w:tl2br w:val="nil"/>
              <w:tr2bl w:val="nil"/>
            </w:tcBorders>
            <w:noWrap/>
            <w:vAlign w:val="center"/>
          </w:tcPr>
          <w:p>
            <w:pPr>
              <w:widowControl/>
              <w:adjustRightInd w:val="0"/>
              <w:snapToGrid w:val="0"/>
              <w:rPr>
                <w:rFonts w:ascii="仿宋" w:eastAsia="仿宋"/>
                <w:sz w:val="21"/>
                <w:szCs w:val="21"/>
              </w:rPr>
            </w:pPr>
            <w:r>
              <w:rPr>
                <w:rFonts w:hint="eastAsia" w:ascii="仿宋" w:eastAsia="仿宋"/>
                <w:sz w:val="21"/>
                <w:szCs w:val="21"/>
              </w:rPr>
              <w:t>群众满意度</w:t>
            </w:r>
          </w:p>
        </w:tc>
        <w:tc>
          <w:tcPr>
            <w:tcW w:w="237" w:type="pct"/>
            <w:tcBorders>
              <w:tl2br w:val="nil"/>
              <w:tr2bl w:val="nil"/>
            </w:tcBorders>
            <w:noWrap/>
            <w:vAlign w:val="center"/>
          </w:tcPr>
          <w:p>
            <w:pPr>
              <w:widowControl/>
              <w:adjustRightInd w:val="0"/>
              <w:snapToGrid w:val="0"/>
              <w:rPr>
                <w:rFonts w:ascii="仿宋" w:eastAsia="仿宋"/>
                <w:sz w:val="21"/>
                <w:szCs w:val="21"/>
              </w:rPr>
            </w:pPr>
          </w:p>
        </w:tc>
        <w:tc>
          <w:tcPr>
            <w:tcW w:w="2224" w:type="pct"/>
            <w:tcBorders>
              <w:tl2br w:val="nil"/>
              <w:tr2bl w:val="nil"/>
            </w:tcBorders>
            <w:noWrap/>
            <w:vAlign w:val="center"/>
          </w:tcPr>
          <w:p>
            <w:pPr>
              <w:widowControl/>
              <w:adjustRightInd w:val="0"/>
              <w:snapToGrid w:val="0"/>
              <w:rPr>
                <w:rFonts w:ascii="仿宋" w:eastAsia="仿宋"/>
                <w:sz w:val="21"/>
                <w:szCs w:val="21"/>
              </w:rPr>
            </w:pPr>
            <w:r>
              <w:rPr>
                <w:rFonts w:hint="eastAsia" w:ascii="仿宋" w:eastAsia="仿宋"/>
                <w:sz w:val="21"/>
                <w:szCs w:val="21"/>
              </w:rPr>
              <w:t>群众满意数量占总数的比例</w:t>
            </w:r>
          </w:p>
        </w:tc>
        <w:tc>
          <w:tcPr>
            <w:tcW w:w="181"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129"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90</w:t>
            </w:r>
          </w:p>
        </w:tc>
        <w:tc>
          <w:tcPr>
            <w:tcW w:w="343"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34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78" w:type="pct"/>
            <w:vMerge w:val="continue"/>
            <w:tcBorders>
              <w:tl2br w:val="nil"/>
              <w:tr2bl w:val="nil"/>
            </w:tcBorders>
            <w:vAlign w:val="center"/>
          </w:tcPr>
          <w:p>
            <w:pPr>
              <w:rPr>
                <w:sz w:val="21"/>
                <w:szCs w:val="21"/>
              </w:rPr>
            </w:pPr>
          </w:p>
        </w:tc>
        <w:tc>
          <w:tcPr>
            <w:tcW w:w="286"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满意度</w:t>
            </w:r>
          </w:p>
        </w:tc>
        <w:tc>
          <w:tcPr>
            <w:tcW w:w="1077" w:type="pct"/>
            <w:tcBorders>
              <w:tl2br w:val="nil"/>
              <w:tr2bl w:val="nil"/>
            </w:tcBorders>
            <w:noWrap/>
            <w:vAlign w:val="center"/>
          </w:tcPr>
          <w:p>
            <w:pPr>
              <w:widowControl/>
              <w:adjustRightInd w:val="0"/>
              <w:snapToGrid w:val="0"/>
              <w:rPr>
                <w:rFonts w:ascii="仿宋" w:eastAsia="仿宋"/>
                <w:sz w:val="21"/>
                <w:szCs w:val="21"/>
              </w:rPr>
            </w:pPr>
            <w:r>
              <w:rPr>
                <w:rFonts w:hint="eastAsia" w:ascii="仿宋" w:eastAsia="仿宋"/>
                <w:sz w:val="21"/>
                <w:szCs w:val="21"/>
              </w:rPr>
              <w:t>工作人员满意度</w:t>
            </w:r>
          </w:p>
        </w:tc>
        <w:tc>
          <w:tcPr>
            <w:tcW w:w="237" w:type="pct"/>
            <w:tcBorders>
              <w:tl2br w:val="nil"/>
              <w:tr2bl w:val="nil"/>
            </w:tcBorders>
            <w:noWrap/>
            <w:vAlign w:val="center"/>
          </w:tcPr>
          <w:p>
            <w:pPr>
              <w:widowControl/>
              <w:adjustRightInd w:val="0"/>
              <w:snapToGrid w:val="0"/>
              <w:rPr>
                <w:rFonts w:ascii="仿宋" w:eastAsia="仿宋"/>
                <w:sz w:val="21"/>
                <w:szCs w:val="21"/>
              </w:rPr>
            </w:pPr>
          </w:p>
        </w:tc>
        <w:tc>
          <w:tcPr>
            <w:tcW w:w="2224" w:type="pct"/>
            <w:tcBorders>
              <w:tl2br w:val="nil"/>
              <w:tr2bl w:val="nil"/>
            </w:tcBorders>
            <w:noWrap/>
            <w:vAlign w:val="center"/>
          </w:tcPr>
          <w:p>
            <w:pPr>
              <w:widowControl/>
              <w:adjustRightInd w:val="0"/>
              <w:snapToGrid w:val="0"/>
              <w:rPr>
                <w:rFonts w:ascii="仿宋" w:eastAsia="仿宋"/>
                <w:sz w:val="21"/>
                <w:szCs w:val="21"/>
              </w:rPr>
            </w:pPr>
            <w:r>
              <w:rPr>
                <w:rFonts w:hint="eastAsia" w:ascii="仿宋" w:eastAsia="仿宋"/>
                <w:sz w:val="21"/>
                <w:szCs w:val="21"/>
              </w:rPr>
              <w:t>区委工作人员对后勤服务感到满意的人员数量占点差人员总数比例</w:t>
            </w:r>
          </w:p>
        </w:tc>
        <w:tc>
          <w:tcPr>
            <w:tcW w:w="181"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129"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95</w:t>
            </w:r>
          </w:p>
        </w:tc>
        <w:tc>
          <w:tcPr>
            <w:tcW w:w="343"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34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78" w:type="pct"/>
            <w:vMerge w:val="continue"/>
            <w:tcBorders>
              <w:tl2br w:val="nil"/>
              <w:tr2bl w:val="nil"/>
            </w:tcBorders>
            <w:vAlign w:val="center"/>
          </w:tcPr>
          <w:p>
            <w:pPr>
              <w:rPr>
                <w:sz w:val="21"/>
                <w:szCs w:val="21"/>
              </w:rPr>
            </w:pPr>
          </w:p>
        </w:tc>
        <w:tc>
          <w:tcPr>
            <w:tcW w:w="286"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满意度</w:t>
            </w:r>
          </w:p>
        </w:tc>
        <w:tc>
          <w:tcPr>
            <w:tcW w:w="1077" w:type="pct"/>
            <w:tcBorders>
              <w:tl2br w:val="nil"/>
              <w:tr2bl w:val="nil"/>
            </w:tcBorders>
            <w:noWrap/>
            <w:vAlign w:val="center"/>
          </w:tcPr>
          <w:p>
            <w:pPr>
              <w:widowControl/>
              <w:adjustRightInd w:val="0"/>
              <w:snapToGrid w:val="0"/>
              <w:rPr>
                <w:rFonts w:ascii="仿宋" w:eastAsia="仿宋"/>
                <w:sz w:val="21"/>
                <w:szCs w:val="21"/>
              </w:rPr>
            </w:pPr>
            <w:r>
              <w:rPr>
                <w:rFonts w:hint="eastAsia" w:ascii="仿宋" w:eastAsia="仿宋"/>
                <w:sz w:val="21"/>
                <w:szCs w:val="21"/>
              </w:rPr>
              <w:t>参加会议、各类活动人员满意度</w:t>
            </w:r>
          </w:p>
        </w:tc>
        <w:tc>
          <w:tcPr>
            <w:tcW w:w="237" w:type="pct"/>
            <w:tcBorders>
              <w:tl2br w:val="nil"/>
              <w:tr2bl w:val="nil"/>
            </w:tcBorders>
            <w:noWrap/>
            <w:vAlign w:val="center"/>
          </w:tcPr>
          <w:p>
            <w:pPr>
              <w:widowControl/>
              <w:adjustRightInd w:val="0"/>
              <w:snapToGrid w:val="0"/>
              <w:rPr>
                <w:rFonts w:ascii="仿宋" w:eastAsia="仿宋"/>
                <w:sz w:val="21"/>
                <w:szCs w:val="21"/>
              </w:rPr>
            </w:pPr>
          </w:p>
        </w:tc>
        <w:tc>
          <w:tcPr>
            <w:tcW w:w="2224" w:type="pct"/>
            <w:tcBorders>
              <w:tl2br w:val="nil"/>
              <w:tr2bl w:val="nil"/>
            </w:tcBorders>
            <w:noWrap/>
            <w:vAlign w:val="center"/>
          </w:tcPr>
          <w:p>
            <w:pPr>
              <w:widowControl/>
              <w:adjustRightInd w:val="0"/>
              <w:snapToGrid w:val="0"/>
              <w:rPr>
                <w:rFonts w:ascii="仿宋" w:eastAsia="仿宋"/>
                <w:sz w:val="21"/>
                <w:szCs w:val="21"/>
              </w:rPr>
            </w:pPr>
            <w:r>
              <w:rPr>
                <w:rFonts w:hint="eastAsia" w:ascii="仿宋" w:eastAsia="仿宋"/>
                <w:sz w:val="21"/>
                <w:szCs w:val="21"/>
              </w:rPr>
              <w:t>对会议感到满意的人员亮占参会人员总数比例</w:t>
            </w:r>
          </w:p>
        </w:tc>
        <w:tc>
          <w:tcPr>
            <w:tcW w:w="181"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129"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95</w:t>
            </w:r>
          </w:p>
        </w:tc>
        <w:tc>
          <w:tcPr>
            <w:tcW w:w="343" w:type="pct"/>
            <w:tcBorders>
              <w:tl2br w:val="nil"/>
              <w:tr2bl w:val="nil"/>
            </w:tcBorders>
            <w:vAlign w:val="center"/>
          </w:tcPr>
          <w:p>
            <w:pPr>
              <w:widowControl/>
              <w:adjustRightInd w:val="0"/>
              <w:snapToGrid w:val="0"/>
              <w:jc w:val="center"/>
              <w:rPr>
                <w:rFonts w:ascii="仿宋" w:eastAsia="仿宋"/>
                <w:sz w:val="21"/>
                <w:szCs w:val="21"/>
              </w:rPr>
            </w:pPr>
            <w:r>
              <w:rPr>
                <w:rFonts w:hint="eastAsia" w:ascii="仿宋" w:eastAsia="仿宋"/>
                <w:sz w:val="21"/>
                <w:szCs w:val="21"/>
              </w:rPr>
              <w:t>%</w:t>
            </w:r>
          </w:p>
        </w:tc>
        <w:tc>
          <w:tcPr>
            <w:tcW w:w="341" w:type="pct"/>
            <w:tcBorders>
              <w:tl2br w:val="nil"/>
              <w:tr2bl w:val="nil"/>
            </w:tcBorders>
            <w:vAlign w:val="center"/>
          </w:tcPr>
          <w:p>
            <w:pPr>
              <w:widowControl/>
              <w:adjustRightInd w:val="0"/>
              <w:snapToGrid w:val="0"/>
              <w:rPr>
                <w:rFonts w:ascii="仿宋" w:eastAsia="仿宋"/>
                <w:sz w:val="21"/>
                <w:szCs w:val="21"/>
              </w:rPr>
            </w:pPr>
            <w:r>
              <w:rPr>
                <w:rFonts w:hint="eastAsia" w:ascii="仿宋" w:eastAsia="仿宋"/>
                <w:sz w:val="21"/>
                <w:szCs w:val="21"/>
              </w:rPr>
              <w:t>工作计划</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1.政务管理经费绩效目标表</w:t>
      </w:r>
      <w:bookmarkEnd w:id="0"/>
    </w:p>
    <w:tbl>
      <w:tblPr>
        <w:tblStyle w:val="12"/>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1.目标内容1满足开展工作所需的经费开支，为区委大院各单位各</w:t>
            </w:r>
            <w:r>
              <w:rPr>
                <w:rFonts w:hint="eastAsia" w:ascii="仿宋_GB2312" w:hAnsi="仿宋_GB2312" w:eastAsia="仿宋_GB2312" w:cs="仿宋_GB2312"/>
                <w:lang w:eastAsia="zh-CN"/>
              </w:rPr>
              <w:t>单位</w:t>
            </w:r>
            <w:r>
              <w:rPr>
                <w:rFonts w:hint="eastAsia" w:ascii="仿宋_GB2312" w:hAnsi="仿宋_GB2312" w:eastAsia="仿宋_GB2312" w:cs="仿宋_GB2312"/>
              </w:rPr>
              <w:t>的正常办公秩序提供保障，实现高效规范开展工作，提高服务质量。</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保障办公人数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保障办公人数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≥200人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保障办公面积</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保障办公面积</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≥9000平方米</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采购验收合格率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购买设备、物品、服务通过验收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100百分比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采购、服务执行进度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各采购、服务事项执行进度符合年度计划及合同约定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按照年度计划和合同约定执行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成本控制率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控制成本开支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≤350万元</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区委大院后勤保障</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日常办公井然有序</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及时到位</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日常办公正常运转</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得到持续保障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100百分比　</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工作人员满意度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工作人员对办公环境的整体评价</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2.保安保洁等临时人员经费绩效目标表</w:t>
      </w:r>
      <w:bookmarkEnd w:id="1"/>
    </w:p>
    <w:tbl>
      <w:tblPr>
        <w:tblStyle w:val="12"/>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1.及时发放区委办保安保洁临时人员工资</w:t>
            </w:r>
          </w:p>
          <w:p>
            <w:pPr>
              <w:pStyle w:val="20"/>
              <w:rPr>
                <w:rFonts w:hint="eastAsia" w:ascii="仿宋_GB2312" w:hAnsi="仿宋_GB2312" w:eastAsia="仿宋_GB2312" w:cs="仿宋_GB2312"/>
              </w:rPr>
            </w:pPr>
            <w:r>
              <w:rPr>
                <w:rFonts w:hint="eastAsia" w:ascii="仿宋_GB2312" w:hAnsi="仿宋_GB2312" w:eastAsia="仿宋_GB2312" w:cs="仿宋_GB2312"/>
              </w:rPr>
              <w:t>2.做到专款专用</w:t>
            </w:r>
          </w:p>
          <w:p>
            <w:pPr>
              <w:pStyle w:val="20"/>
              <w:rPr>
                <w:rFonts w:hint="eastAsia" w:ascii="仿宋_GB2312" w:hAnsi="仿宋_GB2312" w:eastAsia="仿宋_GB2312" w:cs="仿宋_GB2312"/>
              </w:rPr>
            </w:pPr>
            <w:r>
              <w:rPr>
                <w:rFonts w:hint="eastAsia" w:ascii="仿宋_GB2312" w:hAnsi="仿宋_GB2312" w:eastAsia="仿宋_GB2312" w:cs="仿宋_GB2312"/>
              </w:rPr>
              <w:t>3.确保区委大院各</w:t>
            </w:r>
            <w:r>
              <w:rPr>
                <w:rFonts w:hint="eastAsia" w:ascii="仿宋_GB2312" w:hAnsi="仿宋_GB2312" w:eastAsia="仿宋_GB2312" w:cs="仿宋_GB2312"/>
                <w:lang w:eastAsia="zh-CN"/>
              </w:rPr>
              <w:t>单位</w:t>
            </w:r>
            <w:r>
              <w:rPr>
                <w:rFonts w:hint="eastAsia" w:ascii="仿宋_GB2312" w:hAnsi="仿宋_GB2312" w:eastAsia="仿宋_GB2312" w:cs="仿宋_GB2312"/>
              </w:rPr>
              <w:t>的正常运转，同时保障临时人员满意度。</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保安人数</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保安人数与预算及合同规定相符</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保洁人数</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保洁人数与预算及合同规定相符</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37人</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保安保洁服务进度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保安保洁符合年度计划和合同约定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按照年度计划和合同约定执行</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保安保洁服务验收合格率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保安保洁服务符合合同约定，通过验收</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保安保洁人员到岗率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保安保洁人员到岗情况满足办公管理需求</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≤120万元</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推动各项工作的开展</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做好后勤保障工作，推动区委各项工作开展</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持续维护机关后勤工作正常运转　</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持续维护机关后勤工作的正常运转　</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工作人员满意度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工作人员满意人数占全部人员比例</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2022年工作计划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3.职工活动中心改建项目经费绩效目标表</w:t>
      </w:r>
      <w:bookmarkEnd w:id="2"/>
    </w:p>
    <w:tbl>
      <w:tblPr>
        <w:tblStyle w:val="12"/>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1.目标内容1:消除安全隐患，改善区委大院职工办公环境，确保区委职工活动中心的正常使用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建设场馆数量</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反映建设场馆数量情况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1个</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区委职工活动中心工程工程量清单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设备质量合格率</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反映购置设备质量情况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设备检验标准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工程时限</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反映工程施工时限</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≤90天</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工程成本</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反映整个工程的成本</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≤290万元</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提高干部素质</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反映干部素质提高情况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活动中心使用年限</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反映活动中新工程使用年限情况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≥4年</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区委职工活动中心工程计划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21"/>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使用人员满意度</w:t>
            </w:r>
          </w:p>
        </w:tc>
        <w:tc>
          <w:tcPr>
            <w:tcW w:w="146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反映使用人员满意情况</w:t>
            </w:r>
          </w:p>
        </w:tc>
        <w:tc>
          <w:tcPr>
            <w:tcW w:w="645"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满意度调查</w:t>
            </w:r>
          </w:p>
        </w:tc>
      </w:tr>
    </w:tbl>
    <w:p>
      <w:pPr>
        <w:sectPr>
          <w:pgSz w:w="16840" w:h="11900" w:orient="landscape"/>
          <w:pgMar w:top="1304" w:right="1984" w:bottom="1304" w:left="1134" w:header="720" w:footer="720" w:gutter="0"/>
          <w:cols w:space="720" w:num="1"/>
          <w:docGrid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
    </w:p>
    <w:p>
      <w:pPr>
        <w:jc w:val="left"/>
        <w:outlineLvl w:val="1"/>
        <w:rPr>
          <w:rFonts w:ascii="方正小标宋_GBK" w:eastAsia="方正小标宋_GBK" w:cs="Times New Roman"/>
          <w:sz w:val="32"/>
        </w:rPr>
      </w:pPr>
      <w:r>
        <w:rPr>
          <w:rFonts w:hint="eastAsia"/>
        </w:rPr>
        <w:t>[260001]中国共产党廊坊市广阳区委员会办公室本级</w:t>
      </w:r>
      <w:r>
        <w:t xml:space="preserve">                                                                     单位：万元</w:t>
      </w: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70" w:type="pct"/>
            <w:gridSpan w:val="2"/>
            <w:vAlign w:val="center"/>
          </w:tcPr>
          <w:p>
            <w:pPr>
              <w:pStyle w:val="19"/>
            </w:pPr>
            <w:r>
              <w:t>政府采购项目来源</w:t>
            </w:r>
          </w:p>
        </w:tc>
        <w:tc>
          <w:tcPr>
            <w:tcW w:w="368" w:type="pct"/>
            <w:vMerge w:val="restart"/>
            <w:vAlign w:val="center"/>
          </w:tcPr>
          <w:p>
            <w:pPr>
              <w:pStyle w:val="19"/>
            </w:pPr>
            <w:r>
              <w:t>采购物品名称</w:t>
            </w:r>
          </w:p>
        </w:tc>
        <w:tc>
          <w:tcPr>
            <w:tcW w:w="368" w:type="pct"/>
            <w:vMerge w:val="restart"/>
            <w:vAlign w:val="center"/>
          </w:tcPr>
          <w:p>
            <w:pPr>
              <w:pStyle w:val="19"/>
            </w:pPr>
            <w:r>
              <w:t>政府采购目录序号</w:t>
            </w:r>
          </w:p>
        </w:tc>
        <w:tc>
          <w:tcPr>
            <w:tcW w:w="230" w:type="pct"/>
            <w:vMerge w:val="restart"/>
            <w:vAlign w:val="center"/>
          </w:tcPr>
          <w:p>
            <w:pPr>
              <w:pStyle w:val="19"/>
            </w:pPr>
            <w:r>
              <w:t>计量  单位</w:t>
            </w:r>
          </w:p>
        </w:tc>
        <w:tc>
          <w:tcPr>
            <w:tcW w:w="276" w:type="pct"/>
            <w:vMerge w:val="restart"/>
            <w:vAlign w:val="center"/>
          </w:tcPr>
          <w:p>
            <w:pPr>
              <w:pStyle w:val="19"/>
            </w:pPr>
            <w:r>
              <w:t>数量</w:t>
            </w:r>
          </w:p>
        </w:tc>
        <w:tc>
          <w:tcPr>
            <w:tcW w:w="276" w:type="pct"/>
            <w:vMerge w:val="restart"/>
            <w:vAlign w:val="center"/>
          </w:tcPr>
          <w:p>
            <w:pPr>
              <w:pStyle w:val="19"/>
            </w:pPr>
            <w:r>
              <w:t>单价</w:t>
            </w:r>
          </w:p>
        </w:tc>
        <w:tc>
          <w:tcPr>
            <w:tcW w:w="2503" w:type="pct"/>
            <w:gridSpan w:val="8"/>
            <w:vAlign w:val="center"/>
          </w:tcPr>
          <w:p>
            <w:pPr>
              <w:pStyle w:val="19"/>
            </w:pPr>
            <w:r>
              <w:t>政府采购金额（当年</w:t>
            </w:r>
            <w:r>
              <w:rPr>
                <w:rFonts w:hint="eastAsia"/>
                <w:lang w:eastAsia="zh-CN"/>
              </w:rPr>
              <w:t>单位</w:t>
            </w:r>
            <w:r>
              <w:t>预算安排资金）</w:t>
            </w:r>
          </w:p>
        </w:tc>
        <w:tc>
          <w:tcPr>
            <w:tcW w:w="309" w:type="pct"/>
            <w:vMerge w:val="restart"/>
            <w:vAlign w:val="center"/>
          </w:tcPr>
          <w:p>
            <w:pPr>
              <w:pStyle w:val="1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6" w:type="pct"/>
            <w:vAlign w:val="center"/>
          </w:tcPr>
          <w:p>
            <w:pPr>
              <w:pStyle w:val="19"/>
            </w:pPr>
            <w:r>
              <w:t>项目名称</w:t>
            </w:r>
          </w:p>
        </w:tc>
        <w:tc>
          <w:tcPr>
            <w:tcW w:w="313" w:type="pct"/>
            <w:vAlign w:val="center"/>
          </w:tcPr>
          <w:p>
            <w:pPr>
              <w:pStyle w:val="19"/>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9"/>
            </w:pPr>
            <w:r>
              <w:t>合计</w:t>
            </w:r>
          </w:p>
        </w:tc>
        <w:tc>
          <w:tcPr>
            <w:tcW w:w="313" w:type="pct"/>
            <w:vAlign w:val="center"/>
          </w:tcPr>
          <w:p>
            <w:pPr>
              <w:pStyle w:val="19"/>
            </w:pPr>
            <w:r>
              <w:t>一般公共预算拨款</w:t>
            </w:r>
          </w:p>
        </w:tc>
        <w:tc>
          <w:tcPr>
            <w:tcW w:w="313" w:type="pct"/>
            <w:vAlign w:val="center"/>
          </w:tcPr>
          <w:p>
            <w:pPr>
              <w:pStyle w:val="19"/>
            </w:pPr>
            <w:r>
              <w:t>基金预算拨款</w:t>
            </w:r>
          </w:p>
        </w:tc>
        <w:tc>
          <w:tcPr>
            <w:tcW w:w="313" w:type="pct"/>
            <w:vAlign w:val="center"/>
          </w:tcPr>
          <w:p>
            <w:pPr>
              <w:pStyle w:val="19"/>
            </w:pPr>
            <w:r>
              <w:t>国有资本经营预算拨款</w:t>
            </w:r>
          </w:p>
        </w:tc>
        <w:tc>
          <w:tcPr>
            <w:tcW w:w="313" w:type="pct"/>
            <w:vAlign w:val="center"/>
          </w:tcPr>
          <w:p>
            <w:pPr>
              <w:pStyle w:val="19"/>
            </w:pPr>
            <w:r>
              <w:t>财政专户核拨</w:t>
            </w:r>
          </w:p>
        </w:tc>
        <w:tc>
          <w:tcPr>
            <w:tcW w:w="313" w:type="pct"/>
            <w:vAlign w:val="center"/>
          </w:tcPr>
          <w:p>
            <w:pPr>
              <w:pStyle w:val="19"/>
            </w:pPr>
            <w:r>
              <w:t>单位    资金</w:t>
            </w:r>
          </w:p>
        </w:tc>
        <w:tc>
          <w:tcPr>
            <w:tcW w:w="313" w:type="pct"/>
            <w:vAlign w:val="center"/>
          </w:tcPr>
          <w:p>
            <w:pPr>
              <w:pStyle w:val="19"/>
            </w:pPr>
            <w:r>
              <w:t>财政拨    款结转</w:t>
            </w:r>
          </w:p>
        </w:tc>
        <w:tc>
          <w:tcPr>
            <w:tcW w:w="313" w:type="pct"/>
            <w:vAlign w:val="center"/>
          </w:tcPr>
          <w:p>
            <w:pPr>
              <w:pStyle w:val="19"/>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22"/>
            </w:pPr>
            <w:r>
              <w:t>合  计</w:t>
            </w:r>
          </w:p>
        </w:tc>
        <w:tc>
          <w:tcPr>
            <w:tcW w:w="313" w:type="pct"/>
            <w:vAlign w:val="center"/>
          </w:tcPr>
          <w:p>
            <w:pPr>
              <w:pStyle w:val="23"/>
            </w:pPr>
          </w:p>
        </w:tc>
        <w:tc>
          <w:tcPr>
            <w:tcW w:w="368" w:type="pct"/>
            <w:vAlign w:val="center"/>
          </w:tcPr>
          <w:p>
            <w:pPr>
              <w:pStyle w:val="17"/>
            </w:pPr>
          </w:p>
        </w:tc>
        <w:tc>
          <w:tcPr>
            <w:tcW w:w="368" w:type="pct"/>
            <w:vAlign w:val="center"/>
          </w:tcPr>
          <w:p>
            <w:pPr>
              <w:pStyle w:val="17"/>
            </w:pPr>
          </w:p>
        </w:tc>
        <w:tc>
          <w:tcPr>
            <w:tcW w:w="230" w:type="pct"/>
            <w:vAlign w:val="center"/>
          </w:tcPr>
          <w:p>
            <w:pPr>
              <w:pStyle w:val="22"/>
            </w:pPr>
          </w:p>
        </w:tc>
        <w:tc>
          <w:tcPr>
            <w:tcW w:w="276" w:type="pct"/>
            <w:vAlign w:val="center"/>
          </w:tcPr>
          <w:p>
            <w:pPr>
              <w:pStyle w:val="23"/>
            </w:pPr>
          </w:p>
        </w:tc>
        <w:tc>
          <w:tcPr>
            <w:tcW w:w="276"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09" w:type="pct"/>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6" w:type="pct"/>
            <w:vAlign w:val="center"/>
          </w:tcPr>
          <w:p>
            <w:pPr>
              <w:pStyle w:val="22"/>
            </w:pPr>
          </w:p>
        </w:tc>
        <w:tc>
          <w:tcPr>
            <w:tcW w:w="313" w:type="pct"/>
            <w:vAlign w:val="center"/>
          </w:tcPr>
          <w:p>
            <w:pPr>
              <w:pStyle w:val="23"/>
            </w:pPr>
          </w:p>
        </w:tc>
        <w:tc>
          <w:tcPr>
            <w:tcW w:w="368" w:type="pct"/>
            <w:vAlign w:val="center"/>
          </w:tcPr>
          <w:p>
            <w:pPr>
              <w:pStyle w:val="17"/>
            </w:pPr>
          </w:p>
        </w:tc>
        <w:tc>
          <w:tcPr>
            <w:tcW w:w="368" w:type="pct"/>
            <w:vAlign w:val="center"/>
          </w:tcPr>
          <w:p>
            <w:pPr>
              <w:pStyle w:val="17"/>
            </w:pPr>
          </w:p>
        </w:tc>
        <w:tc>
          <w:tcPr>
            <w:tcW w:w="230" w:type="pct"/>
            <w:vAlign w:val="center"/>
          </w:tcPr>
          <w:p>
            <w:pPr>
              <w:pStyle w:val="22"/>
            </w:pPr>
          </w:p>
        </w:tc>
        <w:tc>
          <w:tcPr>
            <w:tcW w:w="276" w:type="pct"/>
            <w:vAlign w:val="center"/>
          </w:tcPr>
          <w:p>
            <w:pPr>
              <w:pStyle w:val="23"/>
            </w:pPr>
          </w:p>
        </w:tc>
        <w:tc>
          <w:tcPr>
            <w:tcW w:w="276"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13" w:type="pct"/>
            <w:vAlign w:val="center"/>
          </w:tcPr>
          <w:p>
            <w:pPr>
              <w:pStyle w:val="23"/>
            </w:pPr>
          </w:p>
        </w:tc>
        <w:tc>
          <w:tcPr>
            <w:tcW w:w="309" w:type="pct"/>
            <w:vAlign w:val="center"/>
          </w:tcPr>
          <w:p>
            <w:pPr>
              <w:pStyle w:val="2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bookmarkEnd w:id="3"/>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409.69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w:t>
      </w:r>
    </w:p>
    <w:tbl>
      <w:tblPr>
        <w:tblStyle w:val="12"/>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中国共产党廊坊市广阳区委员会办公室</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中国共产党廊坊市广阳区委员会办公室本级</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406.69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75"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106.94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59.75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7AC9B-D076-4DF2-88AD-89F0AD80F6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90B47890-5167-4DFD-BA4E-5408743CC1CC}"/>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A2E4BAA-FDA0-4CEF-827F-55E34633B9F6}"/>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0E144"/>
    <w:multiLevelType w:val="multilevel"/>
    <w:tmpl w:val="8740E144"/>
    <w:lvl w:ilvl="0" w:tentative="0">
      <w:start w:val="1"/>
      <w:numFmt w:val="chineseCountingThousand"/>
      <w:lvlText w:val="（%1）"/>
      <w:lvlJc w:val="left"/>
      <w:pPr>
        <w:tabs>
          <w:tab w:val="left" w:pos="0"/>
        </w:tabs>
        <w:ind w:left="1624" w:hanging="964"/>
      </w:pPr>
    </w:lvl>
    <w:lvl w:ilvl="1" w:tentative="0">
      <w:start w:val="1"/>
      <w:numFmt w:val="lowerLetter"/>
      <w:lvlText w:val="%2)"/>
      <w:lvlJc w:val="left"/>
      <w:pPr>
        <w:tabs>
          <w:tab w:val="left" w:pos="0"/>
        </w:tabs>
        <w:ind w:left="1500" w:hanging="420"/>
      </w:pPr>
    </w:lvl>
    <w:lvl w:ilvl="2" w:tentative="0">
      <w:start w:val="1"/>
      <w:numFmt w:val="lowerRoman"/>
      <w:lvlText w:val="%3."/>
      <w:lvlJc w:val="right"/>
      <w:pPr>
        <w:tabs>
          <w:tab w:val="left" w:pos="0"/>
        </w:tabs>
        <w:ind w:left="1920" w:hanging="420"/>
      </w:pPr>
    </w:lvl>
    <w:lvl w:ilvl="3" w:tentative="0">
      <w:start w:val="1"/>
      <w:numFmt w:val="decimal"/>
      <w:lvlText w:val="%4."/>
      <w:lvlJc w:val="left"/>
      <w:pPr>
        <w:tabs>
          <w:tab w:val="left" w:pos="0"/>
        </w:tabs>
        <w:ind w:left="2340" w:hanging="420"/>
      </w:pPr>
    </w:lvl>
    <w:lvl w:ilvl="4" w:tentative="0">
      <w:start w:val="1"/>
      <w:numFmt w:val="lowerLetter"/>
      <w:lvlText w:val="%5)"/>
      <w:lvlJc w:val="left"/>
      <w:pPr>
        <w:tabs>
          <w:tab w:val="left" w:pos="0"/>
        </w:tabs>
        <w:ind w:left="2760" w:hanging="420"/>
      </w:pPr>
    </w:lvl>
    <w:lvl w:ilvl="5" w:tentative="0">
      <w:start w:val="1"/>
      <w:numFmt w:val="lowerRoman"/>
      <w:lvlText w:val="%6."/>
      <w:lvlJc w:val="right"/>
      <w:pPr>
        <w:tabs>
          <w:tab w:val="left" w:pos="0"/>
        </w:tabs>
        <w:ind w:left="3180" w:hanging="420"/>
      </w:pPr>
    </w:lvl>
    <w:lvl w:ilvl="6" w:tentative="0">
      <w:start w:val="1"/>
      <w:numFmt w:val="decimal"/>
      <w:lvlText w:val="%7."/>
      <w:lvlJc w:val="left"/>
      <w:pPr>
        <w:tabs>
          <w:tab w:val="left" w:pos="0"/>
        </w:tabs>
        <w:ind w:left="3600" w:hanging="420"/>
      </w:pPr>
    </w:lvl>
    <w:lvl w:ilvl="7" w:tentative="0">
      <w:start w:val="1"/>
      <w:numFmt w:val="lowerLetter"/>
      <w:lvlText w:val="%8)"/>
      <w:lvlJc w:val="left"/>
      <w:pPr>
        <w:tabs>
          <w:tab w:val="left" w:pos="0"/>
        </w:tabs>
        <w:ind w:left="4020" w:hanging="420"/>
      </w:pPr>
    </w:lvl>
    <w:lvl w:ilvl="8" w:tentative="0">
      <w:start w:val="1"/>
      <w:numFmt w:val="lowerRoman"/>
      <w:lvlText w:val="%9."/>
      <w:lvlJc w:val="right"/>
      <w:pPr>
        <w:tabs>
          <w:tab w:val="left" w:pos="0"/>
        </w:tabs>
        <w:ind w:left="4440" w:hanging="420"/>
      </w:pPr>
    </w:lvl>
  </w:abstractNum>
  <w:abstractNum w:abstractNumId="1">
    <w:nsid w:val="AFC2CA21"/>
    <w:multiLevelType w:val="singleLevel"/>
    <w:tmpl w:val="AFC2CA21"/>
    <w:lvl w:ilvl="0" w:tentative="0">
      <w:start w:val="2"/>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ZTg1MzJjNTBhNGFmZWFjOWNkNzBiMDRhNDMxMDgwZTEifQ=="/>
  </w:docVars>
  <w:rsids>
    <w:rsidRoot w:val="00035A71"/>
    <w:rsid w:val="00035A71"/>
    <w:rsid w:val="00052986"/>
    <w:rsid w:val="000669EA"/>
    <w:rsid w:val="003B5D38"/>
    <w:rsid w:val="00C1754A"/>
    <w:rsid w:val="00DB29F0"/>
    <w:rsid w:val="00EA07C6"/>
    <w:rsid w:val="2CF65807"/>
    <w:rsid w:val="30970348"/>
    <w:rsid w:val="3BE31F0D"/>
    <w:rsid w:val="450E2C9B"/>
    <w:rsid w:val="4A4D5F3F"/>
    <w:rsid w:val="72DC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unhideWhenUsed/>
    <w:qFormat/>
    <w:uiPriority w:val="9"/>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index 6"/>
    <w:basedOn w:val="1"/>
    <w:next w:val="1"/>
    <w:qFormat/>
    <w:uiPriority w:val="0"/>
    <w:pPr>
      <w:ind w:left="21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toc 1"/>
    <w:basedOn w:val="1"/>
    <w:next w:val="1"/>
    <w:qFormat/>
    <w:uiPriority w:val="0"/>
    <w:rPr>
      <w:rFonts w:ascii="Times New Roman" w:hAnsi="Times New Roman" w:cs="Times New Roman"/>
      <w:szCs w:val="24"/>
    </w:rPr>
  </w:style>
  <w:style w:type="paragraph" w:styleId="9">
    <w:name w:val="footnote text"/>
    <w:basedOn w:val="1"/>
    <w:qFormat/>
    <w:uiPriority w:val="0"/>
    <w:pPr>
      <w:snapToGrid w:val="0"/>
      <w:jc w:val="left"/>
    </w:pPr>
    <w:rPr>
      <w:rFonts w:cs="Times New Roman"/>
      <w:sz w:val="18"/>
      <w:szCs w:val="18"/>
    </w:rPr>
  </w:style>
  <w:style w:type="paragraph" w:styleId="10">
    <w:name w:val="index 7"/>
    <w:basedOn w:val="1"/>
    <w:next w:val="1"/>
    <w:qFormat/>
    <w:uiPriority w:val="0"/>
    <w:pPr>
      <w:ind w:left="2520"/>
    </w:pPr>
  </w:style>
  <w:style w:type="paragraph" w:styleId="11">
    <w:name w:val="toc 2"/>
    <w:basedOn w:val="1"/>
    <w:next w:val="1"/>
    <w:qFormat/>
    <w:uiPriority w:val="0"/>
    <w:pPr>
      <w:ind w:left="200" w:leftChars="200"/>
    </w:pPr>
    <w:rPr>
      <w:rFonts w:ascii="Times New Roman" w:hAnsi="Times New Roman" w:cs="Times New Roman"/>
      <w:szCs w:val="24"/>
    </w:rPr>
  </w:style>
  <w:style w:type="character" w:styleId="14">
    <w:name w:val="footnote reference"/>
    <w:qFormat/>
    <w:uiPriority w:val="0"/>
    <w:rPr>
      <w:vertAlign w:val="superscript"/>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插入文本样式-插入职责分类绩效目标文件"/>
    <w:next w:val="9"/>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7">
    <w:name w:val="单元格样式5"/>
    <w:next w:val="15"/>
    <w:qFormat/>
    <w:uiPriority w:val="0"/>
    <w:rPr>
      <w:rFonts w:ascii="方正书宋_GBK" w:hAnsi="Times New Roman" w:eastAsia="方正书宋_GBK" w:cs="方正书宋_GBK"/>
      <w:b/>
      <w:sz w:val="21"/>
      <w:szCs w:val="24"/>
      <w:lang w:val="en-US" w:eastAsia="uk-UA" w:bidi="ar-SA"/>
    </w:rPr>
  </w:style>
  <w:style w:type="paragraph" w:customStyle="1" w:styleId="18">
    <w:name w:val="单元格样式4"/>
    <w:qFormat/>
    <w:uiPriority w:val="0"/>
    <w:pPr>
      <w:jc w:val="right"/>
    </w:pPr>
    <w:rPr>
      <w:rFonts w:ascii="方正书宋_GBK" w:hAnsi="Times New Roman" w:eastAsia="方正书宋_GBK" w:cs="方正书宋_GBK"/>
      <w:sz w:val="21"/>
      <w:szCs w:val="24"/>
      <w:lang w:val="en-US" w:eastAsia="uk-UA" w:bidi="ar-SA"/>
    </w:rPr>
  </w:style>
  <w:style w:type="paragraph" w:customStyle="1" w:styleId="19">
    <w:name w:val="单元格样式1"/>
    <w:next w:val="4"/>
    <w:qFormat/>
    <w:uiPriority w:val="0"/>
    <w:pPr>
      <w:jc w:val="center"/>
    </w:pPr>
    <w:rPr>
      <w:rFonts w:ascii="方正书宋_GBK" w:hAnsi="Times New Roman" w:eastAsia="方正书宋_GBK" w:cs="方正书宋_GBK"/>
      <w:b/>
      <w:sz w:val="21"/>
      <w:szCs w:val="24"/>
      <w:lang w:val="en-US" w:eastAsia="uk-UA" w:bidi="ar-SA"/>
    </w:rPr>
  </w:style>
  <w:style w:type="paragraph" w:customStyle="1" w:styleId="20">
    <w:name w:val="单元格样式2"/>
    <w:next w:val="3"/>
    <w:qFormat/>
    <w:uiPriority w:val="0"/>
    <w:rPr>
      <w:rFonts w:ascii="方正书宋_GBK" w:hAnsi="Times New Roman" w:eastAsia="方正书宋_GBK" w:cs="方正书宋_GBK"/>
      <w:sz w:val="21"/>
      <w:szCs w:val="24"/>
      <w:lang w:val="en-US" w:eastAsia="uk-UA" w:bidi="ar-SA"/>
    </w:rPr>
  </w:style>
  <w:style w:type="paragraph" w:customStyle="1" w:styleId="21">
    <w:name w:val="单元格样式3"/>
    <w:next w:val="10"/>
    <w:qFormat/>
    <w:uiPriority w:val="0"/>
    <w:pPr>
      <w:jc w:val="center"/>
    </w:pPr>
    <w:rPr>
      <w:rFonts w:ascii="方正书宋_GBK" w:hAnsi="Times New Roman" w:eastAsia="方正书宋_GBK" w:cs="方正书宋_GBK"/>
      <w:sz w:val="21"/>
      <w:szCs w:val="24"/>
      <w:lang w:val="en-US" w:eastAsia="uk-UA" w:bidi="ar-S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922</Words>
  <Characters>5262</Characters>
  <Lines>43</Lines>
  <Paragraphs>12</Paragraphs>
  <TotalTime>62</TotalTime>
  <ScaleCrop>false</ScaleCrop>
  <LinksUpToDate>false</LinksUpToDate>
  <CharactersWithSpaces>6172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2021-03-31T03:00:00Z</dcterms:created>
  <dc:creator>guest</dc:creator>
  <cp:lastModifiedBy>CXL</cp:lastModifiedBy>
  <cp:lastPrinted>2018-01-30T06:12:00Z</cp:lastPrinted>
  <dcterms:modified xsi:type="dcterms:W3CDTF">2023-08-14T02:47:57Z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9705A118A9FB4BBDA542D639B61E809C</vt:lpwstr>
  </property>
</Properties>
</file>