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广阳区万庄镇李孙洼小学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广阳区万庄镇李孙洼小学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廊坊市广阳区万庄镇李孙洼小学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广阳区万庄镇李孙洼小学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2年预算收入41.08万元，其中：一般公共预算收入41.08万元，基金预算收入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广阳区万庄镇李孙洼小学2022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2年支出预算41.08万元，其中基本支出0万元，包括人员类项目经费0万元和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万元；运转类其他及特定目标类项目支出41.08万元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2年预算收支安排41.08万元，较20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1年预算增加41.08万元，其中：基本支出增加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万元；项目支出增加41.08万元，主要为</w:t>
      </w:r>
      <w:r>
        <w:rPr>
          <w:rFonts w:hint="eastAsia" w:ascii="Times New Roman" w:hAnsi="Times New Roman" w:eastAsia="仿宋_GB2312" w:cs="Times New Roman"/>
          <w:sz w:val="32"/>
          <w:szCs w:val="32"/>
        </w:rPr>
        <w:t>桌椅、地板和防水粉刷等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2年，我局机关运行经费共计安排0万元。</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1、提高义务教育水平，免除城市区中小学生学杂费，提供免费教科书，解决大班额问题及入学难问题。对贫困中小学生进行补助。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w:t>
      </w:r>
      <w:r>
        <w:rPr>
          <w:rFonts w:ascii="仿宋_GB2312"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8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1.李孙洼小学对2022年在校学200人，按照义务教育生均公用经费标准申请财政预算资金，通过合理、合规使用资金达到保证学校正常运转.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01"/>
        <w:gridCol w:w="831"/>
        <w:gridCol w:w="3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3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4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200人</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1.李孙洼学校对2022年在校学生200人，按照义务教育生均公用经费标准申请财政预算资金，通过合理、合规使用资金达到保证学校正常运转，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07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200人</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3.教育经费绩效目标表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6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6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287"/>
        <w:gridCol w:w="2436"/>
        <w:gridCol w:w="2385"/>
        <w:gridCol w:w="832"/>
        <w:gridCol w:w="1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3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≤5.1万元</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.校园房屋外墙主体粉刷（项目名称）绩效目标表</w:t>
      </w:r>
      <w:bookmarkStart w:id="3" w:name="_Toc29799657"/>
      <w:bookmarkEnd w:id="3"/>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6"/>
        <w:gridCol w:w="1418"/>
        <w:gridCol w:w="2410"/>
        <w:gridCol w:w="3260"/>
        <w:gridCol w:w="1276"/>
        <w:gridCol w:w="4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6" w:type="dxa"/>
            <w:gridSpan w:val="5"/>
            <w:shd w:val="clear" w:color="auto" w:fill="auto"/>
            <w:vAlign w:val="center"/>
          </w:tcPr>
          <w:p>
            <w:pPr>
              <w:pStyle w:val="14"/>
              <w:spacing w:line="380" w:lineRule="exact"/>
              <w:rPr>
                <w:rFonts w:hint="eastAsia" w:ascii="仿宋_GB2312" w:hAnsi="仿宋_GB2312" w:eastAsia="仿宋_GB2312" w:cs="仿宋_GB2312"/>
                <w:b/>
              </w:rPr>
            </w:pPr>
            <w:r>
              <w:rPr>
                <w:rFonts w:hint="eastAsia" w:ascii="仿宋_GB2312" w:hAnsi="仿宋_GB2312" w:eastAsia="仿宋_GB2312" w:cs="仿宋_GB2312"/>
                <w:lang w:eastAsia="zh-CN"/>
              </w:rPr>
              <w:t>1、</w:t>
            </w:r>
            <w:r>
              <w:rPr>
                <w:rFonts w:hint="eastAsia" w:ascii="仿宋_GB2312" w:hAnsi="仿宋_GB2312" w:eastAsia="仿宋_GB2312" w:cs="仿宋_GB2312"/>
              </w:rPr>
              <w:t>弥补办公经费不足，保障教育教学正常的进行。</w:t>
            </w:r>
          </w:p>
          <w:p>
            <w:pPr>
              <w:pStyle w:val="14"/>
              <w:spacing w:line="380" w:lineRule="exact"/>
              <w:rPr>
                <w:rFonts w:hint="eastAsia" w:ascii="仿宋_GB2312" w:hAnsi="仿宋_GB2312" w:eastAsia="仿宋_GB2312" w:cs="仿宋_GB2312"/>
                <w:b/>
              </w:rPr>
            </w:pPr>
            <w:r>
              <w:rPr>
                <w:rFonts w:hint="eastAsia" w:ascii="仿宋_GB2312" w:hAnsi="仿宋_GB2312" w:eastAsia="仿宋_GB2312" w:cs="仿宋_GB2312"/>
                <w:lang w:eastAsia="zh-CN"/>
              </w:rPr>
              <w:t>2、</w:t>
            </w:r>
            <w:r>
              <w:rPr>
                <w:rFonts w:hint="eastAsia" w:ascii="仿宋_GB2312" w:hAnsi="仿宋_GB2312" w:eastAsia="仿宋_GB2312" w:cs="仿宋_GB2312"/>
              </w:rPr>
              <w:t>改善办学条件，提高教育教学环境。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418"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41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26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51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保证学校正常运转</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需要粉刷外墙1800平米</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1800平米</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廊坊市广阳区教育和体育局关于拨付2021年学校校园房屋外墙主体粉刷资金（[2021]86号）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continue"/>
            <w:shd w:val="clear" w:color="auto" w:fill="auto"/>
            <w:vAlign w:val="center"/>
          </w:tcPr>
          <w:p>
            <w:pPr>
              <w:spacing w:line="380" w:lineRule="exact"/>
              <w:rPr>
                <w:rFonts w:hint="eastAsia" w:ascii="仿宋_GB2312" w:hAnsi="仿宋_GB2312" w:eastAsia="仿宋_GB2312" w:cs="仿宋_GB2312"/>
              </w:rPr>
            </w:pP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continue"/>
            <w:shd w:val="clear" w:color="auto" w:fill="auto"/>
            <w:vAlign w:val="center"/>
          </w:tcPr>
          <w:p>
            <w:pPr>
              <w:spacing w:line="380" w:lineRule="exact"/>
              <w:rPr>
                <w:rFonts w:hint="eastAsia" w:ascii="仿宋_GB2312" w:hAnsi="仿宋_GB2312" w:eastAsia="仿宋_GB2312" w:cs="仿宋_GB2312"/>
              </w:rPr>
            </w:pP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continue"/>
            <w:shd w:val="clear" w:color="auto" w:fill="auto"/>
            <w:vAlign w:val="center"/>
          </w:tcPr>
          <w:p>
            <w:pPr>
              <w:spacing w:line="380" w:lineRule="exact"/>
              <w:rPr>
                <w:rFonts w:hint="eastAsia" w:ascii="仿宋_GB2312" w:hAnsi="仿宋_GB2312" w:eastAsia="仿宋_GB2312" w:cs="仿宋_GB2312"/>
              </w:rPr>
            </w:pP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7万元</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continue"/>
            <w:shd w:val="clear" w:color="auto" w:fill="auto"/>
            <w:vAlign w:val="center"/>
          </w:tcPr>
          <w:p>
            <w:pPr>
              <w:spacing w:line="380" w:lineRule="exact"/>
              <w:rPr>
                <w:rFonts w:hint="eastAsia" w:ascii="仿宋_GB2312" w:hAnsi="仿宋_GB2312" w:eastAsia="仿宋_GB2312" w:cs="仿宋_GB2312"/>
              </w:rPr>
            </w:pP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.校园平房防水（项目名称）绩效目标表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559"/>
        <w:gridCol w:w="4536"/>
        <w:gridCol w:w="2977"/>
        <w:gridCol w:w="992"/>
        <w:gridCol w:w="3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301" w:type="dxa"/>
            <w:gridSpan w:val="5"/>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lang w:eastAsia="zh-CN"/>
              </w:rPr>
              <w:t>1、</w:t>
            </w:r>
            <w:r>
              <w:rPr>
                <w:rFonts w:hint="eastAsia" w:ascii="仿宋_GB2312" w:hAnsi="仿宋_GB2312" w:eastAsia="仿宋_GB2312" w:cs="仿宋_GB2312"/>
              </w:rPr>
              <w:t>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380" w:lineRule="exact"/>
              <w:rPr>
                <w:rFonts w:hint="eastAsia" w:ascii="仿宋_GB2312" w:hAnsi="仿宋_GB2312" w:eastAsia="仿宋_GB2312" w:cs="仿宋_GB2312"/>
                <w:b/>
              </w:rPr>
            </w:pPr>
            <w:r>
              <w:rPr>
                <w:rFonts w:hint="eastAsia" w:ascii="仿宋_GB2312" w:hAnsi="仿宋_GB2312" w:eastAsia="仿宋_GB2312" w:cs="仿宋_GB2312"/>
                <w:lang w:eastAsia="zh-CN"/>
              </w:rPr>
              <w:t>2、</w:t>
            </w:r>
            <w:r>
              <w:rPr>
                <w:rFonts w:hint="eastAsia" w:ascii="仿宋_GB2312" w:hAnsi="仿宋_GB2312" w:eastAsia="仿宋_GB2312" w:cs="仿宋_GB2312"/>
              </w:rPr>
              <w:t>改善办学条件，提高教育教学环境。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59"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453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77"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99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237"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保证房屋不漏水，能正常使用</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28间房需要做防水</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28间</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廊坊市广阳区教育和体育局关于拨付2021年学校校园平房防水资金（[2021]86号）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380" w:lineRule="exact"/>
              <w:rPr>
                <w:rFonts w:hint="eastAsia" w:ascii="仿宋_GB2312" w:hAnsi="仿宋_GB2312" w:eastAsia="仿宋_GB2312" w:cs="仿宋_GB2312"/>
              </w:rPr>
            </w:pP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380" w:lineRule="exact"/>
              <w:rPr>
                <w:rFonts w:hint="eastAsia" w:ascii="仿宋_GB2312" w:hAnsi="仿宋_GB2312" w:eastAsia="仿宋_GB2312" w:cs="仿宋_GB2312"/>
              </w:rPr>
            </w:pP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380" w:lineRule="exact"/>
              <w:rPr>
                <w:rFonts w:hint="eastAsia" w:ascii="仿宋_GB2312" w:hAnsi="仿宋_GB2312" w:eastAsia="仿宋_GB2312" w:cs="仿宋_GB2312"/>
              </w:rPr>
            </w:pP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11万元</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380" w:lineRule="exact"/>
              <w:rPr>
                <w:rFonts w:hint="eastAsia" w:ascii="仿宋_GB2312" w:hAnsi="仿宋_GB2312" w:eastAsia="仿宋_GB2312" w:cs="仿宋_GB2312"/>
              </w:rPr>
            </w:pP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5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4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97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99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2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before="0" w:after="0"/>
        <w:ind w:firstLine="560"/>
        <w:jc w:val="left"/>
        <w:outlineLvl w:val="3"/>
        <w:rPr>
          <w:rFonts w:hint="eastAsia" w:ascii="仿宋_GB2312" w:hAnsi="仿宋_GB2312" w:eastAsia="仿宋_GB2312" w:cs="仿宋_GB2312"/>
          <w:color w:val="000000"/>
          <w:sz w:val="28"/>
        </w:rPr>
      </w:pPr>
      <w:bookmarkStart w:id="4" w:name="_Toc_4_4_0000000009"/>
    </w:p>
    <w:p>
      <w:pPr>
        <w:spacing w:before="0" w:after="0"/>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6.幼儿园生均经费绩效目标表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8"/>
        <w:gridCol w:w="102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2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幼儿园运转，改善基本办园条件，促进教育均衡发展及幼儿素质提高。李孙洼幼儿园对2022年在园幼儿82人，按照幼儿园生均公用经费标准申请财政预算资金，通过合理、合规使用资金达到保证幼儿园正常运转，改善办园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1319"/>
        <w:gridCol w:w="2151"/>
        <w:gridCol w:w="3018"/>
        <w:gridCol w:w="1194"/>
        <w:gridCol w:w="3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15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01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9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5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82人</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3</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outlineLvl w:val="1"/>
        <w:rPr>
          <w:rFonts w:ascii="方正小标宋_GBK" w:eastAsia="方正小标宋_GBK" w:cs="Times New Roman"/>
          <w:sz w:val="32"/>
        </w:rPr>
      </w:pPr>
      <w:r>
        <w:rPr>
          <w:rFonts w:hint="eastAsia"/>
        </w:rPr>
        <w:t>[</w:t>
      </w:r>
      <w:r>
        <w:t>963001]廊坊市</w:t>
      </w:r>
      <w:r>
        <w:rPr>
          <w:rFonts w:hint="eastAsia"/>
        </w:rPr>
        <w:t>广阳区万庄镇李孙洼小学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96"/>
        <w:gridCol w:w="1321"/>
        <w:gridCol w:w="981"/>
        <w:gridCol w:w="845"/>
        <w:gridCol w:w="590"/>
        <w:gridCol w:w="612"/>
        <w:gridCol w:w="882"/>
        <w:gridCol w:w="882"/>
        <w:gridCol w:w="882"/>
        <w:gridCol w:w="882"/>
        <w:gridCol w:w="884"/>
        <w:gridCol w:w="884"/>
        <w:gridCol w:w="884"/>
        <w:gridCol w:w="887"/>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71" w:type="pct"/>
            <w:gridSpan w:val="2"/>
            <w:vAlign w:val="center"/>
          </w:tcPr>
          <w:p>
            <w:pPr>
              <w:pStyle w:val="12"/>
            </w:pPr>
            <w:r>
              <w:t>政府采购项目来源</w:t>
            </w:r>
          </w:p>
        </w:tc>
        <w:tc>
          <w:tcPr>
            <w:tcW w:w="466" w:type="pct"/>
            <w:vMerge w:val="restart"/>
            <w:vAlign w:val="center"/>
          </w:tcPr>
          <w:p>
            <w:pPr>
              <w:pStyle w:val="12"/>
            </w:pPr>
            <w:r>
              <w:t>采购物品名称</w:t>
            </w:r>
          </w:p>
        </w:tc>
        <w:tc>
          <w:tcPr>
            <w:tcW w:w="346" w:type="pct"/>
            <w:vMerge w:val="restart"/>
            <w:vAlign w:val="center"/>
          </w:tcPr>
          <w:p>
            <w:pPr>
              <w:pStyle w:val="12"/>
            </w:pPr>
            <w:r>
              <w:t>政府采购目录序号</w:t>
            </w:r>
          </w:p>
        </w:tc>
        <w:tc>
          <w:tcPr>
            <w:tcW w:w="298" w:type="pct"/>
            <w:vMerge w:val="restart"/>
            <w:vAlign w:val="center"/>
          </w:tcPr>
          <w:p>
            <w:pPr>
              <w:pStyle w:val="12"/>
            </w:pPr>
            <w:r>
              <w:t>计量  单位</w:t>
            </w:r>
          </w:p>
        </w:tc>
        <w:tc>
          <w:tcPr>
            <w:tcW w:w="208" w:type="pct"/>
            <w:vMerge w:val="restart"/>
            <w:vAlign w:val="center"/>
          </w:tcPr>
          <w:p>
            <w:pPr>
              <w:pStyle w:val="12"/>
            </w:pPr>
            <w:r>
              <w:t>数量</w:t>
            </w:r>
          </w:p>
        </w:tc>
        <w:tc>
          <w:tcPr>
            <w:tcW w:w="216" w:type="pct"/>
            <w:vMerge w:val="restart"/>
            <w:vAlign w:val="center"/>
          </w:tcPr>
          <w:p>
            <w:pPr>
              <w:pStyle w:val="12"/>
            </w:pPr>
            <w:r>
              <w:t>单价</w:t>
            </w:r>
          </w:p>
        </w:tc>
        <w:tc>
          <w:tcPr>
            <w:tcW w:w="2493" w:type="pct"/>
            <w:gridSpan w:val="8"/>
            <w:vAlign w:val="center"/>
          </w:tcPr>
          <w:p>
            <w:pPr>
              <w:pStyle w:val="12"/>
            </w:pPr>
            <w:r>
              <w:t>政府采购金额（当年</w:t>
            </w:r>
            <w:r>
              <w:rPr>
                <w:rFonts w:hint="eastAsia"/>
                <w:lang w:eastAsia="zh-CN"/>
              </w:rPr>
              <w:t>单位</w:t>
            </w:r>
            <w:r>
              <w:t>预算安排资金）</w:t>
            </w:r>
          </w:p>
        </w:tc>
        <w:tc>
          <w:tcPr>
            <w:tcW w:w="30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pPr>
            <w:r>
              <w:t>项目名称</w:t>
            </w:r>
          </w:p>
        </w:tc>
        <w:tc>
          <w:tcPr>
            <w:tcW w:w="316" w:type="pct"/>
            <w:vAlign w:val="center"/>
          </w:tcPr>
          <w:p>
            <w:pPr>
              <w:pStyle w:val="12"/>
            </w:pPr>
            <w:r>
              <w:t>预算    资金</w:t>
            </w:r>
          </w:p>
        </w:tc>
        <w:tc>
          <w:tcPr>
            <w:tcW w:w="466" w:type="pct"/>
            <w:vMerge w:val="continue"/>
          </w:tcPr>
          <w:p/>
        </w:tc>
        <w:tc>
          <w:tcPr>
            <w:tcW w:w="346" w:type="pct"/>
            <w:vMerge w:val="continue"/>
          </w:tcPr>
          <w:p/>
        </w:tc>
        <w:tc>
          <w:tcPr>
            <w:tcW w:w="298" w:type="pct"/>
            <w:vMerge w:val="continue"/>
          </w:tcPr>
          <w:p/>
        </w:tc>
        <w:tc>
          <w:tcPr>
            <w:tcW w:w="208" w:type="pct"/>
            <w:vMerge w:val="continue"/>
          </w:tcPr>
          <w:p/>
        </w:tc>
        <w:tc>
          <w:tcPr>
            <w:tcW w:w="216" w:type="pct"/>
            <w:vMerge w:val="continue"/>
          </w:tcPr>
          <w:p/>
        </w:tc>
        <w:tc>
          <w:tcPr>
            <w:tcW w:w="311" w:type="pct"/>
            <w:vAlign w:val="center"/>
          </w:tcPr>
          <w:p>
            <w:pPr>
              <w:pStyle w:val="12"/>
            </w:pPr>
            <w:r>
              <w:t>合计</w:t>
            </w:r>
          </w:p>
        </w:tc>
        <w:tc>
          <w:tcPr>
            <w:tcW w:w="311" w:type="pct"/>
            <w:vAlign w:val="center"/>
          </w:tcPr>
          <w:p>
            <w:pPr>
              <w:pStyle w:val="12"/>
            </w:pPr>
            <w:r>
              <w:t>一般公共预算拨款</w:t>
            </w:r>
          </w:p>
        </w:tc>
        <w:tc>
          <w:tcPr>
            <w:tcW w:w="311" w:type="pct"/>
            <w:vAlign w:val="center"/>
          </w:tcPr>
          <w:p>
            <w:pPr>
              <w:pStyle w:val="12"/>
            </w:pPr>
            <w:r>
              <w:t>基金预算拨款</w:t>
            </w:r>
          </w:p>
        </w:tc>
        <w:tc>
          <w:tcPr>
            <w:tcW w:w="311"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2" w:type="pct"/>
            <w:vAlign w:val="center"/>
          </w:tcPr>
          <w:p>
            <w:pPr>
              <w:pStyle w:val="12"/>
            </w:pPr>
            <w:r>
              <w:t>非财政    拨款结    转结余</w:t>
            </w:r>
          </w:p>
        </w:tc>
        <w:tc>
          <w:tcPr>
            <w:tcW w:w="30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5" w:type="pct"/>
            <w:vAlign w:val="center"/>
          </w:tcPr>
          <w:p>
            <w:pPr>
              <w:pStyle w:val="16"/>
            </w:pPr>
            <w:r>
              <w:t>合  计</w:t>
            </w:r>
          </w:p>
        </w:tc>
        <w:tc>
          <w:tcPr>
            <w:tcW w:w="316" w:type="pct"/>
            <w:vAlign w:val="center"/>
          </w:tcPr>
          <w:p>
            <w:pPr>
              <w:pStyle w:val="17"/>
              <w:rPr>
                <w:lang w:eastAsia="zh-CN"/>
              </w:rPr>
            </w:pPr>
            <w:r>
              <w:rPr>
                <w:rFonts w:hint="eastAsia"/>
                <w:lang w:eastAsia="zh-CN"/>
              </w:rPr>
              <w:t>3</w:t>
            </w:r>
          </w:p>
        </w:tc>
        <w:tc>
          <w:tcPr>
            <w:tcW w:w="466" w:type="pct"/>
            <w:vAlign w:val="center"/>
          </w:tcPr>
          <w:p>
            <w:pPr>
              <w:pStyle w:val="18"/>
              <w:rPr>
                <w:lang w:eastAsia="zh-CN"/>
              </w:rPr>
            </w:pPr>
          </w:p>
        </w:tc>
        <w:tc>
          <w:tcPr>
            <w:tcW w:w="346" w:type="pct"/>
            <w:vAlign w:val="center"/>
          </w:tcPr>
          <w:p>
            <w:pPr>
              <w:pStyle w:val="18"/>
            </w:pPr>
          </w:p>
        </w:tc>
        <w:tc>
          <w:tcPr>
            <w:tcW w:w="298" w:type="pct"/>
            <w:vAlign w:val="center"/>
          </w:tcPr>
          <w:p>
            <w:pPr>
              <w:pStyle w:val="16"/>
              <w:rPr>
                <w:lang w:eastAsia="zh-CN"/>
              </w:rPr>
            </w:pPr>
          </w:p>
        </w:tc>
        <w:tc>
          <w:tcPr>
            <w:tcW w:w="208" w:type="pct"/>
            <w:vAlign w:val="center"/>
          </w:tcPr>
          <w:p>
            <w:pPr>
              <w:pStyle w:val="17"/>
              <w:rPr>
                <w:lang w:eastAsia="zh-CN"/>
              </w:rPr>
            </w:pPr>
          </w:p>
        </w:tc>
        <w:tc>
          <w:tcPr>
            <w:tcW w:w="216" w:type="pct"/>
            <w:vAlign w:val="center"/>
          </w:tcPr>
          <w:p>
            <w:pPr>
              <w:pStyle w:val="17"/>
              <w:rPr>
                <w:lang w:eastAsia="zh-CN"/>
              </w:rPr>
            </w:pPr>
          </w:p>
        </w:tc>
        <w:tc>
          <w:tcPr>
            <w:tcW w:w="311" w:type="pct"/>
            <w:vAlign w:val="center"/>
          </w:tcPr>
          <w:p>
            <w:pPr>
              <w:pStyle w:val="17"/>
            </w:pPr>
          </w:p>
        </w:tc>
        <w:tc>
          <w:tcPr>
            <w:tcW w:w="311" w:type="pct"/>
            <w:vAlign w:val="center"/>
          </w:tcPr>
          <w:p>
            <w:pPr>
              <w:pStyle w:val="17"/>
            </w:pPr>
          </w:p>
        </w:tc>
        <w:tc>
          <w:tcPr>
            <w:tcW w:w="311" w:type="pct"/>
            <w:vAlign w:val="center"/>
          </w:tcPr>
          <w:p>
            <w:pPr>
              <w:pStyle w:val="17"/>
            </w:pPr>
          </w:p>
        </w:tc>
        <w:tc>
          <w:tcPr>
            <w:tcW w:w="311"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0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p>
        </w:tc>
        <w:tc>
          <w:tcPr>
            <w:tcW w:w="316" w:type="pct"/>
            <w:vAlign w:val="center"/>
          </w:tcPr>
          <w:p>
            <w:pPr>
              <w:pStyle w:val="17"/>
              <w:rPr>
                <w:b w:val="0"/>
                <w:bCs/>
                <w:lang w:eastAsia="zh-CN"/>
              </w:rPr>
            </w:pPr>
            <w:r>
              <w:rPr>
                <w:rFonts w:hint="eastAsia"/>
                <w:b w:val="0"/>
                <w:bCs/>
                <w:lang w:eastAsia="zh-CN"/>
              </w:rPr>
              <w:t>1</w:t>
            </w:r>
          </w:p>
        </w:tc>
        <w:tc>
          <w:tcPr>
            <w:tcW w:w="466" w:type="pct"/>
            <w:vAlign w:val="center"/>
          </w:tcPr>
          <w:p>
            <w:pPr>
              <w:pStyle w:val="18"/>
              <w:rPr>
                <w:b w:val="0"/>
                <w:bCs/>
                <w:lang w:eastAsia="zh-CN"/>
              </w:rPr>
            </w:pPr>
            <w:r>
              <w:rPr>
                <w:rFonts w:hint="eastAsia"/>
                <w:b w:val="0"/>
                <w:bCs/>
                <w:lang w:eastAsia="zh-CN"/>
              </w:rPr>
              <w:t>笔记本电脑</w:t>
            </w:r>
          </w:p>
        </w:tc>
        <w:tc>
          <w:tcPr>
            <w:tcW w:w="346" w:type="pct"/>
            <w:vAlign w:val="center"/>
          </w:tcPr>
          <w:p>
            <w:pPr>
              <w:pStyle w:val="18"/>
              <w:rPr>
                <w:b w:val="0"/>
                <w:bCs/>
              </w:rPr>
            </w:pPr>
          </w:p>
        </w:tc>
        <w:tc>
          <w:tcPr>
            <w:tcW w:w="298" w:type="pct"/>
            <w:vAlign w:val="center"/>
          </w:tcPr>
          <w:p>
            <w:pPr>
              <w:pStyle w:val="16"/>
              <w:rPr>
                <w:b w:val="0"/>
                <w:bCs/>
                <w:lang w:eastAsia="zh-CN"/>
              </w:rPr>
            </w:pPr>
            <w:r>
              <w:rPr>
                <w:rFonts w:hint="eastAsia"/>
                <w:b w:val="0"/>
                <w:bCs/>
                <w:lang w:eastAsia="zh-CN"/>
              </w:rPr>
              <w:t>台</w:t>
            </w:r>
          </w:p>
        </w:tc>
        <w:tc>
          <w:tcPr>
            <w:tcW w:w="208" w:type="pct"/>
            <w:vAlign w:val="center"/>
          </w:tcPr>
          <w:p>
            <w:pPr>
              <w:pStyle w:val="17"/>
              <w:rPr>
                <w:b w:val="0"/>
                <w:bCs/>
                <w:lang w:eastAsia="zh-CN"/>
              </w:rPr>
            </w:pPr>
            <w:r>
              <w:rPr>
                <w:rFonts w:hint="eastAsia"/>
                <w:b w:val="0"/>
                <w:bCs/>
                <w:lang w:eastAsia="zh-CN"/>
              </w:rPr>
              <w:t>1</w:t>
            </w:r>
          </w:p>
        </w:tc>
        <w:tc>
          <w:tcPr>
            <w:tcW w:w="216" w:type="pct"/>
            <w:vAlign w:val="center"/>
          </w:tcPr>
          <w:p>
            <w:pPr>
              <w:pStyle w:val="17"/>
              <w:rPr>
                <w:b w:val="0"/>
                <w:bCs/>
                <w:lang w:eastAsia="zh-CN"/>
              </w:rPr>
            </w:pPr>
            <w:r>
              <w:rPr>
                <w:rFonts w:hint="eastAsia"/>
                <w:b w:val="0"/>
                <w:bCs/>
                <w:lang w:eastAsia="zh-CN"/>
              </w:rPr>
              <w:t>1</w:t>
            </w:r>
          </w:p>
        </w:tc>
        <w:tc>
          <w:tcPr>
            <w:tcW w:w="311" w:type="pct"/>
            <w:vAlign w:val="center"/>
          </w:tcPr>
          <w:p>
            <w:pPr>
              <w:pStyle w:val="17"/>
            </w:pPr>
          </w:p>
        </w:tc>
        <w:tc>
          <w:tcPr>
            <w:tcW w:w="311" w:type="pct"/>
            <w:vAlign w:val="center"/>
          </w:tcPr>
          <w:p>
            <w:pPr>
              <w:pStyle w:val="17"/>
            </w:pPr>
          </w:p>
        </w:tc>
        <w:tc>
          <w:tcPr>
            <w:tcW w:w="311" w:type="pct"/>
            <w:vAlign w:val="center"/>
          </w:tcPr>
          <w:p>
            <w:pPr>
              <w:pStyle w:val="17"/>
            </w:pPr>
          </w:p>
        </w:tc>
        <w:tc>
          <w:tcPr>
            <w:tcW w:w="311"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0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pPr>
          </w:p>
        </w:tc>
        <w:tc>
          <w:tcPr>
            <w:tcW w:w="316" w:type="pct"/>
            <w:vAlign w:val="center"/>
          </w:tcPr>
          <w:p>
            <w:pPr>
              <w:pStyle w:val="13"/>
            </w:pPr>
            <w:r>
              <w:rPr>
                <w:rFonts w:hint="eastAsia"/>
                <w:lang w:eastAsia="zh-CN"/>
              </w:rPr>
              <w:t>2</w:t>
            </w:r>
          </w:p>
        </w:tc>
        <w:tc>
          <w:tcPr>
            <w:tcW w:w="466" w:type="pct"/>
            <w:vAlign w:val="center"/>
          </w:tcPr>
          <w:p>
            <w:pPr>
              <w:pStyle w:val="14"/>
            </w:pPr>
            <w:r>
              <w:rPr>
                <w:rFonts w:hint="eastAsia"/>
                <w:lang w:eastAsia="zh-CN"/>
              </w:rPr>
              <w:t>空调</w:t>
            </w:r>
          </w:p>
        </w:tc>
        <w:tc>
          <w:tcPr>
            <w:tcW w:w="346" w:type="pct"/>
            <w:vAlign w:val="center"/>
          </w:tcPr>
          <w:p>
            <w:pPr>
              <w:pStyle w:val="14"/>
            </w:pPr>
          </w:p>
        </w:tc>
        <w:tc>
          <w:tcPr>
            <w:tcW w:w="298" w:type="pct"/>
            <w:vAlign w:val="center"/>
          </w:tcPr>
          <w:p>
            <w:pPr>
              <w:pStyle w:val="15"/>
            </w:pPr>
            <w:r>
              <w:rPr>
                <w:rFonts w:hint="eastAsia"/>
                <w:lang w:eastAsia="zh-CN"/>
              </w:rPr>
              <w:t>台</w:t>
            </w:r>
          </w:p>
        </w:tc>
        <w:tc>
          <w:tcPr>
            <w:tcW w:w="208" w:type="pct"/>
            <w:vAlign w:val="center"/>
          </w:tcPr>
          <w:p>
            <w:pPr>
              <w:pStyle w:val="13"/>
            </w:pPr>
            <w:r>
              <w:rPr>
                <w:lang w:eastAsia="zh-CN"/>
              </w:rPr>
              <w:t>1</w:t>
            </w:r>
          </w:p>
        </w:tc>
        <w:tc>
          <w:tcPr>
            <w:tcW w:w="216" w:type="pct"/>
            <w:vAlign w:val="center"/>
          </w:tcPr>
          <w:p>
            <w:pPr>
              <w:pStyle w:val="13"/>
            </w:pPr>
            <w:r>
              <w:rPr>
                <w:lang w:eastAsia="zh-CN"/>
              </w:rPr>
              <w:t>1</w:t>
            </w:r>
          </w:p>
        </w:tc>
        <w:tc>
          <w:tcPr>
            <w:tcW w:w="311" w:type="pct"/>
            <w:vAlign w:val="center"/>
          </w:tcPr>
          <w:p>
            <w:pPr>
              <w:pStyle w:val="13"/>
            </w:pPr>
          </w:p>
        </w:tc>
        <w:tc>
          <w:tcPr>
            <w:tcW w:w="311" w:type="pct"/>
            <w:vAlign w:val="center"/>
          </w:tcPr>
          <w:p>
            <w:pPr>
              <w:pStyle w:val="13"/>
            </w:pPr>
          </w:p>
        </w:tc>
        <w:tc>
          <w:tcPr>
            <w:tcW w:w="311" w:type="pct"/>
            <w:vAlign w:val="center"/>
          </w:tcPr>
          <w:p>
            <w:pPr>
              <w:pStyle w:val="13"/>
            </w:pPr>
          </w:p>
        </w:tc>
        <w:tc>
          <w:tcPr>
            <w:tcW w:w="311"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02"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eastAsia="仿宋_GB2312"/>
          <w:sz w:val="32"/>
          <w:szCs w:val="36"/>
        </w:rPr>
        <w:t>廊坊市广阳区万庄镇李孙洼小学</w:t>
      </w:r>
      <w:r>
        <w:rPr>
          <w:rFonts w:ascii="Times New Roman" w:hAnsi="Times New Roman" w:eastAsia="仿宋_GB2312" w:cs="Times New Roman"/>
          <w:sz w:val="32"/>
          <w:szCs w:val="32"/>
        </w:rPr>
        <w:t>上年末固定资产金额为0万元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sz w:val="32"/>
                <w:szCs w:val="36"/>
              </w:rPr>
              <w:t>廊坊市</w:t>
            </w:r>
            <w:r>
              <w:rPr>
                <w:rFonts w:hint="eastAsia"/>
                <w:sz w:val="32"/>
                <w:szCs w:val="36"/>
              </w:rPr>
              <w:t>广阳区万庄镇李孙洼小学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t>廊坊市</w:t>
            </w:r>
            <w:r>
              <w:rPr>
                <w:rFonts w:hint="eastAsia"/>
              </w:rPr>
              <w:t>广阳区万庄镇李孙洼小学</w:t>
            </w:r>
          </w:p>
        </w:tc>
        <w:tc>
          <w:tcPr>
            <w:tcW w:w="5103" w:type="dxa"/>
            <w:tcBorders>
              <w:top w:val="nil"/>
              <w:left w:val="nil"/>
              <w:bottom w:val="nil"/>
              <w:right w:val="nil"/>
            </w:tcBorders>
            <w:shd w:val="clear" w:color="auto" w:fill="auto"/>
            <w:noWrap/>
            <w:vAlign w:val="center"/>
          </w:tcPr>
          <w:p>
            <w:pPr>
              <w:widowControl/>
              <w:spacing w:line="584" w:lineRule="exact"/>
              <w:ind w:firstLine="1430" w:firstLineChars="6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BA9A48-D62F-4FB0-BCCE-E9E551C40A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3CC77AF2-1DBC-4083-95EF-01144C596EE8}"/>
  </w:font>
  <w:font w:name="仿宋_GB2312">
    <w:panose1 w:val="02010609030101010101"/>
    <w:charset w:val="86"/>
    <w:family w:val="modern"/>
    <w:pitch w:val="default"/>
    <w:sig w:usb0="00000001" w:usb1="080E0000" w:usb2="00000000" w:usb3="00000000" w:csb0="00040000" w:csb1="00000000"/>
    <w:embedRegular r:id="rId3" w:fontKey="{63AC37AA-BABB-43A5-906D-60F53276557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401FD"/>
    <w:rsid w:val="0025632D"/>
    <w:rsid w:val="003059E0"/>
    <w:rsid w:val="00415AC0"/>
    <w:rsid w:val="004A1EFE"/>
    <w:rsid w:val="004A54AA"/>
    <w:rsid w:val="004D2157"/>
    <w:rsid w:val="005E6998"/>
    <w:rsid w:val="00773185"/>
    <w:rsid w:val="00944233"/>
    <w:rsid w:val="00B40732"/>
    <w:rsid w:val="00B80935"/>
    <w:rsid w:val="00D347CC"/>
    <w:rsid w:val="00D8292F"/>
    <w:rsid w:val="00DC72B4"/>
    <w:rsid w:val="00E33707"/>
    <w:rsid w:val="03835ABD"/>
    <w:rsid w:val="064B7681"/>
    <w:rsid w:val="06EB17BD"/>
    <w:rsid w:val="077F0D9F"/>
    <w:rsid w:val="08A22FB0"/>
    <w:rsid w:val="0C814902"/>
    <w:rsid w:val="0CEC1180"/>
    <w:rsid w:val="16047B61"/>
    <w:rsid w:val="16BC1C2B"/>
    <w:rsid w:val="17703CFF"/>
    <w:rsid w:val="1ACC3887"/>
    <w:rsid w:val="1E8C0EA5"/>
    <w:rsid w:val="1FBC739C"/>
    <w:rsid w:val="26A4456C"/>
    <w:rsid w:val="291166BB"/>
    <w:rsid w:val="2B3E79F5"/>
    <w:rsid w:val="2F2F3467"/>
    <w:rsid w:val="354B32C5"/>
    <w:rsid w:val="364E0885"/>
    <w:rsid w:val="40D5422C"/>
    <w:rsid w:val="4256495C"/>
    <w:rsid w:val="42615727"/>
    <w:rsid w:val="50373AF5"/>
    <w:rsid w:val="545038D9"/>
    <w:rsid w:val="549F2A90"/>
    <w:rsid w:val="56463E40"/>
    <w:rsid w:val="5FE64018"/>
    <w:rsid w:val="61AF246D"/>
    <w:rsid w:val="69C7690D"/>
    <w:rsid w:val="6F59146C"/>
    <w:rsid w:val="70BF7D21"/>
    <w:rsid w:val="73693C55"/>
    <w:rsid w:val="7542340B"/>
    <w:rsid w:val="782C0244"/>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885</Words>
  <Characters>5050</Characters>
  <Lines>42</Lines>
  <Paragraphs>11</Paragraphs>
  <TotalTime>0</TotalTime>
  <ScaleCrop>false</ScaleCrop>
  <LinksUpToDate>false</LinksUpToDate>
  <CharactersWithSpaces>5924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2023-08-01T08:52:03Z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515E95054D55464BAF10D249DBB849C0</vt:lpwstr>
  </property>
</Properties>
</file>