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both"/>
        <w:rPr>
          <w:rFonts w:hint="eastAsia" w:ascii="Times New Roman" w:hAnsi="Times New Roman" w:eastAsia="仿宋_GB2312" w:cs="Times New Roman"/>
          <w:sz w:val="44"/>
          <w:szCs w:val="44"/>
          <w:lang w:eastAsia="zh-CN"/>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广阳区万庄镇曹留犊中心小学</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广阳区万庄镇曹留犊中心小学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bookmarkStart w:id="4" w:name="_GoBack"/>
      <w:bookmarkEnd w:id="4"/>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学校为全民事业单位，规格为</w:t>
      </w:r>
      <w:r>
        <w:rPr>
          <w:rFonts w:hint="eastAsia" w:ascii="Times New Roman" w:hAnsi="Times New Roman" w:eastAsia="仿宋_GB2312" w:cs="Times New Roman"/>
          <w:sz w:val="32"/>
          <w:szCs w:val="32"/>
          <w:lang w:eastAsia="zh-CN"/>
        </w:rPr>
        <w:t>副科</w:t>
      </w:r>
      <w:r>
        <w:rPr>
          <w:rFonts w:hint="eastAsia" w:ascii="Times New Roman" w:hAnsi="Times New Roman" w:eastAsia="仿宋_GB2312" w:cs="Times New Roman"/>
          <w:sz w:val="32"/>
          <w:szCs w:val="32"/>
        </w:rPr>
        <w:t>级建制，全额事业单位。学校的主要职责是:全面贯彻国家教育方针，培养学生的创新精神与实践能力，使之成为社会主义事业的建设者和接班人。我校是全日制完全小学，学校为公益一类、全额拨款事业单位。承担义务教育小学阶段的教育教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内设机构各处室职责:</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(一)教导处工作职责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教导处是负责全校教学工作的重要办事机构,在学校起着参谋和总调度的作用。负责计划、组织、检查总结全校教学工作、教研工作，以及处理日常教务行政等事宜,协助校长完成领导管理教学任务，具体职责是: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学期(或学年)开始前工作: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1.根据学校的工作计划制订具体的教学工作计划以及必要的规章制度。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2.协助校长做好教学力量的安排及聘任工作。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3做好义务教育工作。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4.根据教学计划,征订师生用书及所需的教学参考资料,做好课本、教学资料的分发工作。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5编印或准备好校历表、课程表、作息时间表,活动安排总表以及各种教学用表册(点名册、成绩册)。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日常工作: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1.督促和检查教师认真贯彻执行各种计划。</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2管理好教导处的工作档案及时提供有关教学基本情况和数据掌握动向,提出建议,贯彻领导意图。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3组织好教师认真学习贯彻执行,科学地组织,认真抓好教学常规的五个基本环节(备课、上课、作业、复习、考试)的实施协调,检查评估和总结反馈。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4根据学籍管理规定，认真做好学生学籍管理工作,建立学籍变动档案,毕业生档案,升学及毕业去向的跟踪档案。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5.做好教师的考勤工作,及时安排好调课、代课。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指导图书馆、阅览室、实验室的工作为教学服务做好图书阅览室、资料室的书籍征订、选购工作。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.有计划地组织全校教师学习教育教学理论,积极进行教育教学改革实验,并组织经验交流和总结努力提高各学科的教育教学质量。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.领导教研组工作,经常深入各教研组了解教学情况促进教研活动和教学改革活动的深入开展。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组织管理学科竞赛并把有关资料建档。</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.组织和管理教师的论文汇编、论文的收集和归档。</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.组织和管理市、具、校各级研究课题。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按校务公开要求及时公开内容。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.承担教育教学科研课题。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.做好听课、开课的登记工作。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.负责全体教职工的继续教育的编册、验印等工作。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学期末(或学年末)工作: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1.检查各年级学科教学进度,教学计划完成情况。</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2.安排好期末复习考试工作(考试科目、时间安排、监考、评卷、登分)组织好期末考试工作,严肃考试纪律。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抓好期末成绩、学年成绩的评定工作,以及各学科期末考试成绩的质量分析和统计，各班级成绩的汇总、统计和分析。</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.布置和收集教师教学工作总结,做好全校教学工作总结。</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.组织布置班级做好学生成绩报告工作。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.确定和布置学生的寒暑假作业。</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(二)总务处工作职责</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认真贯彻执行党的各项方针积极地保证教育事业计划的顺利实现,为不断提高教育质量服务,努力搞好财务管理、财产管理、生活管理、安全管理等四个方面的工作。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1.财务管理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(1)合理安排,正确执行预算(预算外资金收支计划),确保完成教育事业计划,积极地为教学服务,为师生生活服务,促进教育质量的提高。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(2)严格执行会计制度,搞好会计核算。</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(3)负责保护国家财产的安全和合理使用。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(4)逐步熟悉教学情况,提高资金使用效率。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(5)制定财务管理制度。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(6)根据党和国家的方针、政策及各项制度,正确地进行财务监督,维护财经纪律。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2.财产管理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(1)保证教育教学的需要,讲求财产对教育、教学、生活的适用,延长使用期限、提高使用效益。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(2)有计划地充实与更新教学设备。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(3)培养爱护公物的道德与良好使用习惯。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(4)抵制各种侵犯学校公共财产的行为减少和避免公物的损失,维护财产的安全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3.生活管理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(1)增强师生员工的健康。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(2)解除教工后顾之忧。</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(3)协助学校党组织认真做好落实党的知识分子政策的工作。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.安全管理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(1)预防火灾、控制火源,管好消防器材,确保安全。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(2)提高警惕,加强防盗措施。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(3)防止体育锻炼伤害事故。</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(4)搞好劳动保护和安全生产。</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(5)校舍安全管理。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(6)注意饮食卫生。</w:t>
      </w:r>
    </w:p>
    <w:p>
      <w:pPr>
        <w:autoSpaceDE w:val="0"/>
        <w:autoSpaceDN w:val="0"/>
        <w:adjustRightInd w:val="0"/>
        <w:spacing w:line="584"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67"/>
        <w:gridCol w:w="1314"/>
        <w:gridCol w:w="1103"/>
        <w:gridCol w:w="31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16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31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10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17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167" w:type="dxa"/>
            <w:vMerge w:val="continue"/>
            <w:shd w:val="clear" w:color="auto" w:fill="auto"/>
            <w:vAlign w:val="center"/>
          </w:tcPr>
          <w:p/>
        </w:tc>
        <w:tc>
          <w:tcPr>
            <w:tcW w:w="1314" w:type="dxa"/>
            <w:vMerge w:val="continue"/>
            <w:shd w:val="clear" w:color="auto" w:fill="auto"/>
            <w:vAlign w:val="center"/>
          </w:tcPr>
          <w:p/>
        </w:tc>
        <w:tc>
          <w:tcPr>
            <w:tcW w:w="1103" w:type="dxa"/>
            <w:vMerge w:val="continue"/>
            <w:shd w:val="clear" w:color="auto" w:fill="auto"/>
            <w:vAlign w:val="center"/>
          </w:tcPr>
          <w:p/>
        </w:tc>
        <w:tc>
          <w:tcPr>
            <w:tcW w:w="3171"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167"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廊坊市广阳区万庄镇曹留犊中心小学</w:t>
            </w:r>
          </w:p>
        </w:tc>
        <w:tc>
          <w:tcPr>
            <w:tcW w:w="1314"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事业单位</w:t>
            </w:r>
          </w:p>
        </w:tc>
        <w:tc>
          <w:tcPr>
            <w:tcW w:w="110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副科级</w:t>
            </w:r>
          </w:p>
        </w:tc>
        <w:tc>
          <w:tcPr>
            <w:tcW w:w="3171"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167" w:type="dxa"/>
            <w:shd w:val="clear" w:color="auto" w:fill="auto"/>
            <w:vAlign w:val="center"/>
          </w:tcPr>
          <w:p>
            <w:pPr>
              <w:spacing w:line="584" w:lineRule="exact"/>
              <w:jc w:val="left"/>
              <w:rPr>
                <w:rFonts w:ascii="Times New Roman" w:hAnsi="Times New Roman" w:eastAsia="仿宋_GB2312" w:cs="Times New Roman"/>
              </w:rPr>
            </w:pPr>
          </w:p>
        </w:tc>
        <w:tc>
          <w:tcPr>
            <w:tcW w:w="1314" w:type="dxa"/>
            <w:shd w:val="clear" w:color="auto" w:fill="auto"/>
            <w:vAlign w:val="center"/>
          </w:tcPr>
          <w:p>
            <w:pPr>
              <w:spacing w:line="584" w:lineRule="exact"/>
              <w:jc w:val="center"/>
              <w:rPr>
                <w:rFonts w:ascii="Times New Roman" w:hAnsi="Times New Roman" w:eastAsia="仿宋_GB2312" w:cs="Times New Roman"/>
              </w:rPr>
            </w:pPr>
          </w:p>
        </w:tc>
        <w:tc>
          <w:tcPr>
            <w:tcW w:w="1103" w:type="dxa"/>
            <w:shd w:val="clear" w:color="auto" w:fill="auto"/>
            <w:vAlign w:val="center"/>
          </w:tcPr>
          <w:p>
            <w:pPr>
              <w:spacing w:line="584" w:lineRule="exact"/>
              <w:jc w:val="center"/>
              <w:rPr>
                <w:rFonts w:ascii="Times New Roman" w:hAnsi="Times New Roman" w:eastAsia="仿宋_GB2312" w:cs="Times New Roman"/>
              </w:rPr>
            </w:pPr>
          </w:p>
        </w:tc>
        <w:tc>
          <w:tcPr>
            <w:tcW w:w="3171"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167" w:type="dxa"/>
            <w:shd w:val="clear" w:color="auto" w:fill="auto"/>
            <w:vAlign w:val="center"/>
          </w:tcPr>
          <w:p>
            <w:pPr>
              <w:spacing w:line="584" w:lineRule="exact"/>
              <w:jc w:val="left"/>
              <w:rPr>
                <w:rFonts w:ascii="Times New Roman" w:hAnsi="Times New Roman" w:eastAsia="仿宋_GB2312" w:cs="Times New Roman"/>
              </w:rPr>
            </w:pPr>
          </w:p>
        </w:tc>
        <w:tc>
          <w:tcPr>
            <w:tcW w:w="1314" w:type="dxa"/>
            <w:shd w:val="clear" w:color="auto" w:fill="auto"/>
            <w:vAlign w:val="center"/>
          </w:tcPr>
          <w:p>
            <w:pPr>
              <w:spacing w:line="584" w:lineRule="exact"/>
              <w:jc w:val="center"/>
              <w:rPr>
                <w:rFonts w:ascii="Times New Roman" w:hAnsi="Times New Roman" w:eastAsia="仿宋_GB2312" w:cs="Times New Roman"/>
              </w:rPr>
            </w:pPr>
          </w:p>
        </w:tc>
        <w:tc>
          <w:tcPr>
            <w:tcW w:w="1103" w:type="dxa"/>
            <w:shd w:val="clear" w:color="auto" w:fill="auto"/>
            <w:vAlign w:val="center"/>
          </w:tcPr>
          <w:p>
            <w:pPr>
              <w:spacing w:line="584" w:lineRule="exact"/>
              <w:jc w:val="center"/>
              <w:rPr>
                <w:rFonts w:ascii="Times New Roman" w:hAnsi="Times New Roman" w:eastAsia="仿宋_GB2312" w:cs="Times New Roman"/>
              </w:rPr>
            </w:pPr>
          </w:p>
        </w:tc>
        <w:tc>
          <w:tcPr>
            <w:tcW w:w="3171"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广阳区万庄镇曹留犊中心小学及所属廊坊市广阳区万庄镇石庄户幼儿园</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13.39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13.39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广阳区万庄镇曹留犊中心小学</w:t>
      </w: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13.39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13.39</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13.39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17.74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17.74</w:t>
      </w:r>
      <w:r>
        <w:rPr>
          <w:rFonts w:ascii="Times New Roman" w:hAnsi="Times New Roman" w:eastAsia="仿宋_GB2312" w:cs="Times New Roman"/>
          <w:sz w:val="32"/>
          <w:szCs w:val="32"/>
        </w:rPr>
        <w:t>万元，主要</w:t>
      </w:r>
      <w:r>
        <w:rPr>
          <w:rFonts w:hint="eastAsia" w:ascii="Times New Roman" w:hAnsi="Times New Roman" w:eastAsia="仿宋_GB2312" w:cs="Times New Roman"/>
          <w:sz w:val="32"/>
          <w:szCs w:val="32"/>
          <w:lang w:eastAsia="zh-CN"/>
        </w:rPr>
        <w:t>因为拆迁曹留犊中心小学学生并入到大伍龙小学以至无有生均经费，</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eastAsia="zh-CN"/>
        </w:rPr>
        <w:t>校</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无增减变化</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发展农村义务教育  </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免除农村中小学生学杂费，提高公用经费保障水平，为贫困中小学生免费提供教科书，</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改善农村中小学办学条件。</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保障中小学公用经费水平逐年提高。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保障小学入学率。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、改善学校办学条件</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保障义务教育阶段学校基本教学条件，改善学校生活设施，保障后勤社会化服务，解决学校大班额问题。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开展学生社会实践活动，建立学生实践教育基地，推进学校教育信息化。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使义务教育学校教学设施和生活设施满足基本教学需要，保障后勤社会化服务资金充足，使学校能够正常运转，超大班额现象消除，教师数量、素质、结构基本适应教学需要。</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三、提升特殊教育保障水平</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保证教学设备设施配备齐全，保障学生校园安全，支持贫困学生和爱心家园学生完成学业。</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改善办学条件，配置基础教育资源</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、开展教师教研及学生德育活动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开展各类课题研究、校本研究，加强教师培训和教学交流，加强德育培训与研究，举办各类教育教学活动。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楷体_GB2312" w:eastAsia="楷体_GB2312" w:cs="Times New Roman"/>
          <w:b/>
          <w:sz w:val="32"/>
          <w:szCs w:val="32"/>
        </w:rPr>
      </w:pPr>
      <w:r>
        <w:rPr>
          <w:rFonts w:hint="eastAsia" w:ascii="仿宋" w:hAnsi="仿宋" w:eastAsia="仿宋" w:cs="仿宋"/>
          <w:sz w:val="32"/>
          <w:szCs w:val="32"/>
        </w:rPr>
        <w:t>提高教师教学水平，调动教师积极性，培养专家型教师人才，提高学生的综合素质。</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1、提高义务教育水平，免除农村中小学生学杂费，提供免费教科书，解决大班额问题及入学难问题。对贫困中小学生进行补助。</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2、按质按量完成教育教学方面的各项任务，稳步提升学校的教育教学质量，学生综合素质评价优秀率达到85%,合格率达到100%。</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4、提升学校基础设施设备的整体水平。加强学校基础设施设备的维护,确保校园安全,落实校园防火及其他安全隐患的预防工作。确保校园各设施设备的正常运行。</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6、学校的文化宣传整体布局,建成学校校史馆,完成各班级、各科室及教师办公室的文化宣传布置。加大学校办学理念、目标的宣传,形成具有特色的校园文化氛围。</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7、办人民满意的学校,教师、学生、家长整体满意度达到90%以上。</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1、成立学校监督小组，监督学校工作，强化工作落实。</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、加强政治理论学习，强化党风廉政建设。做好师德传承活动，落实老中青传帮带。弘扬办学精神。加强师德宣传与学习活动。开展形式多样、扎实有效的师德教育活动。</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逐步制订、完善相关制度，规范教师师德。加强校本培训和继续教育工作，提升教师能力。落实教师评价工作，完善考核机制。搭建教师发展平台。</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spacing w:line="584" w:lineRule="exact"/>
        <w:ind w:left="0" w:leftChars="0" w:firstLine="0" w:firstLineChars="0"/>
        <w:textAlignment w:val="auto"/>
        <w:rPr>
          <w:rFonts w:hint="eastAsia" w:ascii="仿宋" w:hAnsi="仿宋" w:eastAsia="仿宋" w:cs="仿宋"/>
          <w:sz w:val="32"/>
          <w:szCs w:val="32"/>
        </w:rPr>
      </w:pPr>
    </w:p>
    <w:p>
      <w:pPr>
        <w:numPr>
          <w:ilvl w:val="0"/>
          <w:numId w:val="1"/>
        </w:numPr>
        <w:overflowPunct w:val="0"/>
        <w:adjustRightInd w:val="0"/>
        <w:snapToGrid w:val="0"/>
        <w:spacing w:after="156" w:afterLines="50" w:line="580" w:lineRule="exact"/>
        <w:ind w:left="210" w:leftChars="0" w:firstLine="630" w:firstLineChars="0"/>
        <w:jc w:val="left"/>
        <w:rPr>
          <w:rFonts w:hint="eastAsia" w:ascii="楷体_GB2312" w:eastAsia="楷体_GB2312" w:cs="Times New Roman"/>
          <w:b/>
          <w:sz w:val="11"/>
          <w:szCs w:val="11"/>
          <w:lang w:val="en-US" w:eastAsia="zh-CN"/>
        </w:rPr>
      </w:pP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7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411"/>
        <w:gridCol w:w="2144"/>
        <w:gridCol w:w="2297"/>
        <w:gridCol w:w="2299"/>
        <w:gridCol w:w="923"/>
        <w:gridCol w:w="791"/>
        <w:gridCol w:w="111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33"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一级指标</w:t>
            </w:r>
          </w:p>
        </w:tc>
        <w:tc>
          <w:tcPr>
            <w:tcW w:w="535"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二级指标</w:t>
            </w:r>
          </w:p>
        </w:tc>
        <w:tc>
          <w:tcPr>
            <w:tcW w:w="813"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三级指标</w:t>
            </w:r>
          </w:p>
        </w:tc>
        <w:tc>
          <w:tcPr>
            <w:tcW w:w="871"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绩效指标描述</w:t>
            </w:r>
          </w:p>
        </w:tc>
        <w:tc>
          <w:tcPr>
            <w:tcW w:w="872"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评（扣）分标准</w:t>
            </w:r>
          </w:p>
        </w:tc>
        <w:tc>
          <w:tcPr>
            <w:tcW w:w="1074" w:type="pct"/>
            <w:gridSpan w:val="3"/>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指标值</w:t>
            </w:r>
          </w:p>
        </w:tc>
        <w:tc>
          <w:tcPr>
            <w:tcW w:w="498"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3" w:type="pct"/>
            <w:vMerge w:val="continue"/>
            <w:noWrap w:val="0"/>
            <w:vAlign w:val="center"/>
          </w:tcPr>
          <w:p>
            <w:pPr>
              <w:widowControl/>
              <w:jc w:val="left"/>
              <w:rPr>
                <w:rFonts w:ascii="宋体" w:hAnsi="宋体" w:cs="宋体"/>
                <w:color w:val="000000"/>
                <w:kern w:val="0"/>
                <w:sz w:val="21"/>
                <w:szCs w:val="21"/>
              </w:rPr>
            </w:pPr>
          </w:p>
        </w:tc>
        <w:tc>
          <w:tcPr>
            <w:tcW w:w="535" w:type="pct"/>
            <w:vMerge w:val="continue"/>
            <w:noWrap w:val="0"/>
            <w:vAlign w:val="center"/>
          </w:tcPr>
          <w:p>
            <w:pPr>
              <w:widowControl/>
              <w:jc w:val="left"/>
              <w:rPr>
                <w:rFonts w:ascii="宋体" w:hAnsi="宋体" w:cs="宋体"/>
                <w:color w:val="000000"/>
                <w:kern w:val="0"/>
                <w:sz w:val="21"/>
                <w:szCs w:val="21"/>
              </w:rPr>
            </w:pPr>
          </w:p>
        </w:tc>
        <w:tc>
          <w:tcPr>
            <w:tcW w:w="813" w:type="pct"/>
            <w:vMerge w:val="continue"/>
            <w:noWrap w:val="0"/>
            <w:vAlign w:val="center"/>
          </w:tcPr>
          <w:p>
            <w:pPr>
              <w:widowControl/>
              <w:jc w:val="left"/>
              <w:rPr>
                <w:rFonts w:ascii="宋体" w:hAnsi="宋体" w:cs="宋体"/>
                <w:color w:val="000000"/>
                <w:kern w:val="0"/>
                <w:sz w:val="21"/>
                <w:szCs w:val="21"/>
              </w:rPr>
            </w:pPr>
          </w:p>
        </w:tc>
        <w:tc>
          <w:tcPr>
            <w:tcW w:w="871" w:type="pct"/>
            <w:vMerge w:val="continue"/>
            <w:noWrap w:val="0"/>
            <w:vAlign w:val="center"/>
          </w:tcPr>
          <w:p>
            <w:pPr>
              <w:widowControl/>
              <w:jc w:val="left"/>
              <w:rPr>
                <w:rFonts w:ascii="宋体" w:hAnsi="宋体" w:cs="宋体"/>
                <w:color w:val="000000"/>
                <w:kern w:val="0"/>
                <w:sz w:val="21"/>
                <w:szCs w:val="21"/>
              </w:rPr>
            </w:pPr>
          </w:p>
        </w:tc>
        <w:tc>
          <w:tcPr>
            <w:tcW w:w="872" w:type="pct"/>
            <w:vMerge w:val="continue"/>
            <w:noWrap w:val="0"/>
            <w:vAlign w:val="center"/>
          </w:tcPr>
          <w:p>
            <w:pPr>
              <w:widowControl/>
              <w:jc w:val="left"/>
              <w:rPr>
                <w:rFonts w:ascii="宋体" w:hAnsi="宋体" w:cs="宋体"/>
                <w:color w:val="000000"/>
                <w:kern w:val="0"/>
                <w:sz w:val="21"/>
                <w:szCs w:val="21"/>
              </w:rPr>
            </w:pPr>
          </w:p>
        </w:tc>
        <w:tc>
          <w:tcPr>
            <w:tcW w:w="350" w:type="pc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符号</w:t>
            </w:r>
          </w:p>
        </w:tc>
        <w:tc>
          <w:tcPr>
            <w:tcW w:w="300" w:type="pc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值</w:t>
            </w:r>
          </w:p>
        </w:tc>
        <w:tc>
          <w:tcPr>
            <w:tcW w:w="423" w:type="pc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单位（文字描述）</w:t>
            </w:r>
          </w:p>
        </w:tc>
        <w:tc>
          <w:tcPr>
            <w:tcW w:w="498" w:type="pct"/>
            <w:vMerge w:val="continue"/>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restart"/>
            <w:noWrap w:val="0"/>
            <w:vAlign w:val="top"/>
          </w:tcPr>
          <w:p>
            <w:pPr>
              <w:widowControl/>
              <w:jc w:val="left"/>
              <w:rPr>
                <w:rFonts w:cs="Calibri"/>
                <w:color w:val="000000"/>
                <w:kern w:val="0"/>
                <w:sz w:val="21"/>
                <w:szCs w:val="21"/>
              </w:rPr>
            </w:pPr>
            <w:r>
              <w:rPr>
                <w:rFonts w:cs="Calibri"/>
                <w:color w:val="000000"/>
                <w:kern w:val="0"/>
                <w:sz w:val="21"/>
                <w:szCs w:val="21"/>
              </w:rPr>
              <w:t>产出指标</w:t>
            </w: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数量指标</w:t>
            </w:r>
          </w:p>
        </w:tc>
        <w:tc>
          <w:tcPr>
            <w:tcW w:w="813" w:type="pct"/>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小学生毕业生合格率</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小学生毕业生合格率</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20</w:t>
            </w:r>
            <w:r>
              <w:rPr>
                <w:rStyle w:val="22"/>
                <w:rFonts w:hint="eastAsia" w:ascii="仿宋_GB2312" w:hAnsi="仿宋_GB2312" w:eastAsia="仿宋_GB2312" w:cs="仿宋_GB2312"/>
                <w:sz w:val="21"/>
                <w:szCs w:val="21"/>
                <w:lang w:val="en-US" w:eastAsia="zh-CN" w:bidi="ar"/>
              </w:rPr>
              <w:t>分毕业生合格率</w:t>
            </w:r>
            <w:r>
              <w:rPr>
                <w:rStyle w:val="23"/>
                <w:rFonts w:hint="eastAsia" w:ascii="仿宋_GB2312" w:hAnsi="仿宋_GB2312" w:eastAsia="仿宋_GB2312" w:cs="仿宋_GB2312"/>
                <w:sz w:val="21"/>
                <w:szCs w:val="21"/>
                <w:lang w:val="en-US" w:eastAsia="zh-CN" w:bidi="ar"/>
              </w:rPr>
              <w:t>100%</w:t>
            </w:r>
            <w:r>
              <w:rPr>
                <w:rStyle w:val="22"/>
                <w:rFonts w:hint="eastAsia" w:ascii="仿宋_GB2312" w:hAnsi="仿宋_GB2312" w:eastAsia="仿宋_GB2312" w:cs="仿宋_GB2312"/>
                <w:sz w:val="21"/>
                <w:szCs w:val="21"/>
                <w:lang w:val="en-US" w:eastAsia="zh-CN" w:bidi="ar"/>
              </w:rPr>
              <w:t>得满分，否则不得分</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continue"/>
            <w:noWrap w:val="0"/>
            <w:vAlign w:val="center"/>
          </w:tcPr>
          <w:p>
            <w:pPr>
              <w:widowControl/>
              <w:jc w:val="left"/>
              <w:rPr>
                <w:rFonts w:cs="Calibri"/>
                <w:color w:val="000000"/>
                <w:kern w:val="0"/>
                <w:sz w:val="21"/>
                <w:szCs w:val="21"/>
              </w:rPr>
            </w:pP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数量指标</w:t>
            </w:r>
          </w:p>
        </w:tc>
        <w:tc>
          <w:tcPr>
            <w:tcW w:w="813" w:type="pct"/>
            <w:noWrap w:val="0"/>
            <w:vAlign w:val="center"/>
          </w:tcPr>
          <w:p>
            <w:pPr>
              <w:keepNext w:val="0"/>
              <w:keepLines w:val="0"/>
              <w:widowControl/>
              <w:suppressLineNumbers w:val="0"/>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重点工作实际完成率</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重点工作实际完成率</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r>
              <w:rPr>
                <w:rStyle w:val="22"/>
                <w:rFonts w:hint="eastAsia" w:ascii="仿宋_GB2312" w:hAnsi="仿宋_GB2312" w:eastAsia="仿宋_GB2312" w:cs="仿宋_GB2312"/>
                <w:sz w:val="21"/>
                <w:szCs w:val="21"/>
                <w:lang w:val="en-US" w:eastAsia="zh-CN" w:bidi="ar"/>
              </w:rPr>
              <w:t>分不低于</w:t>
            </w:r>
            <w:r>
              <w:rPr>
                <w:rStyle w:val="23"/>
                <w:rFonts w:hint="eastAsia" w:ascii="仿宋_GB2312" w:hAnsi="仿宋_GB2312" w:eastAsia="仿宋_GB2312" w:cs="仿宋_GB2312"/>
                <w:sz w:val="21"/>
                <w:szCs w:val="21"/>
                <w:lang w:val="en-US" w:eastAsia="zh-CN" w:bidi="ar"/>
              </w:rPr>
              <w:t>95%</w:t>
            </w:r>
            <w:r>
              <w:rPr>
                <w:rStyle w:val="22"/>
                <w:rFonts w:hint="eastAsia" w:ascii="仿宋_GB2312" w:hAnsi="仿宋_GB2312" w:eastAsia="仿宋_GB2312" w:cs="仿宋_GB2312"/>
                <w:sz w:val="21"/>
                <w:szCs w:val="21"/>
                <w:lang w:val="en-US" w:eastAsia="zh-CN" w:bidi="ar"/>
              </w:rPr>
              <w:t>得满分，否则不得分</w:t>
            </w:r>
            <w:r>
              <w:rPr>
                <w:rStyle w:val="23"/>
                <w:rFonts w:hint="eastAsia" w:ascii="仿宋_GB2312" w:hAnsi="仿宋_GB2312" w:eastAsia="仿宋_GB2312" w:cs="仿宋_GB2312"/>
                <w:sz w:val="21"/>
                <w:szCs w:val="21"/>
                <w:lang w:val="en-US" w:eastAsia="zh-CN" w:bidi="ar"/>
              </w:rPr>
              <w:t>5</w:t>
            </w:r>
            <w:r>
              <w:rPr>
                <w:rStyle w:val="22"/>
                <w:rFonts w:hint="eastAsia" w:ascii="仿宋_GB2312" w:hAnsi="仿宋_GB2312" w:eastAsia="仿宋_GB2312" w:cs="仿宋_GB2312"/>
                <w:sz w:val="21"/>
                <w:szCs w:val="21"/>
                <w:lang w:val="en-US" w:eastAsia="zh-CN" w:bidi="ar"/>
              </w:rPr>
              <w:t>每减少</w:t>
            </w:r>
            <w:r>
              <w:rPr>
                <w:rStyle w:val="23"/>
                <w:rFonts w:hint="eastAsia" w:ascii="仿宋_GB2312" w:hAnsi="仿宋_GB2312" w:eastAsia="仿宋_GB2312" w:cs="仿宋_GB2312"/>
                <w:sz w:val="21"/>
                <w:szCs w:val="21"/>
                <w:lang w:val="en-US" w:eastAsia="zh-CN" w:bidi="ar"/>
              </w:rPr>
              <w:t>1%</w:t>
            </w:r>
            <w:r>
              <w:rPr>
                <w:rStyle w:val="22"/>
                <w:rFonts w:hint="eastAsia" w:ascii="仿宋_GB2312" w:hAnsi="仿宋_GB2312" w:eastAsia="仿宋_GB2312" w:cs="仿宋_GB2312"/>
                <w:sz w:val="21"/>
                <w:szCs w:val="21"/>
                <w:lang w:val="en-US" w:eastAsia="zh-CN" w:bidi="ar"/>
              </w:rPr>
              <w:t>扣</w:t>
            </w:r>
            <w:r>
              <w:rPr>
                <w:rStyle w:val="23"/>
                <w:rFonts w:hint="eastAsia" w:ascii="仿宋_GB2312" w:hAnsi="仿宋_GB2312" w:eastAsia="仿宋_GB2312" w:cs="仿宋_GB2312"/>
                <w:sz w:val="21"/>
                <w:szCs w:val="21"/>
                <w:lang w:val="en-US" w:eastAsia="zh-CN" w:bidi="ar"/>
              </w:rPr>
              <w:t>1</w:t>
            </w:r>
            <w:r>
              <w:rPr>
                <w:rStyle w:val="22"/>
                <w:rFonts w:hint="eastAsia" w:ascii="仿宋_GB2312" w:hAnsi="仿宋_GB2312" w:eastAsia="仿宋_GB2312" w:cs="仿宋_GB2312"/>
                <w:sz w:val="21"/>
                <w:szCs w:val="21"/>
                <w:lang w:val="en-US" w:eastAsia="zh-CN" w:bidi="ar"/>
              </w:rPr>
              <w:t>分，扣完为止</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continue"/>
            <w:noWrap w:val="0"/>
            <w:vAlign w:val="center"/>
          </w:tcPr>
          <w:p>
            <w:pPr>
              <w:widowControl/>
              <w:jc w:val="left"/>
              <w:rPr>
                <w:rFonts w:cs="Calibri"/>
                <w:color w:val="000000"/>
                <w:kern w:val="0"/>
                <w:sz w:val="21"/>
                <w:szCs w:val="21"/>
              </w:rPr>
            </w:pP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质量指标</w:t>
            </w:r>
          </w:p>
        </w:tc>
        <w:tc>
          <w:tcPr>
            <w:tcW w:w="813" w:type="pct"/>
            <w:noWrap w:val="0"/>
            <w:vAlign w:val="center"/>
          </w:tcPr>
          <w:p>
            <w:pPr>
              <w:keepNext w:val="0"/>
              <w:keepLines w:val="0"/>
              <w:widowControl/>
              <w:suppressLineNumbers w:val="0"/>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采购物资、建设工程合格率</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采购物资、建设工程合格率</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20</w:t>
            </w:r>
            <w:r>
              <w:rPr>
                <w:rStyle w:val="22"/>
                <w:rFonts w:hint="eastAsia" w:ascii="仿宋_GB2312" w:hAnsi="仿宋_GB2312" w:eastAsia="仿宋_GB2312" w:cs="仿宋_GB2312"/>
                <w:sz w:val="21"/>
                <w:szCs w:val="21"/>
                <w:lang w:val="en-US" w:eastAsia="zh-CN" w:bidi="ar"/>
              </w:rPr>
              <w:t>分合格率</w:t>
            </w:r>
            <w:r>
              <w:rPr>
                <w:rStyle w:val="23"/>
                <w:rFonts w:hint="eastAsia" w:ascii="仿宋_GB2312" w:hAnsi="仿宋_GB2312" w:eastAsia="仿宋_GB2312" w:cs="仿宋_GB2312"/>
                <w:sz w:val="21"/>
                <w:szCs w:val="21"/>
                <w:lang w:val="en-US" w:eastAsia="zh-CN" w:bidi="ar"/>
              </w:rPr>
              <w:t>100%</w:t>
            </w:r>
            <w:r>
              <w:rPr>
                <w:rStyle w:val="22"/>
                <w:rFonts w:hint="eastAsia" w:ascii="仿宋_GB2312" w:hAnsi="仿宋_GB2312" w:eastAsia="仿宋_GB2312" w:cs="仿宋_GB2312"/>
                <w:sz w:val="21"/>
                <w:szCs w:val="21"/>
                <w:lang w:val="en-US" w:eastAsia="zh-CN" w:bidi="ar"/>
              </w:rPr>
              <w:t>得满分，否则不得分</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continue"/>
            <w:noWrap w:val="0"/>
            <w:vAlign w:val="center"/>
          </w:tcPr>
          <w:p>
            <w:pPr>
              <w:widowControl/>
              <w:jc w:val="left"/>
              <w:rPr>
                <w:rFonts w:cs="Calibri"/>
                <w:color w:val="000000"/>
                <w:kern w:val="0"/>
                <w:sz w:val="21"/>
                <w:szCs w:val="21"/>
              </w:rPr>
            </w:pP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时效指标</w:t>
            </w:r>
          </w:p>
        </w:tc>
        <w:tc>
          <w:tcPr>
            <w:tcW w:w="813" w:type="pct"/>
            <w:noWrap w:val="0"/>
            <w:vAlign w:val="center"/>
          </w:tcPr>
          <w:p>
            <w:pPr>
              <w:keepNext w:val="0"/>
              <w:keepLines w:val="0"/>
              <w:widowControl/>
              <w:suppressLineNumbers w:val="0"/>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学校的各项工作任务及时完成情况</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学校的各项工作任务及时完成情况</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r>
              <w:rPr>
                <w:rStyle w:val="22"/>
                <w:rFonts w:hint="eastAsia" w:ascii="仿宋_GB2312" w:hAnsi="仿宋_GB2312" w:eastAsia="仿宋_GB2312" w:cs="仿宋_GB2312"/>
                <w:sz w:val="21"/>
                <w:szCs w:val="21"/>
                <w:lang w:val="en-US" w:eastAsia="zh-CN" w:bidi="ar"/>
              </w:rPr>
              <w:t>分及时完成得满分，否则不得分</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文字描述</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continue"/>
            <w:noWrap w:val="0"/>
            <w:vAlign w:val="center"/>
          </w:tcPr>
          <w:p>
            <w:pPr>
              <w:widowControl/>
              <w:jc w:val="left"/>
              <w:rPr>
                <w:rFonts w:cs="Calibri"/>
                <w:color w:val="000000"/>
                <w:kern w:val="0"/>
                <w:sz w:val="21"/>
                <w:szCs w:val="21"/>
              </w:rPr>
            </w:pP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成本指标</w:t>
            </w:r>
          </w:p>
        </w:tc>
        <w:tc>
          <w:tcPr>
            <w:tcW w:w="813" w:type="pct"/>
            <w:noWrap w:val="0"/>
            <w:vAlign w:val="center"/>
          </w:tcPr>
          <w:p>
            <w:pPr>
              <w:keepNext w:val="0"/>
              <w:keepLines w:val="0"/>
              <w:widowControl/>
              <w:suppressLineNumbers w:val="0"/>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教育经费使用控制率</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支出的公用经费总额与预算安排的比率</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r>
              <w:rPr>
                <w:rStyle w:val="22"/>
                <w:rFonts w:hint="eastAsia" w:ascii="仿宋_GB2312" w:hAnsi="仿宋_GB2312" w:eastAsia="仿宋_GB2312" w:cs="仿宋_GB2312"/>
                <w:sz w:val="21"/>
                <w:szCs w:val="21"/>
                <w:lang w:val="en-US" w:eastAsia="zh-CN" w:bidi="ar"/>
              </w:rPr>
              <w:t>分教育经费决算数不大于调整预算数得满分，否则不得分</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文字描述</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教育经费决算数不大于调整预算数</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33" w:type="pct"/>
            <w:noWrap w:val="0"/>
            <w:vAlign w:val="top"/>
          </w:tcPr>
          <w:p>
            <w:pPr>
              <w:widowControl/>
              <w:jc w:val="left"/>
              <w:rPr>
                <w:rFonts w:cs="Calibri"/>
                <w:color w:val="000000"/>
                <w:kern w:val="0"/>
                <w:sz w:val="21"/>
                <w:szCs w:val="21"/>
              </w:rPr>
            </w:pPr>
            <w:r>
              <w:rPr>
                <w:rFonts w:cs="Calibri"/>
                <w:color w:val="000000"/>
                <w:kern w:val="0"/>
                <w:sz w:val="21"/>
                <w:szCs w:val="21"/>
              </w:rPr>
              <w:t>效益指标</w:t>
            </w: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社会效益指标</w:t>
            </w:r>
          </w:p>
        </w:tc>
        <w:tc>
          <w:tcPr>
            <w:tcW w:w="813" w:type="pct"/>
            <w:noWrap w:val="0"/>
            <w:vAlign w:val="to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义务教育高质量发展</w:t>
            </w:r>
          </w:p>
        </w:tc>
        <w:tc>
          <w:tcPr>
            <w:tcW w:w="871"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推动义务教育从数量扩张向质量提高转变</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r>
              <w:rPr>
                <w:rStyle w:val="22"/>
                <w:rFonts w:hint="eastAsia" w:ascii="仿宋_GB2312" w:hAnsi="仿宋_GB2312" w:eastAsia="仿宋_GB2312" w:cs="仿宋_GB2312"/>
                <w:sz w:val="21"/>
                <w:szCs w:val="21"/>
                <w:lang w:val="en-US" w:eastAsia="zh-CN" w:bidi="ar"/>
              </w:rPr>
              <w:t>分学生、家长、社会对学校整体满意度达到</w:t>
            </w:r>
            <w:r>
              <w:rPr>
                <w:rStyle w:val="23"/>
                <w:rFonts w:hint="eastAsia" w:ascii="仿宋_GB2312" w:hAnsi="仿宋_GB2312" w:eastAsia="仿宋_GB2312" w:cs="仿宋_GB2312"/>
                <w:sz w:val="21"/>
                <w:szCs w:val="21"/>
                <w:lang w:val="en-US" w:eastAsia="zh-CN" w:bidi="ar"/>
              </w:rPr>
              <w:t>95%</w:t>
            </w:r>
            <w:r>
              <w:rPr>
                <w:rStyle w:val="22"/>
                <w:rFonts w:hint="eastAsia" w:ascii="仿宋_GB2312" w:hAnsi="仿宋_GB2312" w:eastAsia="仿宋_GB2312" w:cs="仿宋_GB2312"/>
                <w:sz w:val="21"/>
                <w:szCs w:val="21"/>
                <w:lang w:val="en-US" w:eastAsia="zh-CN" w:bidi="ar"/>
              </w:rPr>
              <w:t>得满分，每降低</w:t>
            </w:r>
            <w:r>
              <w:rPr>
                <w:rStyle w:val="23"/>
                <w:rFonts w:hint="eastAsia" w:ascii="仿宋_GB2312" w:hAnsi="仿宋_GB2312" w:eastAsia="仿宋_GB2312" w:cs="仿宋_GB2312"/>
                <w:sz w:val="21"/>
                <w:szCs w:val="21"/>
                <w:lang w:val="en-US" w:eastAsia="zh-CN" w:bidi="ar"/>
              </w:rPr>
              <w:t>1%</w:t>
            </w:r>
            <w:r>
              <w:rPr>
                <w:rStyle w:val="22"/>
                <w:rFonts w:hint="eastAsia" w:ascii="仿宋_GB2312" w:hAnsi="仿宋_GB2312" w:eastAsia="仿宋_GB2312" w:cs="仿宋_GB2312"/>
                <w:sz w:val="21"/>
                <w:szCs w:val="21"/>
                <w:lang w:val="en-US" w:eastAsia="zh-CN" w:bidi="ar"/>
              </w:rPr>
              <w:t>扣</w:t>
            </w:r>
            <w:r>
              <w:rPr>
                <w:rStyle w:val="23"/>
                <w:rFonts w:hint="eastAsia" w:ascii="仿宋_GB2312" w:hAnsi="仿宋_GB2312" w:eastAsia="仿宋_GB2312" w:cs="仿宋_GB2312"/>
                <w:sz w:val="21"/>
                <w:szCs w:val="21"/>
                <w:lang w:val="en-US" w:eastAsia="zh-CN" w:bidi="ar"/>
              </w:rPr>
              <w:t>1</w:t>
            </w:r>
            <w:r>
              <w:rPr>
                <w:rStyle w:val="22"/>
                <w:rFonts w:hint="eastAsia" w:ascii="仿宋_GB2312" w:hAnsi="仿宋_GB2312" w:eastAsia="仿宋_GB2312" w:cs="仿宋_GB2312"/>
                <w:sz w:val="21"/>
                <w:szCs w:val="21"/>
                <w:lang w:val="en-US" w:eastAsia="zh-CN" w:bidi="ar"/>
              </w:rPr>
              <w:t>分，扣完为止。</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单位</w:t>
            </w:r>
            <w:r>
              <w:rPr>
                <w:rFonts w:hint="eastAsia" w:ascii="仿宋_GB2312" w:hAnsi="仿宋_GB2312" w:eastAsia="仿宋_GB2312" w:cs="仿宋_GB2312"/>
                <w:kern w:val="0"/>
                <w:sz w:val="21"/>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33" w:type="pct"/>
            <w:noWrap w:val="0"/>
            <w:vAlign w:val="top"/>
          </w:tcPr>
          <w:p>
            <w:pPr>
              <w:widowControl/>
              <w:jc w:val="left"/>
              <w:rPr>
                <w:rFonts w:cs="Calibri"/>
                <w:color w:val="000000"/>
                <w:kern w:val="0"/>
                <w:sz w:val="21"/>
                <w:szCs w:val="21"/>
              </w:rPr>
            </w:pPr>
            <w:r>
              <w:rPr>
                <w:rFonts w:cs="Calibri"/>
                <w:color w:val="000000"/>
                <w:kern w:val="0"/>
                <w:sz w:val="21"/>
                <w:szCs w:val="21"/>
              </w:rPr>
              <w:t>满意度指标</w:t>
            </w: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服务对象满意度指标</w:t>
            </w:r>
          </w:p>
        </w:tc>
        <w:tc>
          <w:tcPr>
            <w:tcW w:w="813" w:type="pct"/>
            <w:noWrap w:val="0"/>
            <w:vAlign w:val="to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在校师生的满意程度</w:t>
            </w:r>
          </w:p>
        </w:tc>
        <w:tc>
          <w:tcPr>
            <w:tcW w:w="871"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在校师生的满意程度</w:t>
            </w:r>
          </w:p>
        </w:tc>
        <w:tc>
          <w:tcPr>
            <w:tcW w:w="872"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10分在校师生的满意度达到95%得满分，每降低1%扣1分，扣完为止。</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33" w:type="pct"/>
            <w:noWrap w:val="0"/>
            <w:vAlign w:val="top"/>
          </w:tcPr>
          <w:p>
            <w:pPr>
              <w:widowControl/>
              <w:jc w:val="left"/>
              <w:rPr>
                <w:rFonts w:cs="Calibri"/>
                <w:color w:val="000000"/>
                <w:kern w:val="0"/>
                <w:sz w:val="21"/>
                <w:szCs w:val="21"/>
              </w:rPr>
            </w:pPr>
            <w:r>
              <w:rPr>
                <w:rFonts w:cs="Calibri"/>
                <w:color w:val="000000"/>
                <w:kern w:val="0"/>
                <w:sz w:val="21"/>
                <w:szCs w:val="21"/>
              </w:rPr>
              <w:t>满意度指标</w:t>
            </w: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服务对象满意度指标</w:t>
            </w:r>
          </w:p>
        </w:tc>
        <w:tc>
          <w:tcPr>
            <w:tcW w:w="813" w:type="pct"/>
            <w:noWrap w:val="0"/>
            <w:vAlign w:val="to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家长的满意程度</w:t>
            </w:r>
          </w:p>
        </w:tc>
        <w:tc>
          <w:tcPr>
            <w:tcW w:w="871"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家长的满意程度</w:t>
            </w:r>
          </w:p>
        </w:tc>
        <w:tc>
          <w:tcPr>
            <w:tcW w:w="872"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10分家长的满意度达到95%得满分，每降低1%扣1分，扣完为止。</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b w:val="0"/>
          <w:bCs w:val="0"/>
          <w:sz w:val="28"/>
          <w:szCs w:val="28"/>
        </w:rPr>
      </w:pPr>
      <w:bookmarkStart w:id="0" w:name="_Toc_4_4_0000000004"/>
      <w:r>
        <w:rPr>
          <w:rFonts w:ascii="方正仿宋_GBK" w:hAnsi="方正仿宋_GBK" w:eastAsia="方正仿宋_GBK" w:cs="方正仿宋_GBK"/>
          <w:b w:val="0"/>
          <w:bCs w:val="0"/>
          <w:color w:val="000000"/>
          <w:sz w:val="28"/>
          <w:szCs w:val="28"/>
        </w:rPr>
        <w:t>1.合同制教师人员经费绩效目标表</w:t>
      </w:r>
      <w:bookmarkEnd w:id="0"/>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w:t>
            </w:r>
          </w:p>
        </w:tc>
        <w:tc>
          <w:tcPr>
            <w:tcW w:w="4285"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1.缓解教师短缺，保障教育教学正常的进行</w:t>
            </w:r>
          </w:p>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2.保障教学质量，提升教育水平</w:t>
            </w:r>
          </w:p>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3.保障合同制教师工资福利待遇，并及时发放。</w:t>
            </w:r>
          </w:p>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2434"/>
        <w:gridCol w:w="3285"/>
        <w:gridCol w:w="2242"/>
        <w:gridCol w:w="1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一级指标</w:t>
            </w:r>
          </w:p>
        </w:tc>
        <w:tc>
          <w:tcPr>
            <w:tcW w:w="714" w:type="pct"/>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二级指标</w:t>
            </w:r>
          </w:p>
        </w:tc>
        <w:tc>
          <w:tcPr>
            <w:tcW w:w="873" w:type="pct"/>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三级指标</w:t>
            </w:r>
          </w:p>
        </w:tc>
        <w:tc>
          <w:tcPr>
            <w:tcW w:w="1178" w:type="pct"/>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绩效指标描述</w:t>
            </w:r>
          </w:p>
        </w:tc>
        <w:tc>
          <w:tcPr>
            <w:tcW w:w="804" w:type="pct"/>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指标值</w:t>
            </w:r>
          </w:p>
        </w:tc>
        <w:tc>
          <w:tcPr>
            <w:tcW w:w="714" w:type="pct"/>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学生、学校、家长对合同制教师的满意度达到95%以上</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保障2022合同制教师 26人工资福利</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1人</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sz w:val="21"/>
                <w:szCs w:val="21"/>
              </w:rPr>
            </w:pP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合同制教师完成岗位目标</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不同学科合同制教师岗位目标明确，并得以执行</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完成岗位目标职责</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sz w:val="21"/>
                <w:szCs w:val="21"/>
              </w:rPr>
            </w:pP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合同制教师的考核合格率</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合格率达到100%</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≥98%</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sz w:val="21"/>
                <w:szCs w:val="21"/>
              </w:rPr>
            </w:pP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资金支出率（%）</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按月支付合同制教师工资及缴纳社会保障及住房公积金</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sz w:val="21"/>
                <w:szCs w:val="21"/>
              </w:rPr>
            </w:pP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保障项目正常运行</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合同制教师薪酬测算标准</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根据廊广传【2021】19号文件合同制教师与在职教师同工同酬</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效益指标</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缓解师资供需矛盾</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缓解教师短缺，保障教育教学正常的进行</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缓解</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学生满意度</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所教班级学生满意度</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sz w:val="21"/>
                <w:szCs w:val="21"/>
              </w:rPr>
            </w:pP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学校满意度</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在校教师满意度</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sz w:val="21"/>
                <w:szCs w:val="21"/>
              </w:rPr>
            </w:pP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家长满意度</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所教班级家长满意度</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bl>
    <w:p>
      <w:pPr>
        <w:rPr>
          <w:sz w:val="11"/>
          <w:szCs w:val="11"/>
        </w:rPr>
        <w:sectPr>
          <w:pgSz w:w="16840" w:h="11900" w:orient="landscape"/>
          <w:pgMar w:top="1304" w:right="1984" w:bottom="1304" w:left="1134" w:header="720" w:footer="720" w:gutter="0"/>
          <w:cols w:space="720" w:num="1"/>
        </w:sectPr>
      </w:pPr>
    </w:p>
    <w:p>
      <w:pPr>
        <w:spacing w:before="0" w:after="0"/>
        <w:ind w:firstLine="560"/>
        <w:jc w:val="left"/>
        <w:outlineLvl w:val="3"/>
        <w:rPr>
          <w:sz w:val="28"/>
          <w:szCs w:val="28"/>
        </w:rPr>
      </w:pPr>
      <w:bookmarkStart w:id="1" w:name="_Toc_4_4_0000000005"/>
      <w:r>
        <w:rPr>
          <w:rFonts w:ascii="方正仿宋_GBK" w:hAnsi="方正仿宋_GBK" w:eastAsia="方正仿宋_GBK" w:cs="方正仿宋_GBK"/>
          <w:color w:val="000000"/>
          <w:sz w:val="28"/>
          <w:szCs w:val="28"/>
        </w:rPr>
        <w:t>2.幼儿园生均经费绩效目标表</w:t>
      </w:r>
      <w:bookmarkEnd w:id="1"/>
    </w:p>
    <w:tbl>
      <w:tblPr>
        <w:tblStyle w:val="8"/>
        <w:tblW w:w="4998" w:type="pct"/>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3"/>
        <w:gridCol w:w="1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14" w:type="pct"/>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w:t>
            </w:r>
          </w:p>
        </w:tc>
        <w:tc>
          <w:tcPr>
            <w:tcW w:w="4285"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1.保障学前教育正常运转</w:t>
            </w:r>
          </w:p>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2.改善幼儿园基本办园条件</w:t>
            </w:r>
          </w:p>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3.促进学前教育均衡发展及幼儿素质提高</w:t>
            </w:r>
          </w:p>
        </w:tc>
      </w:tr>
    </w:tbl>
    <w:p>
      <w:pPr>
        <w:spacing w:before="0" w:after="0" w:line="2" w:lineRule="exact"/>
        <w:ind w:firstLine="0"/>
        <w:jc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 xml:space="preserve"> </w:t>
      </w:r>
    </w:p>
    <w:tbl>
      <w:tblPr>
        <w:tblStyle w:val="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2"/>
        <w:gridCol w:w="1893"/>
        <w:gridCol w:w="2170"/>
        <w:gridCol w:w="2709"/>
        <w:gridCol w:w="1229"/>
        <w:gridCol w:w="41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022"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一级指标</w:t>
            </w:r>
          </w:p>
        </w:tc>
        <w:tc>
          <w:tcPr>
            <w:tcW w:w="1893"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二级指标</w:t>
            </w:r>
          </w:p>
        </w:tc>
        <w:tc>
          <w:tcPr>
            <w:tcW w:w="2170"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三级指标</w:t>
            </w:r>
          </w:p>
        </w:tc>
        <w:tc>
          <w:tcPr>
            <w:tcW w:w="2709"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绩效指标描述</w:t>
            </w:r>
          </w:p>
        </w:tc>
        <w:tc>
          <w:tcPr>
            <w:tcW w:w="1229"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指标值</w:t>
            </w:r>
          </w:p>
        </w:tc>
        <w:tc>
          <w:tcPr>
            <w:tcW w:w="4149"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22" w:type="dxa"/>
            <w:vMerge w:val="restart"/>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189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数量指标</w:t>
            </w:r>
          </w:p>
        </w:tc>
        <w:tc>
          <w:tcPr>
            <w:tcW w:w="2170"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申请生均公用经费的幼儿人数</w:t>
            </w:r>
          </w:p>
        </w:tc>
        <w:tc>
          <w:tcPr>
            <w:tcW w:w="270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按文件要求申请生均公用经费的幼儿人数</w:t>
            </w:r>
          </w:p>
        </w:tc>
        <w:tc>
          <w:tcPr>
            <w:tcW w:w="122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56人</w:t>
            </w:r>
          </w:p>
        </w:tc>
        <w:tc>
          <w:tcPr>
            <w:tcW w:w="414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22" w:type="dxa"/>
            <w:vMerge w:val="continue"/>
            <w:vAlign w:val="center"/>
          </w:tcPr>
          <w:p>
            <w:pPr>
              <w:rPr>
                <w:rFonts w:hint="eastAsia" w:ascii="仿宋_GB2312" w:hAnsi="仿宋_GB2312" w:eastAsia="仿宋_GB2312" w:cs="仿宋_GB2312"/>
                <w:sz w:val="21"/>
                <w:szCs w:val="21"/>
              </w:rPr>
            </w:pPr>
          </w:p>
        </w:tc>
        <w:tc>
          <w:tcPr>
            <w:tcW w:w="189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2170"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生均公用经费使用的合规率</w:t>
            </w:r>
          </w:p>
        </w:tc>
        <w:tc>
          <w:tcPr>
            <w:tcW w:w="270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生均公用经费使用符合文件中的相关规定</w:t>
            </w:r>
          </w:p>
        </w:tc>
        <w:tc>
          <w:tcPr>
            <w:tcW w:w="122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414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22" w:type="dxa"/>
            <w:vMerge w:val="continue"/>
            <w:vAlign w:val="center"/>
          </w:tcPr>
          <w:p>
            <w:pPr>
              <w:rPr>
                <w:rFonts w:hint="eastAsia" w:ascii="仿宋_GB2312" w:hAnsi="仿宋_GB2312" w:eastAsia="仿宋_GB2312" w:cs="仿宋_GB2312"/>
                <w:sz w:val="21"/>
                <w:szCs w:val="21"/>
              </w:rPr>
            </w:pPr>
          </w:p>
        </w:tc>
        <w:tc>
          <w:tcPr>
            <w:tcW w:w="189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2170"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用于保障幼儿园正常运转项目完成及时率</w:t>
            </w:r>
          </w:p>
        </w:tc>
        <w:tc>
          <w:tcPr>
            <w:tcW w:w="270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使用生均公用经费，用于保障幼儿园正常运转的项目完成情况</w:t>
            </w:r>
          </w:p>
        </w:tc>
        <w:tc>
          <w:tcPr>
            <w:tcW w:w="122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414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22" w:type="dxa"/>
            <w:vMerge w:val="continue"/>
            <w:vAlign w:val="center"/>
          </w:tcPr>
          <w:p>
            <w:pPr>
              <w:rPr>
                <w:rFonts w:hint="eastAsia" w:ascii="仿宋_GB2312" w:hAnsi="仿宋_GB2312" w:eastAsia="仿宋_GB2312" w:cs="仿宋_GB2312"/>
                <w:sz w:val="21"/>
                <w:szCs w:val="21"/>
              </w:rPr>
            </w:pPr>
          </w:p>
        </w:tc>
        <w:tc>
          <w:tcPr>
            <w:tcW w:w="189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2170"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使用生均公用经费，用于保障幼儿园正常运转的项目支出成本</w:t>
            </w:r>
          </w:p>
        </w:tc>
        <w:tc>
          <w:tcPr>
            <w:tcW w:w="270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使用生均公用经费，用于保障幼儿园正常运转的项目支出成本等于400元/生</w:t>
            </w:r>
          </w:p>
        </w:tc>
        <w:tc>
          <w:tcPr>
            <w:tcW w:w="122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400元</w:t>
            </w:r>
          </w:p>
        </w:tc>
        <w:tc>
          <w:tcPr>
            <w:tcW w:w="414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22" w:type="dxa"/>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效益指标</w:t>
            </w:r>
          </w:p>
        </w:tc>
        <w:tc>
          <w:tcPr>
            <w:tcW w:w="189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经济效益指标</w:t>
            </w:r>
          </w:p>
        </w:tc>
        <w:tc>
          <w:tcPr>
            <w:tcW w:w="2170"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学前教育高质量发展</w:t>
            </w:r>
          </w:p>
        </w:tc>
        <w:tc>
          <w:tcPr>
            <w:tcW w:w="270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该资金用于幼儿园正常运转，改善办园条件，促进学前教育均衡发展及幼儿素质提高</w:t>
            </w:r>
          </w:p>
        </w:tc>
        <w:tc>
          <w:tcPr>
            <w:tcW w:w="122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支持</w:t>
            </w:r>
          </w:p>
        </w:tc>
        <w:tc>
          <w:tcPr>
            <w:tcW w:w="414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22" w:type="dxa"/>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189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2170"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在校师生的满意程度</w:t>
            </w:r>
          </w:p>
        </w:tc>
        <w:tc>
          <w:tcPr>
            <w:tcW w:w="270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在校师生的满意程度</w:t>
            </w:r>
          </w:p>
        </w:tc>
        <w:tc>
          <w:tcPr>
            <w:tcW w:w="122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414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bl>
    <w:p>
      <w:pPr>
        <w:rPr>
          <w:sz w:val="18"/>
          <w:szCs w:val="18"/>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安排政府采购预算万元。具体内容见下表。</w:t>
      </w:r>
    </w:p>
    <w:bookmarkEnd w:id="2"/>
    <w:p>
      <w:pPr>
        <w:jc w:val="center"/>
        <w:outlineLvl w:val="1"/>
        <w:rPr>
          <w:rFonts w:ascii="方正小标宋_GBK" w:eastAsia="方正小标宋_GBK" w:cs="Times New Roman"/>
          <w:sz w:val="32"/>
        </w:rPr>
      </w:pPr>
      <w:bookmarkStart w:id="3"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3"/>
    </w:p>
    <w:p>
      <w:pPr>
        <w:outlineLvl w:val="1"/>
        <w:rPr>
          <w:rFonts w:ascii="方正小标宋_GBK" w:eastAsia="方正小标宋_GBK" w:cs="Times New Roman"/>
          <w:sz w:val="32"/>
        </w:rPr>
      </w:pPr>
      <w:r>
        <w:t>廊坊市</w:t>
      </w:r>
      <w:r>
        <w:rPr>
          <w:rFonts w:hint="eastAsia"/>
          <w:lang w:eastAsia="zh-CN"/>
        </w:rPr>
        <w:t>广阳区万庄镇曹留犊中心小学</w:t>
      </w:r>
      <w:r>
        <w:t xml:space="preserve">                                                                               </w:t>
      </w:r>
      <w:r>
        <w:rPr>
          <w:rFonts w:hint="eastAsia"/>
          <w:lang w:val="en-US" w:eastAsia="zh-CN"/>
        </w:rPr>
        <w:t xml:space="preserve">       </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广阳区万庄镇曹留犊中心小学</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146.66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广阳区万庄镇曹留犊中心小学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146.66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 xml:space="preserve">             0（学校已拆迁）</w:t>
            </w:r>
          </w:p>
          <w:p>
            <w:pPr>
              <w:spacing w:line="584" w:lineRule="exact"/>
              <w:jc w:val="center"/>
              <w:rPr>
                <w:rFonts w:hint="eastAsia" w:ascii="Times New Roman" w:hAnsi="Times New Roman" w:eastAsia="仿宋_GB2312" w:cs="Times New Roman"/>
                <w:sz w:val="22"/>
                <w:lang w:val="en-US" w:eastAsia="zh-CN"/>
              </w:rPr>
            </w:pPr>
          </w:p>
          <w:p>
            <w:pPr>
              <w:spacing w:line="584" w:lineRule="exact"/>
              <w:jc w:val="center"/>
              <w:rPr>
                <w:rFonts w:hint="eastAsia" w:ascii="Times New Roman" w:hAnsi="Times New Roman" w:eastAsia="仿宋_GB2312" w:cs="Times New Roman"/>
                <w:sz w:val="22"/>
                <w:lang w:val="en-US" w:eastAsia="zh-CN"/>
              </w:rPr>
            </w:pPr>
          </w:p>
          <w:p>
            <w:pPr>
              <w:spacing w:line="584" w:lineRule="exact"/>
              <w:jc w:val="center"/>
              <w:rPr>
                <w:rFonts w:hint="eastAsia" w:ascii="Times New Roman" w:hAnsi="Times New Roman" w:eastAsia="仿宋_GB2312" w:cs="Times New Roman"/>
                <w:sz w:val="22"/>
                <w:lang w:val="en-US" w:eastAsia="zh-CN"/>
              </w:rPr>
            </w:pPr>
          </w:p>
          <w:p>
            <w:pPr>
              <w:spacing w:line="584" w:lineRule="exact"/>
              <w:jc w:val="center"/>
              <w:rPr>
                <w:rFonts w:hint="eastAsia" w:ascii="Times New Roman" w:hAnsi="Times New Roman" w:eastAsia="仿宋_GB2312" w:cs="Times New Roman"/>
                <w:sz w:val="22"/>
                <w:lang w:val="en-US" w:eastAsia="zh-CN"/>
              </w:rPr>
            </w:pPr>
          </w:p>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16"/>
                <w:szCs w:val="16"/>
                <w:lang w:val="en-US" w:eastAsia="zh-CN"/>
              </w:rPr>
              <w:t>已转交给其他学校，手续正在办理中</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146.66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6ED967-DC0A-442E-90E2-EE2FBB9199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FD283542-332A-440E-9AF2-55B8314BE897}"/>
  </w:font>
  <w:font w:name="仿宋_GB2312">
    <w:panose1 w:val="02010609030101010101"/>
    <w:charset w:val="86"/>
    <w:family w:val="modern"/>
    <w:pitch w:val="default"/>
    <w:sig w:usb0="00000001" w:usb1="080E0000" w:usb2="00000000" w:usb3="00000000" w:csb0="00040000" w:csb1="00000000"/>
    <w:embedRegular r:id="rId3" w:fontKey="{3E98F9CB-3D92-4E85-B03B-6F1CE86B3111}"/>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embedRegular r:id="rId4" w:fontKey="{FE0CB684-8690-42A9-A108-069F369A706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7C901"/>
    <w:multiLevelType w:val="singleLevel"/>
    <w:tmpl w:val="AF07C901"/>
    <w:lvl w:ilvl="0" w:tentative="0">
      <w:start w:val="4"/>
      <w:numFmt w:val="chineseCounting"/>
      <w:suff w:val="nothing"/>
      <w:lvlText w:val="（%1）"/>
      <w:lvlJc w:val="left"/>
      <w:pPr>
        <w:ind w:left="210"/>
      </w:pPr>
      <w:rPr>
        <w:rFonts w:hint="eastAsia"/>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944233"/>
    <w:rsid w:val="00B40732"/>
    <w:rsid w:val="00B80935"/>
    <w:rsid w:val="00D347CC"/>
    <w:rsid w:val="00DC72B4"/>
    <w:rsid w:val="03761AC9"/>
    <w:rsid w:val="05223BF5"/>
    <w:rsid w:val="06F57544"/>
    <w:rsid w:val="0CEC1180"/>
    <w:rsid w:val="10AA4D2F"/>
    <w:rsid w:val="25A61C28"/>
    <w:rsid w:val="44013C6D"/>
    <w:rsid w:val="540F6ABB"/>
    <w:rsid w:val="5CDE7528"/>
    <w:rsid w:val="5FC52B86"/>
    <w:rsid w:val="606A4709"/>
    <w:rsid w:val="699F0CA8"/>
    <w:rsid w:val="6B9E3415"/>
    <w:rsid w:val="72E648BD"/>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2">
    <w:name w:val="font21"/>
    <w:basedOn w:val="9"/>
    <w:qFormat/>
    <w:uiPriority w:val="0"/>
    <w:rPr>
      <w:rFonts w:hint="eastAsia" w:ascii="宋体" w:hAnsi="宋体" w:eastAsia="宋体" w:cs="宋体"/>
      <w:color w:val="000000"/>
      <w:sz w:val="12"/>
      <w:szCs w:val="12"/>
      <w:u w:val="none"/>
    </w:rPr>
  </w:style>
  <w:style w:type="character" w:customStyle="1" w:styleId="23">
    <w:name w:val="font31"/>
    <w:basedOn w:val="9"/>
    <w:qFormat/>
    <w:uiPriority w:val="0"/>
    <w:rPr>
      <w:rFonts w:hint="default" w:ascii="Calibri" w:hAnsi="Calibri" w:cs="Calibri"/>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30</TotalTime>
  <ScaleCrop>false</ScaleCrop>
  <LinksUpToDate>false</LinksUpToDate>
  <CharactersWithSpaces>3375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2023-08-01T09:35:05Z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61B1EE9F42044DF2AFC483E040817B37</vt:lpwstr>
  </property>
</Properties>
</file>