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20" w:name="_GoBack"/>
      <w:bookmarkEnd w:id="20"/>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中国共产党</w:t>
      </w: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 xml:space="preserve">广阳区委员会组织部 </w:t>
      </w:r>
      <w:r>
        <w:rPr>
          <w:rFonts w:ascii="Times New Roman" w:hAnsi="Times New Roman" w:eastAsia="方正小标宋简体" w:cs="Times New Roman"/>
          <w:sz w:val="44"/>
          <w:szCs w:val="44"/>
        </w:rPr>
        <w:t xml:space="preserve"> </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中国共产党</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广阳区委员会组织部</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三）负责各级领导班子和干部队伍建设的宏观管理。研究提出领导班子和领导干部队伍建设规划以及干部管理体制的建议，指导领导班子思想作风建设；负责事业单位领导人员宏观管理；负责提出各乡镇、街道、广阳经济开发区和区直各</w:t>
      </w:r>
      <w:r>
        <w:rPr>
          <w:rFonts w:hint="eastAsia" w:ascii="仿宋_GB2312" w:eastAsia="仿宋_GB2312"/>
          <w:sz w:val="32"/>
          <w:szCs w:val="32"/>
          <w:lang w:eastAsia="zh-CN"/>
        </w:rPr>
        <w:t>单位</w:t>
      </w:r>
      <w:r>
        <w:rPr>
          <w:rFonts w:hint="eastAsia" w:ascii="仿宋_GB2312" w:eastAsia="仿宋_GB2312"/>
          <w:sz w:val="32"/>
          <w:szCs w:val="32"/>
        </w:rPr>
        <w:t>以及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团职军队转业干部安置工作；负责各乡镇、街道、广阳经济开发区和区直</w:t>
      </w:r>
      <w:r>
        <w:rPr>
          <w:rFonts w:hint="eastAsia" w:ascii="仿宋_GB2312" w:eastAsia="仿宋_GB2312"/>
          <w:sz w:val="32"/>
          <w:szCs w:val="32"/>
          <w:lang w:eastAsia="zh-CN"/>
        </w:rPr>
        <w:t>单位</w:t>
      </w:r>
      <w:r>
        <w:rPr>
          <w:rFonts w:hint="eastAsia" w:ascii="仿宋_GB2312" w:eastAsia="仿宋_GB2312"/>
          <w:sz w:val="32"/>
          <w:szCs w:val="32"/>
        </w:rPr>
        <w:t>部分股级干部的审批、备案工作；负责全区选调生、大学生村官的选拔、管理、培养和宏观指导。</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四）负责全区干部教育培训的宏观管理、统筹协调、指导检查；研究拟订全区干部教育工作规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及区级机关职能绩效目标考核；承担区委干部考核领导小组办公室职责。</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五）研究拟订公务员、参照公务员法管理事业单位工作人员管理政策并组织实施。负责公务员、参照公务员法管理事业单位工作人员录用调配、考核奖惩、培训和工资福利等工作；指导全区公务员、参照公务员法管理事业单位工作人员队伍建设。</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六）负责全区人才工作和人才队伍建设的牵头抓总、统筹协调、推进落实。负责牵头人才规划的制定、实施，人才发展体制机制的改革推进；负责区管专家等高端人才的联系服务工作；负责区管优秀专家的选拔管理；承担区委人才工作领导小组办公室职责。</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（七）负责全区组织工作的检查督促，及时向区委反映重要情况，提出建议。</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（八）统一管理区委机构编制委员会办公室，归口管理区委老干部局。</w:t>
      </w:r>
    </w:p>
    <w:p>
      <w:pPr>
        <w:spacing w:line="580" w:lineRule="exact"/>
        <w:ind w:firstLine="640" w:firstLineChars="200"/>
        <w:jc w:val="left"/>
        <w:rPr>
          <w:rFonts w:ascii="Times New Roman" w:hAnsi="Times New Roman" w:eastAsia="仿宋_GB2312" w:cs="Times New Roman"/>
          <w:sz w:val="32"/>
          <w:szCs w:val="32"/>
        </w:rPr>
      </w:pPr>
      <w:r>
        <w:rPr>
          <w:rFonts w:hint="eastAsia" w:ascii="仿宋_GB2312" w:eastAsia="仿宋_GB2312"/>
          <w:sz w:val="32"/>
          <w:szCs w:val="32"/>
        </w:rPr>
        <w:t>（九）完成区委交办的其他任务。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p>
      <w:pPr>
        <w:spacing w:line="584" w:lineRule="exact"/>
        <w:jc w:val="center"/>
        <w:outlineLvl w:val="0"/>
        <w:rPr>
          <w:rFonts w:ascii="Times New Roman" w:hAnsi="Times New Roman" w:eastAsia="仿宋_GB2312" w:cs="Times New Roman"/>
          <w:b/>
          <w:sz w:val="32"/>
          <w:szCs w:val="24"/>
        </w:rPr>
      </w:pPr>
    </w:p>
    <w:tbl>
      <w:tblPr>
        <w:tblStyle w:val="8"/>
        <w:tblW w:w="388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059"/>
        <w:gridCol w:w="1701"/>
        <w:gridCol w:w="1983"/>
        <w:gridCol w:w="3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1842" w:type="pct"/>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772" w:type="pct"/>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900" w:type="pct"/>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1486" w:type="pct"/>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1842" w:type="pct"/>
            <w:vMerge w:val="continue"/>
            <w:shd w:val="clear" w:color="auto" w:fill="auto"/>
            <w:vAlign w:val="center"/>
          </w:tcPr>
          <w:p/>
        </w:tc>
        <w:tc>
          <w:tcPr>
            <w:tcW w:w="772" w:type="pct"/>
            <w:vMerge w:val="continue"/>
            <w:shd w:val="clear" w:color="auto" w:fill="auto"/>
            <w:vAlign w:val="center"/>
          </w:tcPr>
          <w:p/>
        </w:tc>
        <w:tc>
          <w:tcPr>
            <w:tcW w:w="900" w:type="pct"/>
            <w:vMerge w:val="continue"/>
            <w:shd w:val="clear" w:color="auto" w:fill="auto"/>
            <w:vAlign w:val="center"/>
          </w:tcPr>
          <w:p/>
        </w:tc>
        <w:tc>
          <w:tcPr>
            <w:tcW w:w="14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2" w:type="pct"/>
            <w:shd w:val="clear" w:color="auto" w:fill="auto"/>
            <w:vAlign w:val="center"/>
          </w:tcPr>
          <w:p>
            <w:pPr>
              <w:spacing w:line="584" w:lineRule="exact"/>
              <w:jc w:val="center"/>
              <w:rPr>
                <w:rFonts w:ascii="Times New Roman" w:hAnsi="Times New Roman" w:eastAsia="仿宋_GB2312" w:cs="Times New Roman"/>
                <w:b/>
                <w:sz w:val="22"/>
              </w:rPr>
            </w:pPr>
            <w:r>
              <w:rPr>
                <w:rFonts w:ascii="Times New Roman" w:hAnsi="Times New Roman" w:eastAsia="仿宋_GB2312" w:cs="Times New Roman"/>
                <w:b/>
                <w:sz w:val="22"/>
              </w:rPr>
              <w:t>中</w:t>
            </w:r>
            <w:r>
              <w:rPr>
                <w:rFonts w:hint="eastAsia" w:ascii="Times New Roman" w:hAnsi="Times New Roman" w:eastAsia="仿宋_GB2312" w:cs="Times New Roman"/>
                <w:b/>
                <w:sz w:val="22"/>
              </w:rPr>
              <w:t>国共产党</w:t>
            </w:r>
            <w:r>
              <w:rPr>
                <w:rFonts w:ascii="Times New Roman" w:hAnsi="Times New Roman" w:eastAsia="仿宋_GB2312" w:cs="Times New Roman"/>
                <w:b/>
                <w:sz w:val="22"/>
              </w:rPr>
              <w:t>廊坊市广阳区委</w:t>
            </w:r>
            <w:r>
              <w:rPr>
                <w:rFonts w:hint="eastAsia" w:ascii="Times New Roman" w:hAnsi="Times New Roman" w:eastAsia="仿宋_GB2312" w:cs="Times New Roman"/>
                <w:b/>
                <w:sz w:val="22"/>
              </w:rPr>
              <w:t>员会</w:t>
            </w:r>
            <w:r>
              <w:rPr>
                <w:rFonts w:ascii="Times New Roman" w:hAnsi="Times New Roman" w:eastAsia="仿宋_GB2312" w:cs="Times New Roman"/>
                <w:b/>
                <w:sz w:val="22"/>
              </w:rPr>
              <w:t>组织部</w:t>
            </w:r>
          </w:p>
        </w:tc>
        <w:tc>
          <w:tcPr>
            <w:tcW w:w="772" w:type="pct"/>
            <w:shd w:val="clear" w:color="auto" w:fill="auto"/>
            <w:vAlign w:val="center"/>
          </w:tcPr>
          <w:p>
            <w:pPr>
              <w:spacing w:line="584" w:lineRule="exact"/>
              <w:jc w:val="center"/>
              <w:rPr>
                <w:rFonts w:ascii="Times New Roman" w:hAnsi="Times New Roman" w:eastAsia="仿宋_GB2312" w:cs="Times New Roman"/>
                <w:b/>
                <w:sz w:val="22"/>
              </w:rPr>
            </w:pPr>
            <w:r>
              <w:rPr>
                <w:rFonts w:ascii="Times New Roman" w:hAnsi="Times New Roman" w:eastAsia="仿宋_GB2312" w:cs="Times New Roman"/>
                <w:b/>
                <w:sz w:val="22"/>
              </w:rPr>
              <w:t>行政</w:t>
            </w:r>
          </w:p>
        </w:tc>
        <w:tc>
          <w:tcPr>
            <w:tcW w:w="900" w:type="pct"/>
            <w:shd w:val="clear" w:color="auto" w:fill="auto"/>
            <w:vAlign w:val="center"/>
          </w:tcPr>
          <w:p>
            <w:pPr>
              <w:spacing w:line="584" w:lineRule="exact"/>
              <w:jc w:val="center"/>
              <w:rPr>
                <w:rFonts w:ascii="Times New Roman" w:hAnsi="Times New Roman" w:eastAsia="仿宋_GB2312" w:cs="Times New Roman"/>
                <w:b/>
                <w:sz w:val="22"/>
              </w:rPr>
            </w:pPr>
            <w:r>
              <w:rPr>
                <w:rFonts w:ascii="Times New Roman" w:hAnsi="Times New Roman" w:eastAsia="仿宋_GB2312" w:cs="Times New Roman"/>
                <w:b/>
                <w:sz w:val="22"/>
              </w:rPr>
              <w:t>正科级</w:t>
            </w:r>
          </w:p>
        </w:tc>
        <w:tc>
          <w:tcPr>
            <w:tcW w:w="1486" w:type="pct"/>
            <w:shd w:val="clear" w:color="auto" w:fill="auto"/>
            <w:vAlign w:val="center"/>
          </w:tcPr>
          <w:p>
            <w:pPr>
              <w:spacing w:line="584" w:lineRule="exact"/>
              <w:jc w:val="center"/>
              <w:rPr>
                <w:rFonts w:ascii="Times New Roman" w:hAnsi="Times New Roman" w:eastAsia="仿宋_GB2312" w:cs="Times New Roman"/>
                <w:b/>
                <w:sz w:val="22"/>
              </w:rPr>
            </w:pPr>
            <w:r>
              <w:rPr>
                <w:rFonts w:ascii="Times New Roman" w:hAnsi="Times New Roman" w:eastAsia="仿宋_GB2312" w:cs="Times New Roman"/>
                <w:b/>
                <w:sz w:val="22"/>
              </w:rPr>
              <w:t>财政拨款</w:t>
            </w:r>
          </w:p>
        </w:tc>
      </w:tr>
    </w:tbl>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b/>
          <w:sz w:val="2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w:t>
      </w:r>
      <w:r>
        <w:rPr>
          <w:rFonts w:ascii="Times New Roman" w:hAnsi="Times New Roman" w:eastAsia="仿宋_GB2312" w:cs="Times New Roman"/>
          <w:bCs/>
          <w:sz w:val="32"/>
          <w:szCs w:val="32"/>
        </w:rPr>
        <w:t>中</w:t>
      </w:r>
      <w:r>
        <w:rPr>
          <w:rFonts w:hint="eastAsia" w:ascii="Times New Roman" w:hAnsi="Times New Roman" w:eastAsia="仿宋_GB2312" w:cs="Times New Roman"/>
          <w:bCs/>
          <w:sz w:val="32"/>
          <w:szCs w:val="32"/>
        </w:rPr>
        <w:t>国共产党</w:t>
      </w:r>
      <w:r>
        <w:rPr>
          <w:rFonts w:ascii="Times New Roman" w:hAnsi="Times New Roman" w:eastAsia="仿宋_GB2312" w:cs="Times New Roman"/>
          <w:bCs/>
          <w:sz w:val="32"/>
          <w:szCs w:val="32"/>
        </w:rPr>
        <w:t>廊坊市广阳区委</w:t>
      </w:r>
      <w:r>
        <w:rPr>
          <w:rFonts w:hint="eastAsia" w:ascii="Times New Roman" w:hAnsi="Times New Roman" w:eastAsia="仿宋_GB2312" w:cs="Times New Roman"/>
          <w:bCs/>
          <w:sz w:val="32"/>
          <w:szCs w:val="32"/>
        </w:rPr>
        <w:t>员会</w:t>
      </w:r>
      <w:r>
        <w:rPr>
          <w:rFonts w:ascii="Times New Roman" w:hAnsi="Times New Roman" w:eastAsia="仿宋_GB2312" w:cs="Times New Roman"/>
          <w:bCs/>
          <w:sz w:val="32"/>
          <w:szCs w:val="32"/>
        </w:rPr>
        <w:t>组织部</w:t>
      </w:r>
      <w:r>
        <w:rPr>
          <w:rFonts w:ascii="Times New Roman" w:hAnsi="Times New Roman" w:eastAsia="仿宋_GB2312" w:cs="Times New Roman"/>
          <w:sz w:val="32"/>
          <w:szCs w:val="32"/>
        </w:rPr>
        <w:t>机关收支包含在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2年预算收入1567.34万元，其中：一般公共预算收入</w:t>
      </w:r>
      <w:r>
        <w:rPr>
          <w:rFonts w:hint="eastAsia" w:ascii="Times New Roman" w:hAnsi="Times New Roman" w:eastAsia="仿宋_GB2312" w:cs="Times New Roman"/>
          <w:sz w:val="32"/>
          <w:szCs w:val="32"/>
        </w:rPr>
        <w:t>1526.34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万元，财政专户核拨收入0万元，其他来源收入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上年结转41</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广阳区委组织部2022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2年支出预算1567.34万元，其中基本支出</w:t>
      </w:r>
      <w:r>
        <w:rPr>
          <w:rFonts w:hint="eastAsia" w:ascii="Times New Roman" w:hAnsi="Times New Roman" w:eastAsia="仿宋_GB2312" w:cs="Times New Roman"/>
          <w:sz w:val="32"/>
          <w:szCs w:val="32"/>
        </w:rPr>
        <w:t>337.02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294.13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42.89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1230.32</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2年预算收支安排1567.34万元，较20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1年预算减少2005.15万元，其中：基本支出减少</w:t>
      </w:r>
      <w:r>
        <w:rPr>
          <w:rFonts w:hint="eastAsia" w:ascii="Times New Roman" w:hAnsi="Times New Roman" w:eastAsia="仿宋_GB2312" w:cs="Times New Roman"/>
          <w:sz w:val="32"/>
          <w:szCs w:val="32"/>
        </w:rPr>
        <w:t>35.99</w:t>
      </w:r>
      <w:r>
        <w:rPr>
          <w:rFonts w:ascii="Times New Roman" w:hAnsi="Times New Roman" w:eastAsia="仿宋_GB2312" w:cs="Times New Roman"/>
          <w:sz w:val="32"/>
          <w:szCs w:val="32"/>
        </w:rPr>
        <w:t>万元，主要为人员工资、津补贴及日常办公等支出；项目支出减少</w:t>
      </w:r>
      <w:r>
        <w:rPr>
          <w:rFonts w:hint="eastAsia" w:ascii="Times New Roman" w:hAnsi="Times New Roman" w:eastAsia="仿宋_GB2312" w:cs="Times New Roman"/>
          <w:sz w:val="32"/>
          <w:szCs w:val="32"/>
        </w:rPr>
        <w:t>1969.16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减少人居环境督查经费等</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2年，我局机关运行经费共计安排42.89万元，主要用于办公区的日常维修、办公费、邮电费、公务用车运行维护费等日常运行支出。</w:t>
      </w:r>
    </w:p>
    <w:p>
      <w:pPr>
        <w:autoSpaceDE w:val="0"/>
        <w:autoSpaceDN w:val="0"/>
        <w:adjustRightInd w:val="0"/>
        <w:spacing w:line="584" w:lineRule="exact"/>
        <w:ind w:firstLine="947" w:firstLineChars="2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2年，我校财政拨款“三公”经费预算安排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年相比持平，无增减变化</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spacing w:line="580" w:lineRule="exact"/>
        <w:rPr>
          <w:rFonts w:eastAsia="仿宋_GB2312"/>
          <w:sz w:val="32"/>
          <w:szCs w:val="32"/>
        </w:rPr>
      </w:pPr>
      <w:r>
        <w:rPr>
          <w:rFonts w:eastAsia="仿宋_GB2312"/>
          <w:sz w:val="32"/>
          <w:szCs w:val="32"/>
        </w:rPr>
        <w:t>研究和指导全区党组织特别是党的基层组织建设；提出列入区委管理的领导班子调整，配备的意见和建议；负责区委管理的领导班子调整配备的意见和建议；负责区委管理干部的考察和办理任免、奖惩、工资、待遇、退（离）休审批手续；指导领导班子的思想作风建设；负责全区干部的宏观管理工作；负责区委管理干部及区直参照管理单位干部的管理和奖惩工作；承办部分干部的调配、交流和安置事宜；研究制定全区干部及干部队伍建设的方针、政策；组织落实培养选拔后备干部，妇女干部、少数民族干部工作；从宏观上研究和指导全区的组织制度和干部人事制度的改革，制订或参与制订全区组织人事工作的重要政策和制度；负责区直参照国家公务员制度管理工作；负责全区组织工作和干部工作的督促检查，及时向区委反映重要情况、提出建议；主管全区的干部教育工作、制订干部教育工作的计划；研究和探索适合我区实际的培训制度；对各乡镇，街道办事处和区直干部培训工作进行协调、指导、检查，组织区委管理的干部和一定层次的其他干部的培训工作；负责全区知识分子工作的综合协调、检查指导、负责区管拔尖人才和乡土拔尖人才的选拔管理和科级副职的宏观管理工作 ；负责因公出国人员的政治审核，受理党员干部的申诉和来信来访工作；负责党组织、党员、干部的统计，干部档案和文书档案的管理，党费的收缴、管理和使用；指导老干部工作</w:t>
      </w:r>
      <w:r>
        <w:rPr>
          <w:rFonts w:hint="eastAsia" w:eastAsia="仿宋_GB2312"/>
          <w:sz w:val="32"/>
          <w:szCs w:val="32"/>
          <w:lang w:eastAsia="zh-CN"/>
        </w:rPr>
        <w:t>单位</w:t>
      </w:r>
      <w:r>
        <w:rPr>
          <w:rFonts w:eastAsia="仿宋_GB2312"/>
          <w:sz w:val="32"/>
          <w:szCs w:val="32"/>
        </w:rPr>
        <w:t>做好老干部的安置和管理工作。配合党的纪律检查</w:t>
      </w:r>
      <w:r>
        <w:rPr>
          <w:rFonts w:hint="eastAsia" w:eastAsia="仿宋_GB2312"/>
          <w:sz w:val="32"/>
          <w:szCs w:val="32"/>
          <w:lang w:eastAsia="zh-CN"/>
        </w:rPr>
        <w:t>单位</w:t>
      </w:r>
      <w:r>
        <w:rPr>
          <w:rFonts w:eastAsia="仿宋_GB2312"/>
          <w:sz w:val="32"/>
          <w:szCs w:val="32"/>
        </w:rPr>
        <w:t>搞好干部队伍廉政建设。</w:t>
      </w:r>
    </w:p>
    <w:p>
      <w:p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（二）分项绩效目标</w:t>
      </w:r>
    </w:p>
    <w:p>
      <w:pPr>
        <w:pStyle w:val="19"/>
        <w:spacing w:line="580" w:lineRule="exact"/>
        <w:rPr>
          <w:rFonts w:eastAsia="仿宋_GB2312"/>
          <w:sz w:val="32"/>
          <w:szCs w:val="32"/>
        </w:rPr>
      </w:pPr>
      <w:r>
        <w:rPr>
          <w:rFonts w:hint="eastAsia" w:eastAsia="仿宋_GB2312"/>
          <w:sz w:val="32"/>
          <w:szCs w:val="32"/>
        </w:rPr>
        <w:t>1、</w:t>
      </w:r>
      <w:r>
        <w:rPr>
          <w:rFonts w:eastAsia="仿宋_GB2312"/>
          <w:sz w:val="32"/>
          <w:szCs w:val="32"/>
        </w:rPr>
        <w:t>广阳区档案数字化建设管理经费 绩效目标：通过项目的开展完成2022年度档案数字化建设的产出和效果指标，实现档案数字化建设。</w:t>
      </w:r>
    </w:p>
    <w:p>
      <w:pPr>
        <w:pStyle w:val="19"/>
        <w:spacing w:line="580" w:lineRule="exact"/>
        <w:rPr>
          <w:rFonts w:eastAsia="仿宋_GB2312"/>
          <w:sz w:val="32"/>
          <w:szCs w:val="32"/>
        </w:rPr>
      </w:pPr>
      <w:r>
        <w:rPr>
          <w:rFonts w:eastAsia="仿宋_GB2312"/>
          <w:sz w:val="32"/>
          <w:szCs w:val="32"/>
        </w:rPr>
        <w:t>绩效指标：数字化档案完成率达到百分百，档案管理工作效率和规范化水平明显提升。</w:t>
      </w:r>
    </w:p>
    <w:p>
      <w:pPr>
        <w:pStyle w:val="19"/>
        <w:spacing w:line="580" w:lineRule="exact"/>
        <w:rPr>
          <w:rFonts w:eastAsia="仿宋_GB2312"/>
          <w:sz w:val="32"/>
          <w:szCs w:val="32"/>
        </w:rPr>
      </w:pPr>
      <w:r>
        <w:rPr>
          <w:rFonts w:hint="eastAsia" w:eastAsia="仿宋_GB2312"/>
          <w:sz w:val="32"/>
          <w:szCs w:val="32"/>
        </w:rPr>
        <w:t>2、</w:t>
      </w:r>
      <w:r>
        <w:rPr>
          <w:rFonts w:eastAsia="仿宋_GB2312"/>
          <w:sz w:val="32"/>
          <w:szCs w:val="32"/>
        </w:rPr>
        <w:t>广阳区干部管理系统建设经费</w:t>
      </w:r>
    </w:p>
    <w:p>
      <w:pPr>
        <w:pStyle w:val="19"/>
        <w:spacing w:line="580" w:lineRule="exact"/>
        <w:rPr>
          <w:rFonts w:eastAsia="仿宋_GB2312"/>
          <w:sz w:val="32"/>
          <w:szCs w:val="32"/>
        </w:rPr>
      </w:pPr>
      <w:r>
        <w:rPr>
          <w:rFonts w:eastAsia="仿宋_GB2312"/>
          <w:sz w:val="32"/>
          <w:szCs w:val="32"/>
        </w:rPr>
        <w:t>绩效目标：通过项目的开展完成项目硬件国产化采购以及系统更新和维护，实现干部管理系统的高效运行。</w:t>
      </w:r>
    </w:p>
    <w:p>
      <w:pPr>
        <w:pStyle w:val="19"/>
        <w:spacing w:line="580" w:lineRule="exact"/>
        <w:rPr>
          <w:rFonts w:eastAsia="仿宋_GB2312"/>
          <w:sz w:val="32"/>
          <w:szCs w:val="32"/>
        </w:rPr>
      </w:pPr>
      <w:r>
        <w:rPr>
          <w:rFonts w:eastAsia="仿宋_GB2312"/>
          <w:sz w:val="32"/>
          <w:szCs w:val="32"/>
        </w:rPr>
        <w:t>绩效指标：干部管理系统产出指标依据《广阳区2021年组织工作要点》在数量、质量、时效方面达到标准。并且对全区组织系统业务信息化全覆盖和数据全共享起到促进推动作用。</w:t>
      </w:r>
    </w:p>
    <w:p>
      <w:pPr>
        <w:pStyle w:val="19"/>
        <w:spacing w:line="580" w:lineRule="exact"/>
        <w:rPr>
          <w:rFonts w:eastAsia="仿宋_GB2312"/>
          <w:sz w:val="32"/>
          <w:szCs w:val="32"/>
        </w:rPr>
      </w:pPr>
      <w:r>
        <w:rPr>
          <w:rFonts w:hint="eastAsia" w:eastAsia="仿宋_GB2312"/>
          <w:sz w:val="32"/>
          <w:szCs w:val="32"/>
        </w:rPr>
        <w:t>3、</w:t>
      </w:r>
      <w:r>
        <w:rPr>
          <w:rFonts w:eastAsia="仿宋_GB2312"/>
          <w:sz w:val="32"/>
          <w:szCs w:val="32"/>
        </w:rPr>
        <w:t>广阳区机关事业单位工资管理系统</w:t>
      </w:r>
    </w:p>
    <w:p>
      <w:pPr>
        <w:pStyle w:val="19"/>
        <w:spacing w:line="580" w:lineRule="exact"/>
        <w:rPr>
          <w:rFonts w:eastAsia="仿宋_GB2312"/>
          <w:sz w:val="32"/>
          <w:szCs w:val="32"/>
        </w:rPr>
      </w:pPr>
      <w:r>
        <w:rPr>
          <w:rFonts w:eastAsia="仿宋_GB2312"/>
          <w:sz w:val="32"/>
          <w:szCs w:val="32"/>
        </w:rPr>
        <w:t>绩效目标：通过项目的更新和维护，实现干部工资管理系统的高效运行，保证工资审批工作的顺利进行。</w:t>
      </w:r>
    </w:p>
    <w:p>
      <w:pPr>
        <w:pStyle w:val="19"/>
        <w:spacing w:line="580" w:lineRule="exact"/>
        <w:rPr>
          <w:rFonts w:eastAsia="仿宋_GB2312"/>
          <w:sz w:val="32"/>
          <w:szCs w:val="32"/>
        </w:rPr>
      </w:pPr>
      <w:r>
        <w:rPr>
          <w:rFonts w:eastAsia="仿宋_GB2312"/>
          <w:sz w:val="32"/>
          <w:szCs w:val="32"/>
        </w:rPr>
        <w:t>绩效指标：机关事业单位工资管理系统产出指标依据《广阳区2021年组织工作要点》在数量、质量、时效方面达到标准。对全区干部工资管理效率提升率。</w:t>
      </w:r>
    </w:p>
    <w:p>
      <w:pPr>
        <w:pStyle w:val="19"/>
        <w:spacing w:line="580" w:lineRule="exact"/>
        <w:rPr>
          <w:rFonts w:eastAsia="仿宋_GB2312"/>
          <w:sz w:val="32"/>
          <w:szCs w:val="32"/>
        </w:rPr>
      </w:pPr>
      <w:r>
        <w:rPr>
          <w:rFonts w:hint="eastAsia" w:eastAsia="仿宋_GB2312"/>
          <w:sz w:val="32"/>
          <w:szCs w:val="32"/>
        </w:rPr>
        <w:t>4、</w:t>
      </w:r>
      <w:r>
        <w:rPr>
          <w:rFonts w:eastAsia="仿宋_GB2312"/>
          <w:sz w:val="32"/>
          <w:szCs w:val="32"/>
        </w:rPr>
        <w:t>学习、培训经费</w:t>
      </w:r>
    </w:p>
    <w:p>
      <w:pPr>
        <w:pStyle w:val="19"/>
        <w:spacing w:line="580" w:lineRule="exact"/>
        <w:rPr>
          <w:rFonts w:eastAsia="仿宋_GB2312"/>
          <w:sz w:val="32"/>
          <w:szCs w:val="32"/>
        </w:rPr>
      </w:pPr>
      <w:r>
        <w:rPr>
          <w:rFonts w:eastAsia="仿宋_GB2312"/>
          <w:sz w:val="32"/>
          <w:szCs w:val="32"/>
        </w:rPr>
        <w:t>绩效目标：以2022年广阳区中心工作任务为重点，通过适时组织开展务实管用的专题培训，提高各级党员干部履职尽责能力和为民服务水平。</w:t>
      </w:r>
    </w:p>
    <w:p>
      <w:pPr>
        <w:pStyle w:val="19"/>
        <w:spacing w:line="580" w:lineRule="exact"/>
        <w:rPr>
          <w:rFonts w:eastAsia="仿宋_GB2312"/>
          <w:sz w:val="32"/>
          <w:szCs w:val="32"/>
        </w:rPr>
      </w:pPr>
      <w:r>
        <w:rPr>
          <w:rFonts w:eastAsia="仿宋_GB2312"/>
          <w:sz w:val="32"/>
          <w:szCs w:val="32"/>
        </w:rPr>
        <w:t>绩效指标：学习、培训经费产出指标依据廊发【2019】9号在数量、质量、时效方面达到标准。</w:t>
      </w:r>
    </w:p>
    <w:p>
      <w:pPr>
        <w:pStyle w:val="19"/>
        <w:spacing w:line="580" w:lineRule="exact"/>
        <w:rPr>
          <w:rFonts w:eastAsia="仿宋_GB2312"/>
          <w:sz w:val="32"/>
          <w:szCs w:val="32"/>
        </w:rPr>
      </w:pPr>
      <w:r>
        <w:rPr>
          <w:rFonts w:hint="eastAsia" w:eastAsia="仿宋_GB2312"/>
          <w:sz w:val="32"/>
          <w:szCs w:val="32"/>
        </w:rPr>
        <w:t>5、</w:t>
      </w:r>
      <w:r>
        <w:rPr>
          <w:rFonts w:eastAsia="仿宋_GB2312"/>
          <w:sz w:val="32"/>
          <w:szCs w:val="32"/>
        </w:rPr>
        <w:t>人才工作专项经费</w:t>
      </w:r>
    </w:p>
    <w:p>
      <w:pPr>
        <w:pStyle w:val="19"/>
        <w:spacing w:line="580" w:lineRule="exact"/>
        <w:rPr>
          <w:rFonts w:eastAsia="仿宋_GB2312"/>
          <w:sz w:val="32"/>
          <w:szCs w:val="32"/>
        </w:rPr>
      </w:pPr>
      <w:r>
        <w:rPr>
          <w:rFonts w:eastAsia="仿宋_GB2312"/>
          <w:sz w:val="32"/>
          <w:szCs w:val="32"/>
        </w:rPr>
        <w:t>绩效目标：通过项目的开展完成引进本科及以上学历人才1000名以上；引进“双一流”毕业生3人以上；引进“英才百人计划”高端人才50名左右。以达到扩充我区人才库的效果。</w:t>
      </w:r>
    </w:p>
    <w:p>
      <w:pPr>
        <w:pStyle w:val="19"/>
        <w:spacing w:line="580" w:lineRule="exact"/>
        <w:rPr>
          <w:rFonts w:hint="eastAsia" w:eastAsia="仿宋_GB2312"/>
          <w:sz w:val="32"/>
          <w:szCs w:val="32"/>
          <w:lang w:eastAsia="zh-CN"/>
        </w:rPr>
      </w:pPr>
      <w:r>
        <w:rPr>
          <w:rFonts w:eastAsia="仿宋_GB2312"/>
          <w:sz w:val="32"/>
          <w:szCs w:val="32"/>
        </w:rPr>
        <w:t>绩效指标：人才工作专项经费依据廊才〔2020〕6号数量、质量、时效方面达到标准。并且区域内专家为广阳发展</w:t>
      </w:r>
      <w:r>
        <w:rPr>
          <w:rFonts w:hint="eastAsia" w:eastAsia="仿宋_GB2312"/>
          <w:sz w:val="32"/>
          <w:szCs w:val="32"/>
          <w:lang w:eastAsia="zh-CN"/>
        </w:rPr>
        <w:t>作出贡献</w:t>
      </w:r>
    </w:p>
    <w:p>
      <w:pPr>
        <w:pStyle w:val="19"/>
        <w:spacing w:line="580" w:lineRule="exact"/>
        <w:rPr>
          <w:rFonts w:eastAsia="仿宋_GB2312"/>
          <w:sz w:val="32"/>
          <w:szCs w:val="32"/>
        </w:rPr>
      </w:pPr>
      <w:r>
        <w:rPr>
          <w:rFonts w:hint="eastAsia" w:eastAsia="仿宋_GB2312"/>
          <w:sz w:val="32"/>
          <w:szCs w:val="32"/>
        </w:rPr>
        <w:t>6、</w:t>
      </w:r>
      <w:r>
        <w:rPr>
          <w:rFonts w:eastAsia="仿宋_GB2312"/>
          <w:sz w:val="32"/>
          <w:szCs w:val="32"/>
        </w:rPr>
        <w:t>建国前入党无收入老党员生活补贴；建国前入党老党员、生活困难党员慰问金</w:t>
      </w:r>
    </w:p>
    <w:p>
      <w:pPr>
        <w:pStyle w:val="19"/>
        <w:spacing w:line="580" w:lineRule="exact"/>
        <w:rPr>
          <w:rFonts w:eastAsia="仿宋_GB2312"/>
          <w:sz w:val="32"/>
          <w:szCs w:val="32"/>
        </w:rPr>
      </w:pPr>
      <w:r>
        <w:rPr>
          <w:rFonts w:eastAsia="仿宋_GB2312"/>
          <w:sz w:val="32"/>
          <w:szCs w:val="32"/>
        </w:rPr>
        <w:t>绩效目标：通过项目的开展完成对2022年建国前入党老党员、离退休党员和生活困难党员的走访慰问工作。</w:t>
      </w:r>
    </w:p>
    <w:p>
      <w:pPr>
        <w:pStyle w:val="19"/>
        <w:spacing w:line="580" w:lineRule="exact"/>
        <w:rPr>
          <w:rFonts w:hint="eastAsia" w:eastAsia="仿宋_GB2312"/>
          <w:sz w:val="32"/>
          <w:szCs w:val="32"/>
          <w:lang w:eastAsia="zh-CN"/>
        </w:rPr>
      </w:pPr>
      <w:r>
        <w:rPr>
          <w:rFonts w:eastAsia="仿宋_GB2312"/>
          <w:sz w:val="32"/>
          <w:szCs w:val="32"/>
        </w:rPr>
        <w:t>绩效指标：建国前入党无收入老党员生活补贴；建国前入党老党员、生活困难党员慰问金依据廊组通字[2006]112号；廊组明字[2021] 20号在数量、质量、时效方面达到标准。并且对受益对象基本生活困难改善</w:t>
      </w:r>
      <w:r>
        <w:rPr>
          <w:rFonts w:hint="eastAsia" w:eastAsia="仿宋_GB2312"/>
          <w:sz w:val="32"/>
          <w:szCs w:val="32"/>
          <w:lang w:eastAsia="zh-CN"/>
        </w:rPr>
        <w:t>。</w:t>
      </w:r>
    </w:p>
    <w:p>
      <w:pPr>
        <w:pStyle w:val="19"/>
        <w:spacing w:line="580" w:lineRule="exact"/>
        <w:rPr>
          <w:rFonts w:eastAsia="仿宋_GB2312"/>
          <w:sz w:val="32"/>
          <w:szCs w:val="32"/>
        </w:rPr>
      </w:pPr>
      <w:r>
        <w:rPr>
          <w:rFonts w:hint="eastAsia" w:eastAsia="仿宋_GB2312"/>
          <w:sz w:val="32"/>
          <w:szCs w:val="32"/>
        </w:rPr>
        <w:t>7、</w:t>
      </w:r>
      <w:r>
        <w:rPr>
          <w:rFonts w:eastAsia="仿宋_GB2312"/>
          <w:sz w:val="32"/>
          <w:szCs w:val="32"/>
        </w:rPr>
        <w:t>党员教育培训经费</w:t>
      </w:r>
    </w:p>
    <w:p>
      <w:pPr>
        <w:pStyle w:val="19"/>
        <w:spacing w:line="580" w:lineRule="exact"/>
        <w:rPr>
          <w:rFonts w:eastAsia="仿宋_GB2312"/>
          <w:sz w:val="32"/>
          <w:szCs w:val="32"/>
        </w:rPr>
      </w:pPr>
      <w:r>
        <w:rPr>
          <w:rFonts w:eastAsia="仿宋_GB2312"/>
          <w:sz w:val="32"/>
          <w:szCs w:val="32"/>
        </w:rPr>
        <w:t>绩效目标：通过项目的开展完成对2022年党员教育培训工作。</w:t>
      </w:r>
    </w:p>
    <w:p>
      <w:pPr>
        <w:pStyle w:val="19"/>
        <w:spacing w:line="580" w:lineRule="exact"/>
        <w:rPr>
          <w:rFonts w:eastAsia="仿宋_GB2312"/>
          <w:sz w:val="32"/>
          <w:szCs w:val="32"/>
        </w:rPr>
      </w:pPr>
      <w:r>
        <w:rPr>
          <w:rFonts w:eastAsia="仿宋_GB2312"/>
          <w:sz w:val="32"/>
          <w:szCs w:val="32"/>
        </w:rPr>
        <w:t>绩效指标：党员教育培训经费依据廊组办字〔2021〕3号在数量、质量、时效方面达到标准。并且提高参训党员培训合格率</w:t>
      </w:r>
    </w:p>
    <w:p>
      <w:pPr>
        <w:pStyle w:val="19"/>
        <w:spacing w:line="580" w:lineRule="exact"/>
        <w:rPr>
          <w:rFonts w:eastAsia="仿宋_GB2312"/>
          <w:sz w:val="32"/>
          <w:szCs w:val="32"/>
        </w:rPr>
      </w:pPr>
      <w:r>
        <w:rPr>
          <w:rFonts w:hint="eastAsia" w:eastAsia="仿宋_GB2312"/>
          <w:sz w:val="32"/>
          <w:szCs w:val="32"/>
        </w:rPr>
        <w:t>8、</w:t>
      </w:r>
      <w:r>
        <w:rPr>
          <w:rFonts w:eastAsia="仿宋_GB2312"/>
          <w:sz w:val="32"/>
          <w:szCs w:val="32"/>
        </w:rPr>
        <w:t>2022年度社区基层党组织精细化星级管理星级津贴奖励</w:t>
      </w:r>
    </w:p>
    <w:p>
      <w:pPr>
        <w:pStyle w:val="19"/>
        <w:spacing w:line="580" w:lineRule="exact"/>
        <w:rPr>
          <w:rFonts w:eastAsia="仿宋_GB2312"/>
          <w:sz w:val="32"/>
          <w:szCs w:val="32"/>
        </w:rPr>
      </w:pPr>
      <w:r>
        <w:rPr>
          <w:rFonts w:eastAsia="仿宋_GB2312"/>
          <w:sz w:val="32"/>
          <w:szCs w:val="32"/>
        </w:rPr>
        <w:t>绩效目标：充分发挥社区党组织领导作用，有机联结单位、行业及各领域党组织，构建区域统筹、条块协同、上下联动、共建共享的城市基层党建工作新格局。</w:t>
      </w:r>
    </w:p>
    <w:p>
      <w:pPr>
        <w:pStyle w:val="19"/>
        <w:spacing w:line="580" w:lineRule="exact"/>
        <w:rPr>
          <w:rFonts w:eastAsia="仿宋_GB2312"/>
          <w:sz w:val="32"/>
          <w:szCs w:val="32"/>
        </w:rPr>
      </w:pPr>
      <w:r>
        <w:rPr>
          <w:rFonts w:eastAsia="仿宋_GB2312"/>
          <w:sz w:val="32"/>
          <w:szCs w:val="32"/>
        </w:rPr>
        <w:t>绩效指标：2022年度社区基层党组织精细化星级管理星级津贴奖励依据廊广发201915号在数量、质量、时效方面达到标准。并且对社区干部干事创业积极性有所提升</w:t>
      </w:r>
    </w:p>
    <w:p>
      <w:pPr>
        <w:pStyle w:val="19"/>
        <w:spacing w:line="580" w:lineRule="exact"/>
        <w:rPr>
          <w:rFonts w:eastAsia="仿宋_GB2312"/>
          <w:sz w:val="32"/>
          <w:szCs w:val="32"/>
        </w:rPr>
      </w:pPr>
      <w:r>
        <w:rPr>
          <w:rFonts w:hint="eastAsia" w:eastAsia="仿宋_GB2312"/>
          <w:sz w:val="32"/>
          <w:szCs w:val="32"/>
        </w:rPr>
        <w:t>9、</w:t>
      </w:r>
      <w:r>
        <w:rPr>
          <w:rFonts w:eastAsia="仿宋_GB2312"/>
          <w:sz w:val="32"/>
          <w:szCs w:val="32"/>
        </w:rPr>
        <w:t>非公企业和社会组织党建工作经费</w:t>
      </w:r>
    </w:p>
    <w:p>
      <w:pPr>
        <w:pStyle w:val="19"/>
        <w:spacing w:line="580" w:lineRule="exact"/>
        <w:rPr>
          <w:rFonts w:eastAsia="仿宋_GB2312"/>
          <w:sz w:val="32"/>
          <w:szCs w:val="32"/>
        </w:rPr>
      </w:pPr>
      <w:r>
        <w:rPr>
          <w:rFonts w:eastAsia="仿宋_GB2312"/>
          <w:sz w:val="32"/>
          <w:szCs w:val="32"/>
        </w:rPr>
        <w:t>绩效目标：落实非公经济和社会组织党建工作，不断扩大党的组织覆盖、工作覆盖，进一步增强党组织的创造力、凝聚力、战斗力。</w:t>
      </w:r>
    </w:p>
    <w:p>
      <w:pPr>
        <w:pStyle w:val="19"/>
        <w:spacing w:line="580" w:lineRule="exact"/>
        <w:rPr>
          <w:rFonts w:eastAsia="仿宋_GB2312"/>
          <w:sz w:val="32"/>
          <w:szCs w:val="32"/>
        </w:rPr>
      </w:pPr>
      <w:r>
        <w:rPr>
          <w:rFonts w:eastAsia="仿宋_GB2312"/>
          <w:sz w:val="32"/>
          <w:szCs w:val="32"/>
        </w:rPr>
        <w:t>绩效指标：非公企业和社会组织党建工作经费依据市委办《关于深化全市非公企业和社会组织党建工作的若干措施》在数量、质量、时效方面达到标准并且提高党建工作正常运转率</w:t>
      </w:r>
    </w:p>
    <w:p>
      <w:pPr>
        <w:pStyle w:val="19"/>
        <w:spacing w:line="580" w:lineRule="exact"/>
        <w:rPr>
          <w:rFonts w:eastAsia="仿宋_GB2312"/>
          <w:sz w:val="32"/>
          <w:szCs w:val="32"/>
        </w:rPr>
      </w:pPr>
      <w:r>
        <w:rPr>
          <w:rFonts w:hint="eastAsia" w:eastAsia="仿宋_GB2312"/>
          <w:sz w:val="32"/>
          <w:szCs w:val="32"/>
        </w:rPr>
        <w:t>10、</w:t>
      </w:r>
      <w:r>
        <w:rPr>
          <w:rFonts w:eastAsia="仿宋_GB2312"/>
          <w:sz w:val="32"/>
          <w:szCs w:val="32"/>
        </w:rPr>
        <w:t>城市基层党建工作专项经费</w:t>
      </w:r>
    </w:p>
    <w:p>
      <w:pPr>
        <w:pStyle w:val="19"/>
        <w:spacing w:line="580" w:lineRule="exact"/>
        <w:rPr>
          <w:rFonts w:eastAsia="仿宋_GB2312"/>
          <w:sz w:val="32"/>
          <w:szCs w:val="32"/>
        </w:rPr>
      </w:pPr>
      <w:r>
        <w:rPr>
          <w:rFonts w:eastAsia="仿宋_GB2312"/>
          <w:sz w:val="32"/>
          <w:szCs w:val="32"/>
        </w:rPr>
        <w:t>绩效目标：加强和改进城市基层党的建设工作，强化城市基层党建工作专项经费保障能力，最大程度的城市基层党建工作正常有效运转，确保城市基层党建全面进步全面过硬。</w:t>
      </w:r>
    </w:p>
    <w:p>
      <w:pPr>
        <w:pStyle w:val="19"/>
        <w:spacing w:line="580" w:lineRule="exact"/>
        <w:rPr>
          <w:rFonts w:eastAsia="仿宋_GB2312"/>
          <w:sz w:val="32"/>
          <w:szCs w:val="32"/>
        </w:rPr>
      </w:pPr>
      <w:r>
        <w:rPr>
          <w:rFonts w:eastAsia="仿宋_GB2312"/>
          <w:sz w:val="32"/>
          <w:szCs w:val="32"/>
        </w:rPr>
        <w:t>绩效指标：城市基层党建工作专项经费产出指标依据廊坊市委办公室《印发&lt;关于深化全市城市基层党建工作的若干措施&gt;的通知》数量、质量、时效方面达到标准。并且提高党群服务中心群众知晓率</w:t>
      </w:r>
    </w:p>
    <w:p>
      <w:pPr>
        <w:pStyle w:val="19"/>
        <w:spacing w:line="580" w:lineRule="exact"/>
        <w:rPr>
          <w:rFonts w:eastAsia="仿宋_GB2312"/>
          <w:sz w:val="32"/>
          <w:szCs w:val="32"/>
        </w:rPr>
      </w:pPr>
      <w:r>
        <w:rPr>
          <w:rFonts w:hint="eastAsia" w:eastAsia="仿宋_GB2312"/>
          <w:sz w:val="32"/>
          <w:szCs w:val="32"/>
        </w:rPr>
        <w:t>11、</w:t>
      </w:r>
      <w:r>
        <w:rPr>
          <w:rFonts w:eastAsia="仿宋_GB2312"/>
          <w:sz w:val="32"/>
          <w:szCs w:val="32"/>
        </w:rPr>
        <w:t>2022年社区“两委”干部培训经费</w:t>
      </w:r>
    </w:p>
    <w:p>
      <w:pPr>
        <w:pStyle w:val="19"/>
        <w:spacing w:line="580" w:lineRule="exact"/>
        <w:rPr>
          <w:rFonts w:eastAsia="仿宋_GB2312"/>
          <w:sz w:val="32"/>
          <w:szCs w:val="32"/>
        </w:rPr>
      </w:pPr>
      <w:r>
        <w:rPr>
          <w:rFonts w:eastAsia="仿宋_GB2312"/>
          <w:sz w:val="32"/>
          <w:szCs w:val="32"/>
        </w:rPr>
        <w:t>绩效目标：对省级“万人示范培训”工作进行兜底性培训。</w:t>
      </w:r>
    </w:p>
    <w:p>
      <w:pPr>
        <w:pStyle w:val="19"/>
        <w:spacing w:line="580" w:lineRule="exact"/>
        <w:rPr>
          <w:rFonts w:eastAsia="仿宋_GB2312"/>
          <w:sz w:val="32"/>
          <w:szCs w:val="32"/>
        </w:rPr>
      </w:pPr>
      <w:r>
        <w:rPr>
          <w:rFonts w:eastAsia="仿宋_GB2312"/>
          <w:sz w:val="32"/>
          <w:szCs w:val="32"/>
        </w:rPr>
        <w:t>绩效指标：2022年社区“两委”干部培训经费产出指标依据（廊组发&lt;2021&gt;5号）数量、质量、时效方面达到标准。并且提高社区“两委”干部履职能力提升率</w:t>
      </w:r>
    </w:p>
    <w:p>
      <w:pPr>
        <w:pStyle w:val="19"/>
        <w:spacing w:line="580" w:lineRule="exact"/>
        <w:rPr>
          <w:rFonts w:eastAsia="仿宋_GB2312"/>
          <w:sz w:val="32"/>
          <w:szCs w:val="32"/>
        </w:rPr>
      </w:pPr>
      <w:r>
        <w:rPr>
          <w:rFonts w:hint="eastAsia" w:eastAsia="仿宋_GB2312"/>
          <w:sz w:val="32"/>
          <w:szCs w:val="32"/>
        </w:rPr>
        <w:t>12、</w:t>
      </w:r>
      <w:r>
        <w:rPr>
          <w:rFonts w:eastAsia="仿宋_GB2312"/>
          <w:sz w:val="32"/>
          <w:szCs w:val="32"/>
        </w:rPr>
        <w:t>正常村干部离任补贴</w:t>
      </w:r>
    </w:p>
    <w:p>
      <w:pPr>
        <w:pStyle w:val="19"/>
        <w:spacing w:line="580" w:lineRule="exact"/>
        <w:rPr>
          <w:rFonts w:eastAsia="仿宋_GB2312"/>
          <w:sz w:val="32"/>
          <w:szCs w:val="32"/>
        </w:rPr>
      </w:pPr>
      <w:r>
        <w:rPr>
          <w:rFonts w:eastAsia="仿宋_GB2312"/>
          <w:sz w:val="32"/>
          <w:szCs w:val="32"/>
        </w:rPr>
        <w:t>绩效目标：妥善解决村党组织书记、村委会主任“退后有所养”的问题,2021年年底前为符合条件正常离任村干部发放离任补贴。</w:t>
      </w:r>
    </w:p>
    <w:p>
      <w:pPr>
        <w:pStyle w:val="19"/>
        <w:spacing w:line="580" w:lineRule="exact"/>
        <w:rPr>
          <w:rFonts w:eastAsia="仿宋_GB2312"/>
          <w:sz w:val="32"/>
          <w:szCs w:val="32"/>
        </w:rPr>
      </w:pPr>
      <w:r>
        <w:rPr>
          <w:rFonts w:eastAsia="仿宋_GB2312"/>
          <w:sz w:val="32"/>
          <w:szCs w:val="32"/>
        </w:rPr>
        <w:t>绩效指标：正常村干部离任补贴离任村干部基本生活保障率准。提高离任村干部基本生活保障率</w:t>
      </w:r>
    </w:p>
    <w:p>
      <w:pPr>
        <w:pStyle w:val="19"/>
        <w:spacing w:line="580" w:lineRule="exact"/>
        <w:rPr>
          <w:rFonts w:eastAsia="仿宋_GB2312"/>
          <w:sz w:val="32"/>
          <w:szCs w:val="32"/>
        </w:rPr>
      </w:pPr>
      <w:r>
        <w:rPr>
          <w:rFonts w:hint="eastAsia" w:eastAsia="仿宋_GB2312"/>
          <w:sz w:val="32"/>
          <w:szCs w:val="32"/>
        </w:rPr>
        <w:t>13、</w:t>
      </w:r>
      <w:r>
        <w:rPr>
          <w:rFonts w:eastAsia="仿宋_GB2312"/>
          <w:sz w:val="32"/>
          <w:szCs w:val="32"/>
        </w:rPr>
        <w:t>2022年度农村基层党组织精细化星级管理星级津贴奖励</w:t>
      </w:r>
    </w:p>
    <w:p>
      <w:pPr>
        <w:pStyle w:val="19"/>
        <w:spacing w:line="580" w:lineRule="exact"/>
        <w:rPr>
          <w:rFonts w:eastAsia="仿宋_GB2312"/>
          <w:sz w:val="32"/>
          <w:szCs w:val="32"/>
        </w:rPr>
      </w:pPr>
      <w:r>
        <w:rPr>
          <w:rFonts w:eastAsia="仿宋_GB2312"/>
          <w:sz w:val="32"/>
          <w:szCs w:val="32"/>
        </w:rPr>
        <w:t>绩效目标：充分发挥村党组织领导作用，有机联结单位、行业及各领域党组织，构建区域统筹、条块协同、上下联动、共建共享的城市基层党建工作新格局。</w:t>
      </w:r>
    </w:p>
    <w:p>
      <w:pPr>
        <w:pStyle w:val="19"/>
        <w:spacing w:line="580" w:lineRule="exact"/>
        <w:rPr>
          <w:rFonts w:eastAsia="仿宋_GB2312"/>
          <w:sz w:val="32"/>
          <w:szCs w:val="32"/>
        </w:rPr>
      </w:pPr>
      <w:r>
        <w:rPr>
          <w:rFonts w:eastAsia="仿宋_GB2312"/>
          <w:sz w:val="32"/>
          <w:szCs w:val="32"/>
        </w:rPr>
        <w:t>绩效指标： 2022年度农村基层党组织精细化星级管理星级津贴奖励依据</w:t>
      </w:r>
      <w:r>
        <w:rPr>
          <w:rFonts w:hint="eastAsia" w:eastAsia="仿宋_GB2312"/>
          <w:sz w:val="32"/>
          <w:szCs w:val="32"/>
        </w:rPr>
        <w:t>：</w:t>
      </w:r>
      <w:r>
        <w:rPr>
          <w:rFonts w:eastAsia="仿宋_GB2312"/>
          <w:sz w:val="32"/>
          <w:szCs w:val="32"/>
        </w:rPr>
        <w:t>廊广发2019 14号数量、质量、时效方面达到标准。并且提高村街干部干事创业积极性提升率</w:t>
      </w:r>
    </w:p>
    <w:p>
      <w:pPr>
        <w:pStyle w:val="19"/>
        <w:spacing w:line="580" w:lineRule="exact"/>
        <w:rPr>
          <w:rFonts w:eastAsia="仿宋_GB2312"/>
          <w:sz w:val="32"/>
          <w:szCs w:val="32"/>
        </w:rPr>
      </w:pPr>
      <w:r>
        <w:rPr>
          <w:rFonts w:hint="eastAsia" w:eastAsia="仿宋_GB2312"/>
          <w:sz w:val="32"/>
          <w:szCs w:val="32"/>
        </w:rPr>
        <w:t>14、</w:t>
      </w:r>
      <w:r>
        <w:rPr>
          <w:rFonts w:eastAsia="仿宋_GB2312"/>
          <w:sz w:val="32"/>
          <w:szCs w:val="32"/>
        </w:rPr>
        <w:t>2022年村“两委”干部培训经费</w:t>
      </w:r>
    </w:p>
    <w:p>
      <w:pPr>
        <w:pStyle w:val="19"/>
        <w:spacing w:line="580" w:lineRule="exact"/>
        <w:rPr>
          <w:rFonts w:eastAsia="仿宋_GB2312"/>
          <w:sz w:val="32"/>
          <w:szCs w:val="32"/>
        </w:rPr>
      </w:pPr>
      <w:r>
        <w:rPr>
          <w:rFonts w:eastAsia="仿宋_GB2312"/>
          <w:sz w:val="32"/>
          <w:szCs w:val="32"/>
        </w:rPr>
        <w:t>绩效目标：对省级“万人示范培训”工作进行兜底性培训。</w:t>
      </w:r>
    </w:p>
    <w:p>
      <w:pPr>
        <w:pStyle w:val="19"/>
        <w:spacing w:line="580" w:lineRule="exact"/>
        <w:rPr>
          <w:rFonts w:eastAsia="仿宋_GB2312"/>
          <w:sz w:val="32"/>
          <w:szCs w:val="32"/>
        </w:rPr>
      </w:pPr>
      <w:r>
        <w:rPr>
          <w:rFonts w:eastAsia="仿宋_GB2312"/>
          <w:sz w:val="32"/>
          <w:szCs w:val="32"/>
        </w:rPr>
        <w:t>绩效指标：2022年村“两委”干部培训经费依据（廊组发&lt;2021&gt;5号）数量、质量、时效方面达到标准。并且村“两委”干部履职能力提升率</w:t>
      </w:r>
    </w:p>
    <w:p>
      <w:pPr>
        <w:pStyle w:val="19"/>
        <w:spacing w:line="580" w:lineRule="exact"/>
        <w:rPr>
          <w:rFonts w:eastAsia="仿宋_GB2312"/>
          <w:sz w:val="32"/>
          <w:szCs w:val="32"/>
        </w:rPr>
      </w:pPr>
      <w:r>
        <w:rPr>
          <w:rFonts w:hint="eastAsia" w:eastAsia="仿宋_GB2312"/>
          <w:sz w:val="32"/>
          <w:szCs w:val="32"/>
        </w:rPr>
        <w:t>15、</w:t>
      </w:r>
      <w:r>
        <w:rPr>
          <w:rFonts w:eastAsia="仿宋_GB2312"/>
          <w:sz w:val="32"/>
          <w:szCs w:val="32"/>
        </w:rPr>
        <w:t>2021年度区委管理干部、科级以下公务员及党群、政法系统和人大、政协机关科级以下其他工作人员考核奖金</w:t>
      </w:r>
    </w:p>
    <w:p>
      <w:pPr>
        <w:pStyle w:val="19"/>
        <w:spacing w:line="580" w:lineRule="exact"/>
        <w:rPr>
          <w:rFonts w:eastAsia="仿宋_GB2312"/>
          <w:sz w:val="32"/>
          <w:szCs w:val="32"/>
        </w:rPr>
      </w:pPr>
      <w:r>
        <w:rPr>
          <w:rFonts w:eastAsia="仿宋_GB2312"/>
          <w:sz w:val="32"/>
          <w:szCs w:val="32"/>
        </w:rPr>
        <w:t>绩效目标：通过项目的开展，使广阳区干部工作积极性得到提高，营造出争当先进、创先争优良好氛围。</w:t>
      </w:r>
    </w:p>
    <w:p>
      <w:pPr>
        <w:pStyle w:val="19"/>
        <w:spacing w:line="580" w:lineRule="exact"/>
        <w:rPr>
          <w:rFonts w:eastAsia="仿宋_GB2312"/>
          <w:sz w:val="32"/>
          <w:szCs w:val="32"/>
        </w:rPr>
      </w:pPr>
      <w:r>
        <w:rPr>
          <w:rFonts w:eastAsia="仿宋_GB2312"/>
          <w:sz w:val="32"/>
          <w:szCs w:val="32"/>
        </w:rPr>
        <w:t>绩效指标：2021年度区委管理干部、科级以下公务员及党群、政法系统和人大、政协机关科级以下其他工作人员考核奖金依据党政领导干部考核工作条例、公务员奖励规定（试行）、广阳区委、广阳区政府《关于2021年度乡科级领导班子和区委管理干部考察考核情况的通报》在数量、质量、时效方面达到标准。广大党员干部工作积极性提升率</w:t>
      </w:r>
    </w:p>
    <w:p>
      <w:pPr>
        <w:pStyle w:val="19"/>
        <w:spacing w:line="580" w:lineRule="exact"/>
        <w:rPr>
          <w:rFonts w:eastAsia="仿宋_GB2312"/>
          <w:sz w:val="32"/>
          <w:szCs w:val="32"/>
        </w:rPr>
      </w:pPr>
      <w:r>
        <w:rPr>
          <w:rFonts w:hint="eastAsia" w:eastAsia="仿宋_GB2312"/>
          <w:sz w:val="32"/>
          <w:szCs w:val="32"/>
        </w:rPr>
        <w:t>16、</w:t>
      </w:r>
      <w:r>
        <w:rPr>
          <w:rFonts w:eastAsia="仿宋_GB2312"/>
          <w:sz w:val="32"/>
          <w:szCs w:val="32"/>
        </w:rPr>
        <w:t>全区重点工作大督查活动经费</w:t>
      </w:r>
    </w:p>
    <w:p>
      <w:pPr>
        <w:pStyle w:val="19"/>
        <w:spacing w:line="580" w:lineRule="exact"/>
        <w:rPr>
          <w:rFonts w:eastAsia="仿宋_GB2312"/>
          <w:sz w:val="32"/>
          <w:szCs w:val="32"/>
        </w:rPr>
      </w:pPr>
      <w:r>
        <w:rPr>
          <w:rFonts w:eastAsia="仿宋_GB2312"/>
          <w:sz w:val="32"/>
          <w:szCs w:val="32"/>
        </w:rPr>
        <w:t>绩效目标：通过项目的开展完成对全区各单位各项重点工作推动落实情况进行全面督查、精准督查、定期督查，深入实地一线、基层一线、工作开展一线，采取实地走访、听取汇报、开展座谈等手段开展督查，按照年初确定的督查重点和计划开展全年督查，确保全区2022年各项重点工作有序、有效、按时、按质、保质、保量完成。</w:t>
      </w:r>
    </w:p>
    <w:p>
      <w:pPr>
        <w:pStyle w:val="19"/>
        <w:spacing w:line="580" w:lineRule="exact"/>
        <w:rPr>
          <w:rFonts w:eastAsia="仿宋_GB2312"/>
          <w:sz w:val="32"/>
          <w:szCs w:val="32"/>
        </w:rPr>
      </w:pPr>
      <w:r>
        <w:rPr>
          <w:rFonts w:eastAsia="仿宋_GB2312"/>
          <w:sz w:val="32"/>
          <w:szCs w:val="32"/>
        </w:rPr>
        <w:t>绩效指标：全区重点工作大督查活动经费依据廊广字〔2017〕58号在数量、质量、时效方面达到标准。提高督查问题整改率</w:t>
      </w:r>
    </w:p>
    <w:p>
      <w:pPr>
        <w:pStyle w:val="19"/>
        <w:spacing w:line="580" w:lineRule="exact"/>
        <w:rPr>
          <w:rFonts w:eastAsia="仿宋_GB2312"/>
          <w:sz w:val="32"/>
          <w:szCs w:val="32"/>
        </w:rPr>
      </w:pPr>
      <w:r>
        <w:rPr>
          <w:rFonts w:hint="eastAsia" w:eastAsia="仿宋_GB2312"/>
          <w:sz w:val="32"/>
          <w:szCs w:val="32"/>
        </w:rPr>
        <w:t>17、</w:t>
      </w:r>
      <w:r>
        <w:rPr>
          <w:rFonts w:eastAsia="仿宋_GB2312"/>
          <w:sz w:val="32"/>
          <w:szCs w:val="32"/>
        </w:rPr>
        <w:t>加强社区楼门长建设经费</w:t>
      </w:r>
    </w:p>
    <w:p>
      <w:pPr>
        <w:pStyle w:val="19"/>
        <w:spacing w:line="580" w:lineRule="exact"/>
        <w:rPr>
          <w:rFonts w:eastAsia="仿宋_GB2312"/>
          <w:sz w:val="32"/>
          <w:szCs w:val="32"/>
        </w:rPr>
      </w:pPr>
      <w:r>
        <w:rPr>
          <w:rFonts w:eastAsia="仿宋_GB2312"/>
          <w:sz w:val="32"/>
          <w:szCs w:val="32"/>
        </w:rPr>
        <w:t>绩效目标：加强社区楼门长建设经费以基层党建为引领，不断加强完善社区治理体系建设，推进社会治理重心向基层下移，选优配强社区楼门长队伍，形成“街道—社区—小区—楼栋—单元”的五级基层治理网格体系，实现政府治理和社会调节、居民参与的良性互动，完善网格化治理格局，努力把社区打造成“管理服务的平台、居民生活的依托、构建和谐的基础”，不断促进基层社会治理水平的有效提升。</w:t>
      </w:r>
    </w:p>
    <w:p>
      <w:pPr>
        <w:pStyle w:val="19"/>
        <w:spacing w:line="580" w:lineRule="exact"/>
        <w:rPr>
          <w:rFonts w:eastAsia="仿宋_GB2312"/>
          <w:sz w:val="32"/>
          <w:szCs w:val="32"/>
        </w:rPr>
      </w:pPr>
      <w:r>
        <w:rPr>
          <w:rFonts w:hint="eastAsia" w:eastAsia="仿宋_GB2312"/>
          <w:sz w:val="32"/>
          <w:szCs w:val="32"/>
        </w:rPr>
        <w:t>18、</w:t>
      </w:r>
      <w:r>
        <w:rPr>
          <w:rFonts w:eastAsia="仿宋_GB2312"/>
          <w:sz w:val="32"/>
          <w:szCs w:val="32"/>
        </w:rPr>
        <w:t>党员干部现代远程教育工作</w:t>
      </w:r>
    </w:p>
    <w:p>
      <w:pPr>
        <w:pStyle w:val="19"/>
        <w:spacing w:line="580" w:lineRule="exact"/>
        <w:rPr>
          <w:rFonts w:eastAsia="仿宋_GB2312"/>
          <w:sz w:val="32"/>
          <w:szCs w:val="32"/>
        </w:rPr>
      </w:pPr>
      <w:r>
        <w:rPr>
          <w:rFonts w:eastAsia="仿宋_GB2312"/>
          <w:sz w:val="32"/>
          <w:szCs w:val="32"/>
        </w:rPr>
        <w:t>绩效目标：通过远程教育网络，加强农村党员干部现代远程教育和党员电化教育；拍摄制作党员电教片，宣传先进典型、讲述党的故事，为基层党组织和广大党员提供丰富优质学习资源。</w:t>
      </w:r>
    </w:p>
    <w:p>
      <w:pPr>
        <w:pStyle w:val="19"/>
        <w:spacing w:line="580" w:lineRule="exact"/>
        <w:rPr>
          <w:rFonts w:eastAsia="仿宋_GB2312"/>
          <w:sz w:val="32"/>
          <w:szCs w:val="32"/>
        </w:rPr>
      </w:pPr>
      <w:r>
        <w:rPr>
          <w:rFonts w:eastAsia="仿宋_GB2312"/>
          <w:sz w:val="32"/>
          <w:szCs w:val="32"/>
        </w:rPr>
        <w:t>绩效指标：依据中共河北省委组织部《关于印发&lt;河北省党员干部现代远程教育系统改版升级工作实施方案&gt;的通知》；中共廊坊市委组织部《关于印发&lt;廊坊市“党课开讲啦”活动实施方案&gt;的通知》；中共廊坊市广阳区委组织部《关于印发&lt;广阳区2020年组织工作要点&gt;的通知》在数量、质量、时效方面达到标准。提高先进典型影响力</w:t>
      </w:r>
      <w:r>
        <w:rPr>
          <w:rFonts w:hint="eastAsia" w:eastAsia="仿宋_GB2312"/>
          <w:sz w:val="32"/>
          <w:szCs w:val="32"/>
        </w:rPr>
        <w:t>。</w:t>
      </w:r>
    </w:p>
    <w:p>
      <w:pPr>
        <w:pStyle w:val="19"/>
        <w:spacing w:line="580" w:lineRule="exact"/>
        <w:rPr>
          <w:rFonts w:hint="eastAsia" w:ascii="楷体_GB2312" w:hAnsi="Calibri" w:eastAsia="楷体_GB2312" w:cs="Times New Roman"/>
          <w:b/>
          <w:kern w:val="2"/>
          <w:sz w:val="32"/>
          <w:szCs w:val="32"/>
          <w:lang w:val="en-US" w:eastAsia="zh-CN" w:bidi="ar-SA"/>
        </w:rPr>
      </w:pPr>
      <w:r>
        <w:rPr>
          <w:rFonts w:hint="eastAsia" w:ascii="楷体_GB2312" w:hAnsi="Calibri" w:eastAsia="楷体_GB2312" w:cs="Times New Roman"/>
          <w:b/>
          <w:kern w:val="2"/>
          <w:sz w:val="32"/>
          <w:szCs w:val="32"/>
          <w:lang w:val="en-US" w:eastAsia="zh-CN" w:bidi="ar-SA"/>
        </w:rPr>
        <w:t>（三）工作保障措施</w:t>
      </w:r>
    </w:p>
    <w:p>
      <w:pPr>
        <w:pStyle w:val="19"/>
        <w:spacing w:line="580" w:lineRule="exact"/>
        <w:rPr>
          <w:rFonts w:eastAsia="仿宋_GB2312"/>
          <w:sz w:val="32"/>
          <w:szCs w:val="32"/>
        </w:rPr>
      </w:pPr>
      <w:r>
        <w:rPr>
          <w:rFonts w:eastAsia="仿宋_GB2312"/>
          <w:sz w:val="32"/>
          <w:szCs w:val="32"/>
        </w:rPr>
        <w:t>为进一步规范财务活动行为，有效防范财务风险，确保资金使用安全、规范，提高我</w:t>
      </w:r>
      <w:r>
        <w:rPr>
          <w:rFonts w:hint="eastAsia" w:eastAsia="仿宋_GB2312"/>
          <w:sz w:val="32"/>
          <w:szCs w:val="32"/>
          <w:lang w:eastAsia="zh-CN"/>
        </w:rPr>
        <w:t>单位</w:t>
      </w:r>
      <w:r>
        <w:rPr>
          <w:rFonts w:eastAsia="仿宋_GB2312"/>
          <w:sz w:val="32"/>
          <w:szCs w:val="32"/>
        </w:rPr>
        <w:t>（单位）整体绩效目标，在原有的财务制度的基础上进行优化完善，规范了各项管理。具体措施如下：</w:t>
      </w:r>
    </w:p>
    <w:p>
      <w:pPr>
        <w:pStyle w:val="19"/>
        <w:spacing w:line="580" w:lineRule="exact"/>
        <w:rPr>
          <w:rFonts w:eastAsia="仿宋_GB2312"/>
          <w:sz w:val="32"/>
          <w:szCs w:val="32"/>
        </w:rPr>
      </w:pPr>
      <w:r>
        <w:rPr>
          <w:rFonts w:hint="eastAsia" w:eastAsia="仿宋_GB2312"/>
          <w:sz w:val="32"/>
          <w:szCs w:val="32"/>
        </w:rPr>
        <w:t>1</w:t>
      </w:r>
      <w:r>
        <w:rPr>
          <w:rFonts w:eastAsia="仿宋_GB2312"/>
          <w:sz w:val="32"/>
          <w:szCs w:val="32"/>
        </w:rPr>
        <w:t>、完善制度建设</w:t>
      </w:r>
    </w:p>
    <w:p>
      <w:pPr>
        <w:pStyle w:val="19"/>
        <w:spacing w:line="580" w:lineRule="exact"/>
        <w:rPr>
          <w:rFonts w:eastAsia="仿宋_GB2312"/>
          <w:sz w:val="32"/>
          <w:szCs w:val="32"/>
        </w:rPr>
      </w:pPr>
      <w:r>
        <w:rPr>
          <w:rFonts w:eastAsia="仿宋_GB2312"/>
          <w:sz w:val="32"/>
          <w:szCs w:val="32"/>
        </w:rPr>
        <w:t>加强制度建设，用制度管人管事。我单位结合工作实际修订了《财务管理制度》、《资产管理办法》等，通过不断建立健全各项规章制度，为审计机关财务管理的制度化、科学化和规范化提供有力保障，强化财政履约验收，确保财政资金发挥应有的效益。</w:t>
      </w:r>
    </w:p>
    <w:p>
      <w:pPr>
        <w:pStyle w:val="19"/>
        <w:spacing w:line="580" w:lineRule="exact"/>
        <w:rPr>
          <w:rFonts w:eastAsia="仿宋_GB2312"/>
          <w:sz w:val="32"/>
          <w:szCs w:val="32"/>
        </w:rPr>
      </w:pPr>
      <w:r>
        <w:rPr>
          <w:rFonts w:hint="eastAsia" w:eastAsia="仿宋_GB2312"/>
          <w:sz w:val="32"/>
          <w:szCs w:val="32"/>
        </w:rPr>
        <w:t>2</w:t>
      </w:r>
      <w:r>
        <w:rPr>
          <w:rFonts w:eastAsia="仿宋_GB2312"/>
          <w:sz w:val="32"/>
          <w:szCs w:val="32"/>
        </w:rPr>
        <w:t>、加强支出管理</w:t>
      </w:r>
    </w:p>
    <w:p>
      <w:pPr>
        <w:pStyle w:val="19"/>
        <w:spacing w:line="580" w:lineRule="exact"/>
        <w:rPr>
          <w:rFonts w:eastAsia="仿宋_GB2312"/>
          <w:sz w:val="32"/>
          <w:szCs w:val="32"/>
        </w:rPr>
      </w:pPr>
      <w:r>
        <w:rPr>
          <w:rFonts w:eastAsia="仿宋_GB2312"/>
          <w:sz w:val="32"/>
          <w:szCs w:val="32"/>
        </w:rPr>
        <w:t>一是执行经费管理制度，加强费用报销审核，切实做到支出合规、手续齐全、凭证真实有效；二是强化项目管理，坚持专项资金“谁主管、谁负责”的管理原则，各股室自行准备项目申报及审核材料，由办公室财务人员审核通过后报财政局审核，审核通过后财政</w:t>
      </w:r>
      <w:r>
        <w:rPr>
          <w:rFonts w:hint="eastAsia" w:eastAsia="仿宋_GB2312"/>
          <w:sz w:val="32"/>
          <w:szCs w:val="32"/>
          <w:lang w:eastAsia="zh-CN"/>
        </w:rPr>
        <w:t>单位</w:t>
      </w:r>
      <w:r>
        <w:rPr>
          <w:rFonts w:eastAsia="仿宋_GB2312"/>
          <w:sz w:val="32"/>
          <w:szCs w:val="32"/>
        </w:rPr>
        <w:t>按规定拨付资金。同时，财政局会同主管</w:t>
      </w:r>
      <w:r>
        <w:rPr>
          <w:rFonts w:hint="eastAsia" w:eastAsia="仿宋_GB2312"/>
          <w:sz w:val="32"/>
          <w:szCs w:val="32"/>
          <w:lang w:eastAsia="zh-CN"/>
        </w:rPr>
        <w:t>单位</w:t>
      </w:r>
      <w:r>
        <w:rPr>
          <w:rFonts w:eastAsia="仿宋_GB2312"/>
          <w:sz w:val="32"/>
          <w:szCs w:val="32"/>
        </w:rPr>
        <w:t>不定期监督检查项目资金实施进度和资金使用情况，每年抽样进行绩效评估，对查出的问题及时提出处理意见和改进措施。</w:t>
      </w:r>
    </w:p>
    <w:p>
      <w:pPr>
        <w:pStyle w:val="19"/>
        <w:spacing w:line="580" w:lineRule="exact"/>
        <w:rPr>
          <w:rFonts w:eastAsia="仿宋_GB2312"/>
          <w:sz w:val="32"/>
          <w:szCs w:val="32"/>
        </w:rPr>
      </w:pPr>
      <w:r>
        <w:rPr>
          <w:rFonts w:hint="eastAsia" w:eastAsia="仿宋_GB2312"/>
          <w:sz w:val="32"/>
          <w:szCs w:val="32"/>
        </w:rPr>
        <w:t>3</w:t>
      </w:r>
      <w:r>
        <w:rPr>
          <w:rFonts w:eastAsia="仿宋_GB2312"/>
          <w:sz w:val="32"/>
          <w:szCs w:val="32"/>
        </w:rPr>
        <w:t>、加强绩效运行监控</w:t>
      </w:r>
    </w:p>
    <w:p>
      <w:pPr>
        <w:pStyle w:val="19"/>
        <w:spacing w:line="580" w:lineRule="exact"/>
        <w:rPr>
          <w:rFonts w:eastAsia="仿宋_GB2312"/>
          <w:sz w:val="32"/>
          <w:szCs w:val="32"/>
        </w:rPr>
      </w:pPr>
      <w:r>
        <w:rPr>
          <w:rFonts w:eastAsia="仿宋_GB2312"/>
          <w:sz w:val="32"/>
          <w:szCs w:val="32"/>
        </w:rPr>
        <w:t>为规范绩效运行监控管理，落实绩效主体责任，我单位高效推进预算绩效运行监控工作，增强预算执行的科学性、合理性、规范性，提高财政资金使用绩效。一是监控范围全覆盖，按照“全面覆盖、突出重点”的原则，明确监控范围，对纳入预算绩效管理系统中的</w:t>
      </w:r>
      <w:r>
        <w:rPr>
          <w:rFonts w:hint="eastAsia" w:eastAsia="仿宋_GB2312"/>
          <w:sz w:val="32"/>
          <w:szCs w:val="32"/>
          <w:lang w:eastAsia="zh-CN"/>
        </w:rPr>
        <w:t>单位</w:t>
      </w:r>
      <w:r>
        <w:rPr>
          <w:rFonts w:eastAsia="仿宋_GB2312"/>
          <w:sz w:val="32"/>
          <w:szCs w:val="32"/>
        </w:rPr>
        <w:t>整体支出和项目支出，全面开展预算执行情况和绩效目标实现情况动态监控跟踪管理；二是优化填报途径，由传统的线下纸质填报转变为线上绩效系统填报，依托预算绩效管理系统进行绩效运行监控工作，进一步提高数据准确性和工作效率，并将运行监控结果报财政局审核。三是强化监控结果应用，预算单位通过绩效监控信息，深入分析预算执行进度、绩效目标实现程度等情况，对偏离绩效目标的原因进行分析，对全年绩效目标完成情况进行预计。</w:t>
      </w:r>
    </w:p>
    <w:p>
      <w:pPr>
        <w:pStyle w:val="19"/>
        <w:spacing w:line="580" w:lineRule="exact"/>
        <w:rPr>
          <w:rFonts w:eastAsia="仿宋_GB2312"/>
          <w:sz w:val="32"/>
          <w:szCs w:val="32"/>
        </w:rPr>
      </w:pPr>
      <w:r>
        <w:rPr>
          <w:rFonts w:hint="eastAsia" w:eastAsia="仿宋_GB2312"/>
          <w:sz w:val="32"/>
          <w:szCs w:val="32"/>
        </w:rPr>
        <w:t>4</w:t>
      </w:r>
      <w:r>
        <w:rPr>
          <w:rFonts w:eastAsia="仿宋_GB2312"/>
          <w:sz w:val="32"/>
          <w:szCs w:val="32"/>
        </w:rPr>
        <w:t>、做好绩效自评</w:t>
      </w:r>
    </w:p>
    <w:p>
      <w:pPr>
        <w:pStyle w:val="19"/>
        <w:spacing w:line="580" w:lineRule="exact"/>
        <w:rPr>
          <w:rFonts w:eastAsia="仿宋_GB2312"/>
          <w:sz w:val="32"/>
          <w:szCs w:val="32"/>
        </w:rPr>
      </w:pPr>
      <w:r>
        <w:rPr>
          <w:rFonts w:eastAsia="仿宋_GB2312"/>
          <w:sz w:val="32"/>
          <w:szCs w:val="32"/>
        </w:rPr>
        <w:t>依照《广阳区财政局关于开展</w:t>
      </w:r>
      <w:r>
        <w:rPr>
          <w:rFonts w:hint="eastAsia" w:eastAsia="仿宋_GB2312"/>
          <w:sz w:val="32"/>
          <w:szCs w:val="32"/>
          <w:lang w:eastAsia="zh-CN"/>
        </w:rPr>
        <w:t>单位</w:t>
      </w:r>
      <w:r>
        <w:rPr>
          <w:rFonts w:eastAsia="仿宋_GB2312"/>
          <w:sz w:val="32"/>
          <w:szCs w:val="32"/>
        </w:rPr>
        <w:t>整体绩效自评》的通知，我单位每年年底对本单位执行财务纪律及有关政策情况和内部财务管理制度的建立健全、执行情况开展认真自查，及时纠正。</w:t>
      </w:r>
    </w:p>
    <w:p>
      <w:pPr>
        <w:pStyle w:val="19"/>
        <w:spacing w:line="580" w:lineRule="exact"/>
        <w:rPr>
          <w:rFonts w:eastAsia="仿宋_GB2312"/>
          <w:sz w:val="32"/>
          <w:szCs w:val="32"/>
        </w:rPr>
      </w:pPr>
      <w:r>
        <w:rPr>
          <w:rFonts w:hint="eastAsia" w:eastAsia="仿宋_GB2312"/>
          <w:sz w:val="32"/>
          <w:szCs w:val="32"/>
        </w:rPr>
        <w:t>5</w:t>
      </w:r>
      <w:r>
        <w:rPr>
          <w:rFonts w:eastAsia="仿宋_GB2312"/>
          <w:sz w:val="32"/>
          <w:szCs w:val="32"/>
        </w:rPr>
        <w:t>、规范财务资产管理</w:t>
      </w:r>
    </w:p>
    <w:p>
      <w:pPr>
        <w:pStyle w:val="19"/>
        <w:spacing w:line="580" w:lineRule="exact"/>
        <w:rPr>
          <w:rFonts w:eastAsia="仿宋_GB2312"/>
          <w:sz w:val="32"/>
          <w:szCs w:val="32"/>
        </w:rPr>
      </w:pPr>
      <w:r>
        <w:rPr>
          <w:rFonts w:eastAsia="仿宋_GB2312"/>
          <w:sz w:val="32"/>
          <w:szCs w:val="32"/>
        </w:rPr>
        <w:t>为更加规范固定资产的管理，我单位财务人员对机关所有资产进行统一登记，对没有使用价值的固定资产进行报废处理，改善资产结构，优化资源配置，减少无效资产占用，提高资产使用效率。</w:t>
      </w:r>
    </w:p>
    <w:p>
      <w:pPr>
        <w:pStyle w:val="21"/>
        <w:spacing w:line="580" w:lineRule="exact"/>
        <w:rPr>
          <w:rFonts w:eastAsia="仿宋_GB2312"/>
          <w:sz w:val="32"/>
          <w:szCs w:val="32"/>
        </w:rPr>
      </w:pPr>
      <w:r>
        <w:rPr>
          <w:rFonts w:hint="eastAsia" w:eastAsia="仿宋_GB2312"/>
          <w:sz w:val="32"/>
          <w:szCs w:val="32"/>
        </w:rPr>
        <w:t>6</w:t>
      </w:r>
      <w:r>
        <w:rPr>
          <w:rFonts w:eastAsia="仿宋_GB2312"/>
          <w:sz w:val="32"/>
          <w:szCs w:val="32"/>
        </w:rPr>
        <w:t>、加强内部监督</w:t>
      </w:r>
    </w:p>
    <w:p>
      <w:pPr>
        <w:pStyle w:val="21"/>
        <w:spacing w:line="580" w:lineRule="exact"/>
        <w:rPr>
          <w:rFonts w:eastAsia="仿宋_GB2312"/>
          <w:sz w:val="32"/>
          <w:szCs w:val="32"/>
        </w:rPr>
      </w:pPr>
      <w:r>
        <w:rPr>
          <w:rFonts w:eastAsia="仿宋_GB2312"/>
          <w:sz w:val="32"/>
          <w:szCs w:val="32"/>
        </w:rPr>
        <w:t>财务监督是会计的基本职能之一，是我国经济监督体系的重要组成部分。为进一步加强财务监督和管理，严格财务纪律，增强财务管理工作的透明度，强化监督管理措施，保障单位各项工作的健康开展，结合我单位的实际情况，制定了《财务监督管理颁发》。</w:t>
      </w:r>
    </w:p>
    <w:p>
      <w:pPr>
        <w:pStyle w:val="21"/>
        <w:spacing w:line="580" w:lineRule="exact"/>
        <w:rPr>
          <w:rFonts w:eastAsia="仿宋_GB2312"/>
          <w:sz w:val="32"/>
          <w:szCs w:val="32"/>
        </w:rPr>
      </w:pPr>
      <w:r>
        <w:rPr>
          <w:rFonts w:hint="eastAsia" w:eastAsia="仿宋_GB2312"/>
          <w:sz w:val="32"/>
          <w:szCs w:val="32"/>
        </w:rPr>
        <w:t>7</w:t>
      </w:r>
      <w:r>
        <w:rPr>
          <w:rFonts w:eastAsia="仿宋_GB2312"/>
          <w:sz w:val="32"/>
          <w:szCs w:val="32"/>
        </w:rPr>
        <w:t>、加强宣传培训调研</w:t>
      </w:r>
    </w:p>
    <w:p>
      <w:pPr>
        <w:pStyle w:val="21"/>
        <w:spacing w:line="580" w:lineRule="exact"/>
        <w:rPr>
          <w:rFonts w:eastAsia="仿宋_GB2312"/>
          <w:sz w:val="32"/>
          <w:szCs w:val="32"/>
        </w:rPr>
        <w:sectPr>
          <w:footerReference r:id="rId3" w:type="default"/>
          <w:footerReference r:id="rId4" w:type="even"/>
          <w:pgSz w:w="16840" w:h="11900" w:orient="landscape"/>
          <w:pgMar w:top="1797" w:right="1440" w:bottom="1797" w:left="1440" w:header="720" w:footer="720" w:gutter="0"/>
          <w:pgNumType w:start="1"/>
          <w:cols w:space="720" w:num="1"/>
        </w:sectPr>
      </w:pPr>
      <w:r>
        <w:rPr>
          <w:rFonts w:eastAsia="仿宋_GB2312"/>
          <w:sz w:val="32"/>
          <w:szCs w:val="32"/>
        </w:rPr>
        <w:t>我单位高度重视财务培训工作，准确掌握新政府会计准则制度的相关规定。为加强推进政府会计改革，提升行政事业单位财务和预算管理水平，我单位财务人员积极参加区财政组织的各种财务宣传培训会，每年在机关内部开展1-2次财务工作培训会，并由单位一把手牵头成立专门的单位内部控制领导小组，坚持全员参与，健全工作机制。</w:t>
      </w:r>
    </w:p>
    <w:p>
      <w:pPr>
        <w:overflowPunct w:val="0"/>
        <w:adjustRightInd w:val="0"/>
        <w:snapToGrid w:val="0"/>
        <w:spacing w:after="120" w:afterLines="50" w:line="580" w:lineRule="exact"/>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490"/>
        <w:gridCol w:w="795"/>
        <w:gridCol w:w="1890"/>
        <w:gridCol w:w="1505"/>
        <w:gridCol w:w="5365"/>
        <w:gridCol w:w="585"/>
        <w:gridCol w:w="465"/>
        <w:gridCol w:w="930"/>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82" w:hRule="atLeast"/>
          <w:tblHeader/>
          <w:jc w:val="center"/>
        </w:trPr>
        <w:tc>
          <w:tcPr>
            <w:tcW w:w="175" w:type="pct"/>
            <w:vMerge w:val="restar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一级指标</w:t>
            </w:r>
          </w:p>
        </w:tc>
        <w:tc>
          <w:tcPr>
            <w:tcW w:w="284" w:type="pct"/>
            <w:vMerge w:val="restar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二级</w:t>
            </w:r>
          </w:p>
          <w:p>
            <w:pPr>
              <w:widowControl/>
              <w:adjustRightInd w:val="0"/>
              <w:snapToGrid w:val="0"/>
              <w:spacing w:line="320" w:lineRule="exact"/>
              <w:jc w:val="center"/>
              <w:rPr>
                <w:rFonts w:ascii="方正书宋_GBK" w:eastAsia="方正书宋_GBK"/>
                <w:b/>
              </w:rPr>
            </w:pPr>
            <w:r>
              <w:rPr>
                <w:rFonts w:ascii="方正书宋_GBK" w:eastAsia="方正书宋_GBK"/>
                <w:b/>
              </w:rPr>
              <w:t>指标</w:t>
            </w:r>
          </w:p>
        </w:tc>
        <w:tc>
          <w:tcPr>
            <w:tcW w:w="675" w:type="pct"/>
            <w:vMerge w:val="restar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三级</w:t>
            </w:r>
          </w:p>
          <w:p>
            <w:pPr>
              <w:widowControl/>
              <w:adjustRightInd w:val="0"/>
              <w:snapToGrid w:val="0"/>
              <w:spacing w:line="320" w:lineRule="exact"/>
              <w:jc w:val="center"/>
              <w:rPr>
                <w:rFonts w:ascii="方正书宋_GBK" w:eastAsia="方正书宋_GBK"/>
                <w:b/>
              </w:rPr>
            </w:pPr>
            <w:r>
              <w:rPr>
                <w:rFonts w:ascii="方正书宋_GBK" w:eastAsia="方正书宋_GBK"/>
                <w:b/>
              </w:rPr>
              <w:t>指标</w:t>
            </w:r>
          </w:p>
        </w:tc>
        <w:tc>
          <w:tcPr>
            <w:tcW w:w="538" w:type="pct"/>
            <w:vMerge w:val="restar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评（扣）分标准</w:t>
            </w:r>
          </w:p>
        </w:tc>
        <w:tc>
          <w:tcPr>
            <w:tcW w:w="1918" w:type="pct"/>
            <w:vMerge w:val="restar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绩效指标</w:t>
            </w:r>
          </w:p>
          <w:p>
            <w:pPr>
              <w:widowControl/>
              <w:adjustRightInd w:val="0"/>
              <w:snapToGrid w:val="0"/>
              <w:spacing w:line="320" w:lineRule="exact"/>
              <w:jc w:val="center"/>
              <w:rPr>
                <w:rFonts w:ascii="方正书宋_GBK" w:eastAsia="方正书宋_GBK"/>
                <w:b/>
              </w:rPr>
            </w:pPr>
            <w:r>
              <w:rPr>
                <w:rFonts w:ascii="方正书宋_GBK" w:eastAsia="方正书宋_GBK"/>
                <w:b/>
              </w:rPr>
              <w:t>描述</w:t>
            </w:r>
          </w:p>
        </w:tc>
        <w:tc>
          <w:tcPr>
            <w:tcW w:w="708" w:type="pct"/>
            <w:gridSpan w:val="3"/>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指标值</w:t>
            </w:r>
          </w:p>
        </w:tc>
        <w:tc>
          <w:tcPr>
            <w:tcW w:w="699" w:type="pct"/>
            <w:vMerge w:val="restar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指标值</w:t>
            </w:r>
          </w:p>
          <w:p>
            <w:pPr>
              <w:widowControl/>
              <w:adjustRightInd w:val="0"/>
              <w:snapToGrid w:val="0"/>
              <w:spacing w:line="32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78" w:hRule="atLeast"/>
          <w:tblHeader/>
          <w:jc w:val="center"/>
        </w:trPr>
        <w:tc>
          <w:tcPr>
            <w:tcW w:w="175" w:type="pct"/>
            <w:vMerge w:val="continue"/>
            <w:tcBorders>
              <w:tl2br w:val="nil"/>
              <w:tr2bl w:val="nil"/>
            </w:tcBorders>
            <w:vAlign w:val="center"/>
          </w:tcPr>
          <w:p>
            <w:pPr>
              <w:spacing w:line="320" w:lineRule="exact"/>
            </w:pPr>
          </w:p>
        </w:tc>
        <w:tc>
          <w:tcPr>
            <w:tcW w:w="284" w:type="pct"/>
            <w:vMerge w:val="continue"/>
            <w:tcBorders>
              <w:tl2br w:val="nil"/>
              <w:tr2bl w:val="nil"/>
            </w:tcBorders>
            <w:vAlign w:val="center"/>
          </w:tcPr>
          <w:p>
            <w:pPr>
              <w:spacing w:line="320" w:lineRule="exact"/>
            </w:pPr>
          </w:p>
        </w:tc>
        <w:tc>
          <w:tcPr>
            <w:tcW w:w="675" w:type="pct"/>
            <w:vMerge w:val="continue"/>
            <w:tcBorders>
              <w:tl2br w:val="nil"/>
              <w:tr2bl w:val="nil"/>
            </w:tcBorders>
            <w:vAlign w:val="center"/>
          </w:tcPr>
          <w:p>
            <w:pPr>
              <w:spacing w:line="320" w:lineRule="exact"/>
            </w:pPr>
          </w:p>
        </w:tc>
        <w:tc>
          <w:tcPr>
            <w:tcW w:w="538" w:type="pct"/>
            <w:vMerge w:val="continue"/>
            <w:tcBorders>
              <w:tl2br w:val="nil"/>
              <w:tr2bl w:val="nil"/>
            </w:tcBorders>
            <w:vAlign w:val="center"/>
          </w:tcPr>
          <w:p>
            <w:pPr>
              <w:spacing w:line="320" w:lineRule="exact"/>
            </w:pPr>
          </w:p>
        </w:tc>
        <w:tc>
          <w:tcPr>
            <w:tcW w:w="1918" w:type="pct"/>
            <w:vMerge w:val="continue"/>
            <w:tcBorders>
              <w:tl2br w:val="nil"/>
              <w:tr2bl w:val="nil"/>
            </w:tcBorders>
            <w:vAlign w:val="center"/>
          </w:tcPr>
          <w:p>
            <w:pPr>
              <w:spacing w:line="320" w:lineRule="exact"/>
            </w:pPr>
          </w:p>
        </w:tc>
        <w:tc>
          <w:tcPr>
            <w:tcW w:w="209" w:type="pc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符号</w:t>
            </w:r>
          </w:p>
        </w:tc>
        <w:tc>
          <w:tcPr>
            <w:tcW w:w="166" w:type="pc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值</w:t>
            </w:r>
          </w:p>
        </w:tc>
        <w:tc>
          <w:tcPr>
            <w:tcW w:w="332" w:type="pc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单位</w:t>
            </w:r>
          </w:p>
        </w:tc>
        <w:tc>
          <w:tcPr>
            <w:tcW w:w="699" w:type="pct"/>
            <w:vMerge w:val="continue"/>
            <w:tcBorders>
              <w:tl2br w:val="nil"/>
              <w:tr2bl w:val="nil"/>
            </w:tcBorders>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45" w:hRule="atLeast"/>
          <w:jc w:val="center"/>
        </w:trPr>
        <w:tc>
          <w:tcPr>
            <w:tcW w:w="175" w:type="pct"/>
            <w:vMerge w:val="restart"/>
            <w:tcBorders>
              <w:tl2br w:val="nil"/>
              <w:tr2bl w:val="nil"/>
            </w:tcBorders>
            <w:vAlign w:val="center"/>
          </w:tcPr>
          <w:p>
            <w:pPr>
              <w:widowControl/>
              <w:adjustRightInd w:val="0"/>
              <w:snapToGrid w:val="0"/>
              <w:spacing w:line="320" w:lineRule="exact"/>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284"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ascii="方正书宋_GBK" w:eastAsia="方正书宋_GBK"/>
              </w:rPr>
              <w:t>数量</w:t>
            </w:r>
          </w:p>
        </w:tc>
        <w:tc>
          <w:tcPr>
            <w:tcW w:w="675"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补助覆盖率</w:t>
            </w:r>
          </w:p>
        </w:tc>
        <w:tc>
          <w:tcPr>
            <w:tcW w:w="538"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符合得分标准15分</w:t>
            </w:r>
          </w:p>
        </w:tc>
        <w:tc>
          <w:tcPr>
            <w:tcW w:w="1918"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将符合补助标准的老党员全部纳入补助范围</w:t>
            </w:r>
          </w:p>
        </w:tc>
        <w:tc>
          <w:tcPr>
            <w:tcW w:w="209"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文字描述</w:t>
            </w:r>
          </w:p>
        </w:tc>
        <w:tc>
          <w:tcPr>
            <w:tcW w:w="166" w:type="pct"/>
            <w:tcBorders>
              <w:tl2br w:val="nil"/>
              <w:tr2bl w:val="nil"/>
            </w:tcBorders>
            <w:vAlign w:val="center"/>
          </w:tcPr>
          <w:p>
            <w:pPr>
              <w:widowControl/>
              <w:adjustRightInd w:val="0"/>
              <w:snapToGrid w:val="0"/>
              <w:spacing w:line="320" w:lineRule="exact"/>
              <w:jc w:val="left"/>
              <w:rPr>
                <w:rFonts w:ascii="方正书宋_GBK" w:eastAsia="方正书宋_GBK"/>
              </w:rPr>
            </w:pPr>
          </w:p>
        </w:tc>
        <w:tc>
          <w:tcPr>
            <w:tcW w:w="332"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hint="eastAsia" w:ascii="方正书宋_GBK" w:eastAsia="方正书宋_GBK"/>
              </w:rPr>
              <w:t>老党员享受待遇</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廊组通字[2006] 112号冀退役军人厅发[2019] 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175" w:type="pct"/>
            <w:vMerge w:val="continue"/>
            <w:tcBorders>
              <w:tl2br w:val="nil"/>
              <w:tr2bl w:val="nil"/>
            </w:tcBorders>
            <w:vAlign w:val="center"/>
          </w:tcPr>
          <w:p>
            <w:pPr>
              <w:spacing w:line="320" w:lineRule="exact"/>
            </w:pPr>
          </w:p>
        </w:tc>
        <w:tc>
          <w:tcPr>
            <w:tcW w:w="284"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ascii="方正书宋_GBK" w:eastAsia="方正书宋_GBK"/>
              </w:rPr>
              <w:t>质量</w:t>
            </w:r>
          </w:p>
        </w:tc>
        <w:tc>
          <w:tcPr>
            <w:tcW w:w="675"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补助金发放标准率</w:t>
            </w:r>
          </w:p>
        </w:tc>
        <w:tc>
          <w:tcPr>
            <w:tcW w:w="538"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符合得分标准15分</w:t>
            </w:r>
          </w:p>
        </w:tc>
        <w:tc>
          <w:tcPr>
            <w:tcW w:w="1918"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补助金发放符合标准的数量占补助金发放全部数量的比率</w:t>
            </w:r>
          </w:p>
        </w:tc>
        <w:tc>
          <w:tcPr>
            <w:tcW w:w="209"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hint="eastAsia" w:ascii="方正书宋_GBK" w:eastAsia="方正书宋_GBK"/>
              </w:rPr>
              <w:t>≥</w:t>
            </w:r>
          </w:p>
        </w:tc>
        <w:tc>
          <w:tcPr>
            <w:tcW w:w="166"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90</w:t>
            </w:r>
          </w:p>
        </w:tc>
        <w:tc>
          <w:tcPr>
            <w:tcW w:w="332" w:type="pct"/>
            <w:tcBorders>
              <w:tl2br w:val="nil"/>
              <w:tr2bl w:val="nil"/>
            </w:tcBorders>
            <w:vAlign w:val="center"/>
          </w:tcPr>
          <w:p>
            <w:pPr>
              <w:widowControl/>
              <w:adjustRightInd w:val="0"/>
              <w:snapToGrid w:val="0"/>
              <w:spacing w:line="320" w:lineRule="exact"/>
              <w:jc w:val="center"/>
              <w:rPr>
                <w:rFonts w:hint="eastAsia" w:ascii="方正书宋_GBK" w:eastAsia="方正书宋_GBK"/>
                <w:lang w:val="en-US" w:eastAsia="zh-CN"/>
              </w:rPr>
            </w:pPr>
            <w:r>
              <w:rPr>
                <w:rFonts w:hint="eastAsia" w:ascii="方正书宋_GBK" w:eastAsia="方正书宋_GBK"/>
                <w:lang w:val="en-US" w:eastAsia="zh-CN"/>
              </w:rPr>
              <w:t>%</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《2016-2020年河北省组织系统信息化工作规划》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97" w:hRule="atLeast"/>
          <w:jc w:val="center"/>
        </w:trPr>
        <w:tc>
          <w:tcPr>
            <w:tcW w:w="175" w:type="pct"/>
            <w:vMerge w:val="continue"/>
            <w:tcBorders>
              <w:tl2br w:val="nil"/>
              <w:tr2bl w:val="nil"/>
            </w:tcBorders>
            <w:vAlign w:val="center"/>
          </w:tcPr>
          <w:p>
            <w:pPr>
              <w:spacing w:line="320" w:lineRule="exact"/>
            </w:pPr>
          </w:p>
        </w:tc>
        <w:tc>
          <w:tcPr>
            <w:tcW w:w="284" w:type="pct"/>
            <w:tcBorders>
              <w:tl2br w:val="nil"/>
              <w:tr2bl w:val="nil"/>
            </w:tcBorders>
            <w:vAlign w:val="center"/>
          </w:tcPr>
          <w:p>
            <w:pPr>
              <w:widowControl/>
              <w:adjustRightInd w:val="0"/>
              <w:snapToGrid w:val="0"/>
              <w:spacing w:line="320" w:lineRule="exact"/>
              <w:jc w:val="center"/>
              <w:rPr>
                <w:rFonts w:hint="eastAsia" w:ascii="方正书宋_GBK" w:eastAsia="方正书宋_GBK"/>
                <w:lang w:eastAsia="zh-CN"/>
              </w:rPr>
            </w:pPr>
            <w:r>
              <w:rPr>
                <w:rFonts w:hint="eastAsia" w:ascii="方正书宋_GBK" w:eastAsia="方正书宋_GBK"/>
                <w:lang w:eastAsia="zh-CN"/>
              </w:rPr>
              <w:t>成本</w:t>
            </w:r>
          </w:p>
        </w:tc>
        <w:tc>
          <w:tcPr>
            <w:tcW w:w="675"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资金成本</w:t>
            </w:r>
          </w:p>
        </w:tc>
        <w:tc>
          <w:tcPr>
            <w:tcW w:w="538"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符合得分标准10分</w:t>
            </w:r>
          </w:p>
        </w:tc>
        <w:tc>
          <w:tcPr>
            <w:tcW w:w="1918"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控制率小于等于100%得10分，每提高1%扣该项分值的5%。</w:t>
            </w:r>
          </w:p>
        </w:tc>
        <w:tc>
          <w:tcPr>
            <w:tcW w:w="209"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hint="eastAsia"/>
              </w:rPr>
              <w:t>≥</w:t>
            </w:r>
          </w:p>
        </w:tc>
        <w:tc>
          <w:tcPr>
            <w:tcW w:w="166"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90</w:t>
            </w:r>
          </w:p>
        </w:tc>
        <w:tc>
          <w:tcPr>
            <w:tcW w:w="332" w:type="pct"/>
            <w:tcBorders>
              <w:tl2br w:val="nil"/>
              <w:tr2bl w:val="nil"/>
            </w:tcBorders>
            <w:vAlign w:val="center"/>
          </w:tcPr>
          <w:p>
            <w:pPr>
              <w:widowControl/>
              <w:adjustRightInd w:val="0"/>
              <w:snapToGrid w:val="0"/>
              <w:spacing w:line="320" w:lineRule="exact"/>
              <w:jc w:val="center"/>
              <w:rPr>
                <w:rFonts w:hint="eastAsia" w:ascii="方正书宋_GBK" w:eastAsia="方正书宋_GBK"/>
                <w:lang w:val="en-US" w:eastAsia="zh-CN"/>
              </w:rPr>
            </w:pPr>
            <w:r>
              <w:rPr>
                <w:rFonts w:hint="eastAsia" w:ascii="方正书宋_GBK" w:eastAsia="方正书宋_GBK"/>
                <w:lang w:val="en-US" w:eastAsia="zh-CN"/>
              </w:rPr>
              <w:t>%</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（廊组发&lt;2021&gt;5号）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5" w:hRule="atLeast"/>
          <w:jc w:val="center"/>
        </w:trPr>
        <w:tc>
          <w:tcPr>
            <w:tcW w:w="175" w:type="pct"/>
            <w:vMerge w:val="continue"/>
            <w:tcBorders>
              <w:tl2br w:val="nil"/>
              <w:tr2bl w:val="nil"/>
            </w:tcBorders>
            <w:vAlign w:val="center"/>
          </w:tcPr>
          <w:p>
            <w:pPr>
              <w:spacing w:line="320" w:lineRule="exact"/>
            </w:pPr>
          </w:p>
        </w:tc>
        <w:tc>
          <w:tcPr>
            <w:tcW w:w="284" w:type="pct"/>
            <w:tcBorders>
              <w:tl2br w:val="nil"/>
              <w:tr2bl w:val="nil"/>
            </w:tcBorders>
            <w:vAlign w:val="center"/>
          </w:tcPr>
          <w:p>
            <w:pPr>
              <w:widowControl/>
              <w:adjustRightInd w:val="0"/>
              <w:snapToGrid w:val="0"/>
              <w:spacing w:line="320" w:lineRule="exact"/>
              <w:jc w:val="center"/>
              <w:rPr>
                <w:rFonts w:hint="eastAsia" w:ascii="方正书宋_GBK" w:eastAsia="方正书宋_GBK"/>
                <w:lang w:eastAsia="zh-CN"/>
              </w:rPr>
            </w:pPr>
            <w:r>
              <w:rPr>
                <w:rFonts w:hint="eastAsia" w:ascii="方正书宋_GBK" w:eastAsia="方正书宋_GBK"/>
                <w:lang w:eastAsia="zh-CN"/>
              </w:rPr>
              <w:t>时效</w:t>
            </w:r>
          </w:p>
        </w:tc>
        <w:tc>
          <w:tcPr>
            <w:tcW w:w="675"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时间节点完成培训率</w:t>
            </w:r>
          </w:p>
        </w:tc>
        <w:tc>
          <w:tcPr>
            <w:tcW w:w="538"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rPr>
              <w:t>符合得分标准10分</w:t>
            </w:r>
          </w:p>
        </w:tc>
        <w:tc>
          <w:tcPr>
            <w:tcW w:w="1918"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按照要求时间节点完成培训的数量占全部培训数量的比率</w:t>
            </w:r>
          </w:p>
        </w:tc>
        <w:tc>
          <w:tcPr>
            <w:tcW w:w="209"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hint="eastAsia"/>
              </w:rPr>
              <w:t>≥</w:t>
            </w:r>
          </w:p>
        </w:tc>
        <w:tc>
          <w:tcPr>
            <w:tcW w:w="166" w:type="pct"/>
            <w:tcBorders>
              <w:tl2br w:val="nil"/>
              <w:tr2bl w:val="nil"/>
            </w:tcBorders>
            <w:vAlign w:val="top"/>
          </w:tcPr>
          <w:p>
            <w:pPr>
              <w:keepNext w:val="0"/>
              <w:keepLines w:val="0"/>
              <w:widowControl/>
              <w:suppressLineNumbers w:val="0"/>
              <w:jc w:val="left"/>
              <w:textAlignment w:val="top"/>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90</w:t>
            </w:r>
          </w:p>
        </w:tc>
        <w:tc>
          <w:tcPr>
            <w:tcW w:w="332" w:type="pct"/>
            <w:tcBorders>
              <w:tl2br w:val="nil"/>
              <w:tr2bl w:val="nil"/>
            </w:tcBorders>
            <w:vAlign w:val="center"/>
          </w:tcPr>
          <w:p>
            <w:pPr>
              <w:widowControl/>
              <w:adjustRightInd w:val="0"/>
              <w:snapToGrid w:val="0"/>
              <w:spacing w:line="320" w:lineRule="exact"/>
              <w:jc w:val="center"/>
              <w:rPr>
                <w:rFonts w:hint="default" w:ascii="方正书宋_GBK" w:eastAsia="方正书宋_GBK"/>
                <w:lang w:val="en-US" w:eastAsia="zh-CN"/>
              </w:rPr>
            </w:pPr>
            <w:r>
              <w:rPr>
                <w:rFonts w:hint="eastAsia" w:ascii="方正书宋_GBK" w:eastAsia="方正书宋_GBK"/>
                <w:lang w:val="en-US" w:eastAsia="zh-CN"/>
              </w:rPr>
              <w:t>%</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廊发【2019】7号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5" w:hRule="atLeast"/>
          <w:jc w:val="center"/>
        </w:trPr>
        <w:tc>
          <w:tcPr>
            <w:tcW w:w="175" w:type="pct"/>
            <w:vMerge w:val="restart"/>
            <w:tcBorders>
              <w:tl2br w:val="nil"/>
              <w:tr2bl w:val="nil"/>
            </w:tcBorders>
            <w:vAlign w:val="center"/>
          </w:tcPr>
          <w:p>
            <w:pPr>
              <w:adjustRightInd w:val="0"/>
              <w:snapToGrid w:val="0"/>
              <w:spacing w:line="320" w:lineRule="exact"/>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284"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ascii="方正书宋_GBK" w:eastAsia="方正书宋_GBK"/>
              </w:rPr>
              <w:t>社会</w:t>
            </w:r>
          </w:p>
          <w:p>
            <w:pPr>
              <w:widowControl/>
              <w:adjustRightInd w:val="0"/>
              <w:snapToGrid w:val="0"/>
              <w:spacing w:line="320" w:lineRule="exact"/>
              <w:jc w:val="center"/>
              <w:rPr>
                <w:rFonts w:ascii="方正书宋_GBK" w:eastAsia="方正书宋_GBK"/>
              </w:rPr>
            </w:pPr>
            <w:r>
              <w:rPr>
                <w:rFonts w:ascii="方正书宋_GBK" w:eastAsia="方正书宋_GBK"/>
              </w:rPr>
              <w:t>效益</w:t>
            </w:r>
          </w:p>
        </w:tc>
        <w:tc>
          <w:tcPr>
            <w:tcW w:w="675"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对全区组织系统业务信息化全覆盖和数据全共享起到的作用</w:t>
            </w:r>
          </w:p>
        </w:tc>
        <w:tc>
          <w:tcPr>
            <w:tcW w:w="538"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rPr>
              <w:t>符合得分标准10分</w:t>
            </w:r>
          </w:p>
        </w:tc>
        <w:tc>
          <w:tcPr>
            <w:tcW w:w="1918"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通过支持对全区区管干部信息和相关业务信息的查询、统计和分析，实现对全区区管干部信息和业务开展情况进行综合展现，达到辅助领导决策的效果</w:t>
            </w:r>
          </w:p>
        </w:tc>
        <w:tc>
          <w:tcPr>
            <w:tcW w:w="209"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文字描述</w:t>
            </w:r>
          </w:p>
        </w:tc>
        <w:tc>
          <w:tcPr>
            <w:tcW w:w="166" w:type="pct"/>
            <w:tcBorders>
              <w:tl2br w:val="nil"/>
              <w:tr2bl w:val="nil"/>
            </w:tcBorders>
            <w:vAlign w:val="top"/>
          </w:tcPr>
          <w:p>
            <w:pPr>
              <w:keepNext w:val="0"/>
              <w:keepLines w:val="0"/>
              <w:widowControl/>
              <w:suppressLineNumbers w:val="0"/>
              <w:jc w:val="left"/>
              <w:textAlignment w:val="top"/>
              <w:rPr>
                <w:rFonts w:ascii="方正书宋_GBK" w:eastAsia="方正书宋_GBK"/>
              </w:rPr>
            </w:pPr>
          </w:p>
        </w:tc>
        <w:tc>
          <w:tcPr>
            <w:tcW w:w="332"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hint="eastAsia" w:ascii="方正书宋_GBK" w:eastAsia="方正书宋_GBK"/>
              </w:rPr>
              <w:t>对组织系统业务信息化全覆盖</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《2016-2020年河北省组织系统信息化工作规划》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36" w:hRule="atLeast"/>
          <w:jc w:val="center"/>
        </w:trPr>
        <w:tc>
          <w:tcPr>
            <w:tcW w:w="175" w:type="pct"/>
            <w:vMerge w:val="continue"/>
            <w:tcBorders>
              <w:tl2br w:val="nil"/>
              <w:tr2bl w:val="nil"/>
            </w:tcBorders>
            <w:vAlign w:val="center"/>
          </w:tcPr>
          <w:p>
            <w:pPr>
              <w:spacing w:line="320" w:lineRule="exact"/>
            </w:pPr>
          </w:p>
        </w:tc>
        <w:tc>
          <w:tcPr>
            <w:tcW w:w="284" w:type="pct"/>
            <w:tcBorders>
              <w:tl2br w:val="nil"/>
              <w:tr2bl w:val="nil"/>
            </w:tcBorders>
            <w:vAlign w:val="center"/>
          </w:tcPr>
          <w:p>
            <w:pPr>
              <w:adjustRightInd w:val="0"/>
              <w:snapToGrid w:val="0"/>
              <w:spacing w:line="320" w:lineRule="exact"/>
              <w:jc w:val="center"/>
              <w:rPr>
                <w:rFonts w:hint="eastAsia" w:ascii="方正书宋_GBK" w:eastAsia="方正书宋_GBK"/>
                <w:lang w:eastAsia="zh-CN"/>
              </w:rPr>
            </w:pPr>
            <w:r>
              <w:rPr>
                <w:rFonts w:hint="eastAsia" w:ascii="方正书宋_GBK" w:eastAsia="方正书宋_GBK"/>
                <w:lang w:eastAsia="zh-CN"/>
              </w:rPr>
              <w:t>经济效益</w:t>
            </w:r>
          </w:p>
        </w:tc>
        <w:tc>
          <w:tcPr>
            <w:tcW w:w="675"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党员干部理论水平和专业能力</w:t>
            </w:r>
          </w:p>
        </w:tc>
        <w:tc>
          <w:tcPr>
            <w:tcW w:w="538"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rPr>
              <w:t>符合得分标准10分</w:t>
            </w:r>
          </w:p>
        </w:tc>
        <w:tc>
          <w:tcPr>
            <w:tcW w:w="1918"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党员干部理论水平和专业能力得到增长</w:t>
            </w:r>
          </w:p>
        </w:tc>
        <w:tc>
          <w:tcPr>
            <w:tcW w:w="209"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文字描述</w:t>
            </w:r>
          </w:p>
        </w:tc>
        <w:tc>
          <w:tcPr>
            <w:tcW w:w="166" w:type="pct"/>
            <w:tcBorders>
              <w:tl2br w:val="nil"/>
              <w:tr2bl w:val="nil"/>
            </w:tcBorders>
            <w:vAlign w:val="top"/>
          </w:tcPr>
          <w:p>
            <w:pPr>
              <w:keepNext w:val="0"/>
              <w:keepLines w:val="0"/>
              <w:widowControl/>
              <w:suppressLineNumbers w:val="0"/>
              <w:jc w:val="left"/>
              <w:textAlignment w:val="top"/>
              <w:rPr>
                <w:rFonts w:ascii="方正书宋_GBK" w:eastAsia="方正书宋_GBK"/>
              </w:rPr>
            </w:pPr>
          </w:p>
        </w:tc>
        <w:tc>
          <w:tcPr>
            <w:tcW w:w="332"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hint="eastAsia" w:ascii="方正书宋_GBK" w:eastAsia="方正书宋_GBK"/>
              </w:rPr>
              <w:t>党员干部理论水平</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廊发【2019】7号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55" w:hRule="atLeast"/>
          <w:jc w:val="center"/>
        </w:trPr>
        <w:tc>
          <w:tcPr>
            <w:tcW w:w="175" w:type="pct"/>
            <w:vMerge w:val="continue"/>
            <w:tcBorders>
              <w:tl2br w:val="nil"/>
              <w:tr2bl w:val="nil"/>
            </w:tcBorders>
            <w:vAlign w:val="center"/>
          </w:tcPr>
          <w:p>
            <w:pPr>
              <w:spacing w:line="320" w:lineRule="exact"/>
            </w:pPr>
          </w:p>
        </w:tc>
        <w:tc>
          <w:tcPr>
            <w:tcW w:w="284" w:type="pct"/>
            <w:tcBorders>
              <w:tl2br w:val="nil"/>
              <w:tr2bl w:val="nil"/>
            </w:tcBorders>
            <w:vAlign w:val="center"/>
          </w:tcPr>
          <w:p>
            <w:pPr>
              <w:widowControl/>
              <w:adjustRightInd w:val="0"/>
              <w:snapToGrid w:val="0"/>
              <w:spacing w:line="320" w:lineRule="exact"/>
              <w:jc w:val="center"/>
              <w:rPr>
                <w:rFonts w:hint="eastAsia" w:ascii="方正书宋_GBK" w:eastAsia="方正书宋_GBK"/>
                <w:lang w:eastAsia="zh-CN"/>
              </w:rPr>
            </w:pPr>
            <w:r>
              <w:rPr>
                <w:rFonts w:hint="eastAsia" w:ascii="方正书宋_GBK" w:eastAsia="方正书宋_GBK"/>
                <w:lang w:eastAsia="zh-CN"/>
              </w:rPr>
              <w:t>可持续影响</w:t>
            </w:r>
          </w:p>
        </w:tc>
        <w:tc>
          <w:tcPr>
            <w:tcW w:w="675"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ascii="方正书宋_GBK" w:eastAsia="方正书宋_GBK"/>
              </w:rPr>
              <w:t>长期使用性</w:t>
            </w:r>
          </w:p>
        </w:tc>
        <w:tc>
          <w:tcPr>
            <w:tcW w:w="538"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rPr>
              <w:t>符合得分标准10分</w:t>
            </w:r>
          </w:p>
        </w:tc>
        <w:tc>
          <w:tcPr>
            <w:tcW w:w="1918"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ascii="方正书宋_GBK" w:eastAsia="方正书宋_GBK"/>
              </w:rPr>
              <w:t>能够长期较好地开展信息综合查询、信息统计、综合分析、语音识别、综合搜索和系统维护的需求</w:t>
            </w:r>
          </w:p>
        </w:tc>
        <w:tc>
          <w:tcPr>
            <w:tcW w:w="209"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文字描述</w:t>
            </w:r>
          </w:p>
        </w:tc>
        <w:tc>
          <w:tcPr>
            <w:tcW w:w="166"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p>
        </w:tc>
        <w:tc>
          <w:tcPr>
            <w:tcW w:w="332"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系统维护需求</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《2016-2020年河北省组织系统信息化工作规划》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55" w:hRule="atLeast"/>
          <w:jc w:val="center"/>
        </w:trPr>
        <w:tc>
          <w:tcPr>
            <w:tcW w:w="175" w:type="pct"/>
            <w:vMerge w:val="continue"/>
            <w:tcBorders>
              <w:tl2br w:val="nil"/>
              <w:tr2bl w:val="nil"/>
            </w:tcBorders>
            <w:vAlign w:val="center"/>
          </w:tcPr>
          <w:p>
            <w:pPr>
              <w:spacing w:line="320" w:lineRule="exact"/>
            </w:pPr>
          </w:p>
        </w:tc>
        <w:tc>
          <w:tcPr>
            <w:tcW w:w="284" w:type="pct"/>
            <w:tcBorders>
              <w:tl2br w:val="nil"/>
              <w:tr2bl w:val="nil"/>
            </w:tcBorders>
            <w:vAlign w:val="center"/>
          </w:tcPr>
          <w:p>
            <w:pPr>
              <w:widowControl/>
              <w:adjustRightInd w:val="0"/>
              <w:snapToGrid w:val="0"/>
              <w:spacing w:line="320" w:lineRule="exact"/>
              <w:jc w:val="center"/>
              <w:rPr>
                <w:rFonts w:hint="eastAsia" w:ascii="方正书宋_GBK" w:eastAsia="方正书宋_GBK"/>
                <w:lang w:eastAsia="zh-CN"/>
              </w:rPr>
            </w:pPr>
            <w:r>
              <w:rPr>
                <w:rFonts w:hint="eastAsia" w:ascii="方正书宋_GBK" w:eastAsia="方正书宋_GBK"/>
                <w:lang w:eastAsia="zh-CN"/>
              </w:rPr>
              <w:t>满意度</w:t>
            </w:r>
          </w:p>
        </w:tc>
        <w:tc>
          <w:tcPr>
            <w:tcW w:w="675"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ascii="方正书宋_GBK" w:eastAsia="方正书宋_GBK"/>
              </w:rPr>
              <w:t>满意度</w:t>
            </w:r>
          </w:p>
        </w:tc>
        <w:tc>
          <w:tcPr>
            <w:tcW w:w="538"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rPr>
              <w:t>符合得分标准10分</w:t>
            </w:r>
          </w:p>
        </w:tc>
        <w:tc>
          <w:tcPr>
            <w:tcW w:w="1918"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ascii="方正书宋_GBK" w:eastAsia="方正书宋_GBK"/>
              </w:rPr>
              <w:t>组织部各科室对管理</w:t>
            </w:r>
            <w:r>
              <w:rPr>
                <w:rFonts w:hint="eastAsia" w:ascii="方正书宋_GBK" w:eastAsia="方正书宋_GBK"/>
                <w:lang w:eastAsia="zh-CN"/>
              </w:rPr>
              <w:t>单位</w:t>
            </w:r>
            <w:r>
              <w:rPr>
                <w:rFonts w:hint="eastAsia" w:ascii="方正书宋_GBK" w:eastAsia="方正书宋_GBK"/>
              </w:rPr>
              <w:t>满意度，全区各单位对组织部满意度，区委领导满意度</w:t>
            </w:r>
          </w:p>
        </w:tc>
        <w:tc>
          <w:tcPr>
            <w:tcW w:w="20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w:t>
            </w:r>
          </w:p>
        </w:tc>
        <w:tc>
          <w:tcPr>
            <w:tcW w:w="166"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90</w:t>
            </w:r>
          </w:p>
        </w:tc>
        <w:tc>
          <w:tcPr>
            <w:tcW w:w="332" w:type="pct"/>
            <w:tcBorders>
              <w:tl2br w:val="nil"/>
              <w:tr2bl w:val="nil"/>
            </w:tcBorders>
            <w:vAlign w:val="center"/>
          </w:tcPr>
          <w:p>
            <w:pPr>
              <w:widowControl/>
              <w:adjustRightInd w:val="0"/>
              <w:snapToGrid w:val="0"/>
              <w:spacing w:line="320" w:lineRule="exact"/>
              <w:rPr>
                <w:rFonts w:hint="eastAsia" w:ascii="方正书宋_GBK" w:eastAsia="方正书宋_GBK"/>
                <w:lang w:val="en-US" w:eastAsia="zh-CN"/>
              </w:rPr>
            </w:pPr>
            <w:r>
              <w:rPr>
                <w:rFonts w:hint="eastAsia" w:ascii="方正书宋_GBK" w:eastAsia="方正书宋_GBK"/>
                <w:lang w:val="en-US" w:eastAsia="zh-CN"/>
              </w:rPr>
              <w:t>%</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《2016-2020年河北省组织系统信息化工作规划》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55" w:hRule="atLeast"/>
          <w:jc w:val="center"/>
        </w:trPr>
        <w:tc>
          <w:tcPr>
            <w:tcW w:w="175" w:type="pct"/>
            <w:vMerge w:val="continue"/>
            <w:tcBorders>
              <w:tl2br w:val="nil"/>
              <w:tr2bl w:val="nil"/>
            </w:tcBorders>
            <w:vAlign w:val="center"/>
          </w:tcPr>
          <w:p>
            <w:pPr>
              <w:spacing w:line="320" w:lineRule="exact"/>
            </w:pPr>
          </w:p>
        </w:tc>
        <w:tc>
          <w:tcPr>
            <w:tcW w:w="284" w:type="pct"/>
            <w:tcBorders>
              <w:tl2br w:val="nil"/>
              <w:tr2bl w:val="nil"/>
            </w:tcBorders>
            <w:vAlign w:val="center"/>
          </w:tcPr>
          <w:p>
            <w:pPr>
              <w:widowControl/>
              <w:adjustRightInd w:val="0"/>
              <w:snapToGrid w:val="0"/>
              <w:spacing w:line="320" w:lineRule="exact"/>
              <w:jc w:val="center"/>
              <w:rPr>
                <w:rFonts w:hint="eastAsia" w:ascii="方正书宋_GBK" w:eastAsia="方正书宋_GBK"/>
                <w:lang w:eastAsia="zh-CN"/>
              </w:rPr>
            </w:pPr>
            <w:r>
              <w:rPr>
                <w:rFonts w:hint="eastAsia" w:ascii="方正书宋_GBK" w:eastAsia="方正书宋_GBK"/>
                <w:lang w:eastAsia="zh-CN"/>
              </w:rPr>
              <w:t>满意度</w:t>
            </w:r>
          </w:p>
        </w:tc>
        <w:tc>
          <w:tcPr>
            <w:tcW w:w="675"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受训学员满意度</w:t>
            </w:r>
          </w:p>
        </w:tc>
        <w:tc>
          <w:tcPr>
            <w:tcW w:w="538"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rPr>
              <w:t>符合得分标准10分</w:t>
            </w:r>
          </w:p>
        </w:tc>
        <w:tc>
          <w:tcPr>
            <w:tcW w:w="1918"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受训学员满意的人数占受训学员总数的比例</w:t>
            </w:r>
          </w:p>
        </w:tc>
        <w:tc>
          <w:tcPr>
            <w:tcW w:w="20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rPr>
              <w:t>≥</w:t>
            </w:r>
          </w:p>
        </w:tc>
        <w:tc>
          <w:tcPr>
            <w:tcW w:w="166"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90</w:t>
            </w:r>
          </w:p>
        </w:tc>
        <w:tc>
          <w:tcPr>
            <w:tcW w:w="332" w:type="pct"/>
            <w:tcBorders>
              <w:tl2br w:val="nil"/>
              <w:tr2bl w:val="nil"/>
            </w:tcBorders>
            <w:vAlign w:val="center"/>
          </w:tcPr>
          <w:p>
            <w:pPr>
              <w:widowControl/>
              <w:adjustRightInd w:val="0"/>
              <w:snapToGrid w:val="0"/>
              <w:spacing w:line="320" w:lineRule="exact"/>
              <w:rPr>
                <w:rFonts w:hint="eastAsia" w:ascii="方正书宋_GBK" w:eastAsia="方正书宋_GBK"/>
                <w:lang w:val="en-US" w:eastAsia="zh-CN"/>
              </w:rPr>
            </w:pPr>
            <w:r>
              <w:rPr>
                <w:rFonts w:hint="eastAsia" w:ascii="方正书宋_GBK" w:eastAsia="方正书宋_GBK"/>
                <w:lang w:val="en-US" w:eastAsia="zh-CN"/>
              </w:rPr>
              <w:t>%</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廊发【2019】7号</w:t>
            </w:r>
          </w:p>
        </w:tc>
      </w:tr>
    </w:tbl>
    <w:p>
      <w:pPr>
        <w:spacing w:line="584"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第二部分 资金绩效目标</w:t>
      </w:r>
    </w:p>
    <w:p>
      <w:pPr>
        <w:ind w:firstLine="560"/>
        <w:jc w:val="left"/>
        <w:outlineLvl w:val="3"/>
        <w:rPr>
          <w:rFonts w:ascii="Times New Roman" w:hAnsi="Times New Roman" w:eastAsia="仿宋_GB2312" w:cs="Times New Roman"/>
          <w:sz w:val="28"/>
          <w:szCs w:val="28"/>
        </w:rPr>
      </w:pPr>
      <w:bookmarkStart w:id="0" w:name="_Toc_4_4_0000000004"/>
      <w:r>
        <w:rPr>
          <w:rFonts w:ascii="Times New Roman" w:hAnsi="Times New Roman" w:eastAsia="仿宋_GB2312" w:cs="Times New Roman"/>
          <w:sz w:val="28"/>
          <w:szCs w:val="28"/>
        </w:rPr>
        <w:t>1.2021年选调生到村工作中央财政补助结算资金绩效目标表</w:t>
      </w:r>
      <w:bookmarkEnd w:id="0"/>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1.加强选调生管理，提高选调生到村任职补助水平。</w:t>
            </w:r>
          </w:p>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2.结合实际科学整合使用资金，确保选调生各项工作、生活待遇及时落实。</w:t>
            </w:r>
          </w:p>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rPr>
              <w:t>3.为选调生形成高质量得国情调研报告提供物质支持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全区到村任职选调生总数</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补助资金发放对象占应发放人数比例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冀组明字[2020]26号</w:t>
            </w:r>
          </w:p>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优良率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优秀调研报告占所有调研报告总数量得比例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≥80%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到村任职选调生工作完成及调研报告完成情况</w:t>
            </w:r>
          </w:p>
        </w:tc>
        <w:tc>
          <w:tcPr>
            <w:tcW w:w="1843" w:type="dxa"/>
            <w:shd w:val="clear" w:color="auto" w:fill="auto"/>
            <w:vAlign w:val="center"/>
          </w:tcPr>
          <w:p>
            <w:pPr>
              <w:spacing w:line="300" w:lineRule="exact"/>
              <w:jc w:val="left"/>
              <w:rPr>
                <w:rFonts w:ascii="Times New Roman" w:hAnsi="Times New Roman" w:eastAsia="仿宋_GB2312" w:cs="Times New Roman"/>
              </w:rPr>
            </w:pPr>
            <w: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使用资金占总资金得比例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服务基层的示范效应</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服务基层的示范效应</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增强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选调生工作水平</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选调生工作热情度、基层工作水平是否提高</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增强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选调生满意程度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选调生对补助资金使用的满意程度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冀组明字[2020]26号</w:t>
            </w:r>
          </w:p>
        </w:tc>
      </w:tr>
    </w:tbl>
    <w:p>
      <w:pPr>
        <w:tabs>
          <w:tab w:val="left" w:pos="312"/>
        </w:tabs>
        <w:jc w:val="left"/>
        <w:outlineLvl w:val="3"/>
        <w:rPr>
          <w:rFonts w:ascii="Times New Roman" w:hAnsi="Times New Roman" w:eastAsia="仿宋_GB2312" w:cs="Times New Roman"/>
          <w:sz w:val="32"/>
          <w:szCs w:val="32"/>
        </w:rPr>
      </w:pPr>
      <w:bookmarkStart w:id="1" w:name="_Toc_4_4_0000000005"/>
    </w:p>
    <w:p>
      <w:pPr>
        <w:tabs>
          <w:tab w:val="left" w:pos="312"/>
        </w:tabs>
        <w:jc w:val="left"/>
        <w:outlineLvl w:val="3"/>
        <w:rPr>
          <w:rFonts w:ascii="Times New Roman" w:hAnsi="Times New Roman" w:eastAsia="仿宋_GB2312" w:cs="Times New Roman"/>
          <w:sz w:val="32"/>
          <w:szCs w:val="32"/>
        </w:rPr>
      </w:pPr>
    </w:p>
    <w:p>
      <w:pPr>
        <w:tabs>
          <w:tab w:val="left" w:pos="312"/>
        </w:tabs>
        <w:jc w:val="left"/>
        <w:outlineLvl w:val="3"/>
        <w:rPr>
          <w:rFonts w:ascii="Times New Roman" w:hAnsi="Times New Roman" w:eastAsia="仿宋_GB2312" w:cs="Times New Roman"/>
          <w:sz w:val="32"/>
          <w:szCs w:val="32"/>
        </w:rPr>
      </w:pPr>
    </w:p>
    <w:p>
      <w:pPr>
        <w:tabs>
          <w:tab w:val="left" w:pos="312"/>
        </w:tabs>
        <w:jc w:val="left"/>
        <w:outlineLvl w:val="3"/>
        <w:rPr>
          <w:rFonts w:ascii="Times New Roman" w:hAnsi="Times New Roman" w:eastAsia="仿宋_GB2312" w:cs="Times New Roman"/>
          <w:sz w:val="32"/>
          <w:szCs w:val="32"/>
        </w:rPr>
      </w:pPr>
    </w:p>
    <w:p>
      <w:pPr>
        <w:tabs>
          <w:tab w:val="left" w:pos="312"/>
        </w:tabs>
        <w:jc w:val="left"/>
        <w:outlineLvl w:val="3"/>
        <w:rPr>
          <w:rFonts w:ascii="Times New Roman" w:hAnsi="Times New Roman" w:eastAsia="仿宋_GB2312" w:cs="Times New Roman"/>
          <w:sz w:val="32"/>
          <w:szCs w:val="32"/>
        </w:rPr>
      </w:pPr>
    </w:p>
    <w:p>
      <w:pPr>
        <w:tabs>
          <w:tab w:val="left" w:pos="312"/>
        </w:tabs>
        <w:jc w:val="left"/>
        <w:outlineLvl w:val="3"/>
        <w:rPr>
          <w:rFonts w:ascii="Times New Roman" w:hAnsi="Times New Roman" w:eastAsia="仿宋_GB2312" w:cs="Times New Roman"/>
          <w:sz w:val="32"/>
          <w:szCs w:val="32"/>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2.城市基层党建工作专项经费绩效目标表</w:t>
      </w:r>
      <w:bookmarkEnd w:id="1"/>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rPr>
              <w:t>加强和改进城市基层党的建设工作，强化城市基层党建工作专项经费保障能力，最大程度的城市基层党建工作正常有效运转，确保城市基层党建全面进步全面过硬。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城市基层党建工作完成率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已完成的城市基层党建工作与年度内应完成的工作量的比例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经费使用合格率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按照规定使用的经费金额与实际使用经费金额的比例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经费及时使用率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按时召开会议、党务工作者培训、订阅购置党员教育报刊资料等使用的经费金额与应使用经费金额的比例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成本控制率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实际使用的经费金额与预算金额的比例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党群服务中心群众知晓率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知道党群服务中心的人数与抽查到的总人数的比例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群众对城市基层党建工作的满意度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对城市基层党建工作表示满意的人数与抽查到的人数的比例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tabs>
          <w:tab w:val="left" w:pos="312"/>
        </w:tabs>
        <w:jc w:val="left"/>
        <w:outlineLvl w:val="3"/>
        <w:rPr>
          <w:rFonts w:ascii="Times New Roman" w:hAnsi="Times New Roman" w:eastAsia="仿宋_GB2312" w:cs="Times New Roman"/>
          <w:sz w:val="32"/>
          <w:szCs w:val="32"/>
        </w:rPr>
      </w:pPr>
      <w:bookmarkStart w:id="2" w:name="_Toc_4_4_0000000006"/>
    </w:p>
    <w:p>
      <w:pPr>
        <w:ind w:firstLine="560"/>
        <w:jc w:val="left"/>
        <w:outlineLvl w:val="3"/>
        <w:rPr>
          <w:rFonts w:ascii="Times New Roman" w:hAnsi="Times New Roman" w:eastAsia="仿宋_GB2312" w:cs="Times New Roman"/>
          <w:sz w:val="28"/>
          <w:szCs w:val="28"/>
        </w:rPr>
      </w:pPr>
    </w:p>
    <w:p>
      <w:pPr>
        <w:ind w:firstLine="560"/>
        <w:jc w:val="left"/>
        <w:outlineLvl w:val="3"/>
        <w:rPr>
          <w:rFonts w:ascii="Times New Roman" w:hAnsi="Times New Roman" w:eastAsia="仿宋_GB2312" w:cs="Times New Roman"/>
          <w:sz w:val="28"/>
          <w:szCs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3.党员干部现代远程教育工作经费绩效目标表</w:t>
      </w:r>
      <w:bookmarkEnd w:id="2"/>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171"/>
        <w:gridCol w:w="709"/>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b/>
              </w:rPr>
            </w:pPr>
            <w:r>
              <w:t>通过远程教育网络，加强农村党员干部现代远程教育和党员电化教育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17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7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352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远教站点正常运行数量</w:t>
            </w:r>
          </w:p>
        </w:tc>
        <w:tc>
          <w:tcPr>
            <w:tcW w:w="3171"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远教站点正常运行数量</w:t>
            </w:r>
          </w:p>
        </w:tc>
        <w:tc>
          <w:tcPr>
            <w:tcW w:w="7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158个</w:t>
            </w:r>
          </w:p>
        </w:tc>
        <w:tc>
          <w:tcPr>
            <w:tcW w:w="3520"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中共河北省委组织部《关于印发&lt;河北省党员干部现代远程教育系统改版升级工作实施方案&gt;的通知》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站点收看时长达标率　</w:t>
            </w:r>
          </w:p>
        </w:tc>
        <w:tc>
          <w:tcPr>
            <w:tcW w:w="3171"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学习收看时长达标的站点数占全部站点的比率</w:t>
            </w:r>
          </w:p>
        </w:tc>
        <w:tc>
          <w:tcPr>
            <w:tcW w:w="7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≥90个</w:t>
            </w:r>
          </w:p>
        </w:tc>
        <w:tc>
          <w:tcPr>
            <w:tcW w:w="3520"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中共河北省委组织部《关于印发&lt;河北省党员干部现代远程教育系统改版升级工作实施方案&gt;的通知》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远教站点出现故障及时解决率</w:t>
            </w:r>
          </w:p>
        </w:tc>
        <w:tc>
          <w:tcPr>
            <w:tcW w:w="3171"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远教站点出现故障及时解决率</w:t>
            </w:r>
          </w:p>
        </w:tc>
        <w:tc>
          <w:tcPr>
            <w:tcW w:w="7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3520"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中共河北省委组织部《关于印发&lt;河北省党员干部现代远程教育系统改版升级工作实施方案&gt;的通知》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项目预算控制数　</w:t>
            </w:r>
          </w:p>
        </w:tc>
        <w:tc>
          <w:tcPr>
            <w:tcW w:w="3171"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项目预算控制资金总数</w:t>
            </w:r>
          </w:p>
        </w:tc>
        <w:tc>
          <w:tcPr>
            <w:tcW w:w="7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≤5.85万元</w:t>
            </w:r>
          </w:p>
        </w:tc>
        <w:tc>
          <w:tcPr>
            <w:tcW w:w="3520"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rPr>
              <w:t>中共河北省委组织部《关于印发&lt;河北省党员干部现代远程教育系统改版升级工作实施方案&gt;的通知</w:t>
            </w:r>
            <w:r>
              <w:rPr>
                <w:rFonts w:hint="eastAsia" w:ascii="Times New Roman" w:hAnsi="Times New Roman" w:eastAsia="仿宋_GB2312" w:cs="Times New Roman"/>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先进典型影响力</w:t>
            </w:r>
          </w:p>
        </w:tc>
        <w:tc>
          <w:tcPr>
            <w:tcW w:w="3171"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能够说出5个以上先进典型事迹的人数与抽查到的党员总数的比例</w:t>
            </w:r>
          </w:p>
        </w:tc>
        <w:tc>
          <w:tcPr>
            <w:tcW w:w="7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3520"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党员群众满意度　</w:t>
            </w:r>
          </w:p>
        </w:tc>
        <w:tc>
          <w:tcPr>
            <w:tcW w:w="3171"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党员群众对远教工作的满意度</w:t>
            </w:r>
          </w:p>
        </w:tc>
        <w:tc>
          <w:tcPr>
            <w:tcW w:w="7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3520"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调查问卷</w:t>
            </w:r>
          </w:p>
        </w:tc>
      </w:tr>
    </w:tbl>
    <w:p>
      <w:pPr>
        <w:ind w:firstLine="560"/>
        <w:jc w:val="left"/>
        <w:outlineLvl w:val="3"/>
        <w:rPr>
          <w:rFonts w:ascii="方正仿宋_GBK" w:hAnsi="方正仿宋_GBK" w:eastAsia="方正仿宋_GBK" w:cs="方正仿宋_GBK"/>
          <w:color w:val="000000"/>
          <w:sz w:val="28"/>
        </w:rPr>
      </w:pPr>
      <w:bookmarkStart w:id="3" w:name="_Toc_4_4_0000000007"/>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4.档案数字化建设管理经费绩效目标表</w:t>
      </w:r>
      <w:bookmarkEnd w:id="3"/>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rPr>
              <w:t>通过项目的开展实现区管干部档案的规范化管理，保障档案信息化建设的进一步提升。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数字化档案完成率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实际完成的数字化档案数量与应完成的数字化档案数量的比例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数字化档案完成质量达标率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质量达标的数字化档案数量与应完成的数字化档案数量的比例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数字化档案完成及时率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完成及时的数字化档案数量与应完成的数字化档案数量的比例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实际支出金额与预算金额的比例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区管干部档案准确性、完整性、查阅便捷性提升率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回复档案准确性、完整性、查阅便捷性提升的人数与抽查到的相关单位人员人数的比例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档案管理工作效率和规范化水平提升率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回复档案管理工作效率和规范化水平提升的人数与抽查到的工作人员人数的比例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档案查阅人员满意度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回复满意的人数与抽查到的档案查阅人员人数的比</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bl>
    <w:p>
      <w:pPr>
        <w:ind w:firstLine="560"/>
        <w:jc w:val="left"/>
        <w:outlineLvl w:val="3"/>
        <w:rPr>
          <w:rFonts w:ascii="方正仿宋_GBK" w:hAnsi="方正仿宋_GBK" w:eastAsia="方正仿宋_GBK" w:cs="方正仿宋_GBK"/>
          <w:color w:val="000000"/>
          <w:sz w:val="28"/>
        </w:rPr>
      </w:pPr>
      <w:bookmarkStart w:id="4" w:name="_Toc_4_4_0000000008"/>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5.非公企业和社会组织党建工作经费绩效目标表</w:t>
      </w:r>
      <w:bookmarkEnd w:id="4"/>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b/>
              </w:rPr>
            </w:pPr>
            <w:r>
              <w:t>进一步加强非公经济和社会组织党建工作，不断扩大党的群众基础、夯实党的执政基础。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党建工作覆盖率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党建工作覆盖到的非公企业和社会组织数量与所有非公企业和社会组织数量的比例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市委办《关于深化全市非公企业和社会组织党建工作的若干措施》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经费使用合格率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按照相关规定使用的经费金额与使用的经费总额的比例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市委办《关于深化全市非公企业和社会组织党建工作的若干措施》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经费使用及时率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使用及时的经费金额与需使用的经费总额的比例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市委办《关于深化全市非公企业和社会组织党建工作的若干措施》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实际使用经费金额与预算金额的比例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市委办《关于深化全市非公企业和社会组织党建工作的若干措施》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党建工作正常运转率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正常运转的党建工作数与党建工作数量的比例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非公企业和社会组织对党建工作表示满意的数量与抽查到的非公企业和社会组织数量的比例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bl>
    <w:p>
      <w:pPr>
        <w:ind w:firstLine="560"/>
        <w:jc w:val="left"/>
        <w:outlineLvl w:val="3"/>
        <w:rPr>
          <w:rFonts w:ascii="方正仿宋_GBK" w:hAnsi="方正仿宋_GBK" w:eastAsia="方正仿宋_GBK" w:cs="方正仿宋_GBK"/>
          <w:color w:val="000000"/>
          <w:sz w:val="28"/>
        </w:rPr>
      </w:pPr>
      <w:bookmarkStart w:id="5" w:name="_Toc_4_4_0000000009"/>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6.干部管理系统建设经费绩效目标表</w:t>
      </w:r>
      <w:bookmarkEnd w:id="5"/>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1.通过总体建设内容包括领导查询分析、移动终端查询分析、干部信息综合管理、干部任免上会管理等四大功能模块，实现干部信息全面掌握、干部任免全过程管理和领导决策辅助支持。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系统模块完善率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能正常使用的模块数量占需使用模块数量的比例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系统顺畅运行率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系统顺畅运行的天数占全年总天数的比例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系统维护及时率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及时维护系统的次数占全年需维护次数的比例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实际支出的经费金额占预算金额的比例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对全区组织系统业务信息化全覆盖和数据全共享起到促进推动作用</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通过支持对全区区管干部信息和相关业务信息的查询、统计和分析，实现对全区区管干部信息和业务开展情况进行综合展现，达到辅助领导决策的效果</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促进推动</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生态效益指标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实现班子调整方案、干部任免表等上会材料无纸化办公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通过平板电脑等多媒体手段全方位展示拟任免干部的信息。</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实现无纸化办公</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对系统满意和基本满意的人数占抽到到的服务对象总人数的比例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bl>
    <w:p>
      <w:pPr>
        <w:ind w:firstLine="560"/>
        <w:jc w:val="left"/>
        <w:outlineLvl w:val="3"/>
        <w:rPr>
          <w:rFonts w:ascii="方正仿宋_GBK" w:hAnsi="方正仿宋_GBK" w:eastAsia="方正仿宋_GBK" w:cs="方正仿宋_GBK"/>
          <w:color w:val="000000"/>
          <w:sz w:val="28"/>
        </w:rPr>
      </w:pPr>
      <w:bookmarkStart w:id="6" w:name="_Toc_4_4_0000000010"/>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7.工资系统经费绩效目标表</w:t>
      </w:r>
      <w:bookmarkEnd w:id="6"/>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通过使用机关事业单位工资管理系统，实现全区单位工资管理、审核、统计的自动化，提高办事效率，降低管理成本。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全区干部工资审批人数覆盖率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工资审批覆盖的人数与全区干部总人数的比例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全区干部工资审批的效率提升率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干部工资审批的准确率较以往人工审批的效率提升的比例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全区干部工资审批及时率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干部工资审批及时的次数与全年应审批工资次数的比例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实际支出经费金额与预算金额的比例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全区干部工资管理效率提升率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回复干部工资管理效率提升的人数与抽查到的干部总数的比例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全区干部满意度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对干部工资管理系统满意的人数与抽查到的干部总数的比例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bl>
    <w:p>
      <w:pPr>
        <w:tabs>
          <w:tab w:val="left" w:pos="1304"/>
        </w:tabs>
        <w:ind w:left="560"/>
        <w:jc w:val="left"/>
        <w:outlineLvl w:val="3"/>
        <w:rPr>
          <w:rFonts w:hint="eastAsia" w:ascii="方正仿宋_GBK" w:hAnsi="方正仿宋_GBK" w:eastAsia="方正仿宋_GBK" w:cs="方正仿宋_GBK"/>
          <w:color w:val="000000"/>
          <w:sz w:val="28"/>
        </w:rPr>
      </w:pPr>
      <w:bookmarkStart w:id="7" w:name="_Toc_4_4_0000000011"/>
    </w:p>
    <w:p>
      <w:pPr>
        <w:tabs>
          <w:tab w:val="left" w:pos="1304"/>
        </w:tabs>
        <w:ind w:left="560"/>
        <w:jc w:val="left"/>
        <w:outlineLvl w:val="3"/>
        <w:rPr>
          <w:rFonts w:hint="eastAsia" w:ascii="方正仿宋_GBK" w:hAnsi="方正仿宋_GBK" w:eastAsia="方正仿宋_GBK" w:cs="方正仿宋_GBK"/>
          <w:color w:val="000000"/>
          <w:sz w:val="28"/>
        </w:rPr>
      </w:pPr>
    </w:p>
    <w:p>
      <w:pPr>
        <w:tabs>
          <w:tab w:val="left" w:pos="1304"/>
        </w:tabs>
        <w:ind w:left="560"/>
        <w:jc w:val="left"/>
        <w:outlineLvl w:val="3"/>
        <w:rPr>
          <w:rFonts w:hint="eastAsia" w:ascii="方正仿宋_GBK" w:hAnsi="方正仿宋_GBK" w:eastAsia="方正仿宋_GBK" w:cs="方正仿宋_GBK"/>
          <w:color w:val="000000"/>
          <w:sz w:val="28"/>
        </w:rPr>
      </w:pPr>
    </w:p>
    <w:p>
      <w:pPr>
        <w:tabs>
          <w:tab w:val="left" w:pos="1304"/>
        </w:tabs>
        <w:ind w:left="560"/>
        <w:jc w:val="left"/>
        <w:outlineLvl w:val="3"/>
        <w:rPr>
          <w:rFonts w:hint="eastAsia" w:ascii="方正仿宋_GBK" w:hAnsi="方正仿宋_GBK" w:eastAsia="方正仿宋_GBK" w:cs="方正仿宋_GBK"/>
          <w:color w:val="000000"/>
          <w:sz w:val="28"/>
        </w:rPr>
      </w:pPr>
    </w:p>
    <w:p>
      <w:pPr>
        <w:tabs>
          <w:tab w:val="left" w:pos="1304"/>
        </w:tabs>
        <w:jc w:val="left"/>
        <w:outlineLvl w:val="3"/>
        <w:rPr>
          <w:rFonts w:ascii="方正仿宋_GBK" w:hAnsi="方正仿宋_GBK" w:eastAsia="方正仿宋_GBK" w:cs="方正仿宋_GBK"/>
          <w:color w:val="000000"/>
          <w:sz w:val="28"/>
        </w:rPr>
      </w:pPr>
    </w:p>
    <w:p>
      <w:pPr>
        <w:tabs>
          <w:tab w:val="left" w:pos="1304"/>
        </w:tabs>
        <w:jc w:val="left"/>
        <w:outlineLvl w:val="3"/>
        <w:rPr>
          <w:rFonts w:ascii="方正仿宋_GBK" w:hAnsi="方正仿宋_GBK" w:eastAsia="方正仿宋_GBK" w:cs="方正仿宋_GBK"/>
          <w:color w:val="000000"/>
          <w:sz w:val="28"/>
        </w:rPr>
      </w:pPr>
    </w:p>
    <w:p>
      <w:pPr>
        <w:tabs>
          <w:tab w:val="left" w:pos="1304"/>
        </w:tabs>
        <w:ind w:left="560"/>
        <w:jc w:val="left"/>
        <w:outlineLvl w:val="3"/>
        <w:rPr>
          <w:rFonts w:hint="eastAsia"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.基层党组织精细化星级管理星级津贴奖励资金绩效目标表</w:t>
      </w:r>
      <w:bookmarkEnd w:id="7"/>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认真落实省市关于进一步加强基层党的建设的各项要求，进一步推进标准化、规范化、制度化、品牌化建设，全面提升广阳农村、社区基层党建工作整体水平。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低星村街、社区量</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2星级及以下农村、社区数量</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≤10个</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（廊广发2019）14、15号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星级津贴发放质量达标率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按照文件标准发放星级津贴的农村数、社区数与获得星级津贴奖励农村、社区总数的比例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（廊广发2019）14、15号》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星级津贴发放及时率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及时发放星级津贴的农村、社区数与获得星级津贴奖励农村、社区总数的比例</w:t>
            </w:r>
            <w:r>
              <w:rPr>
                <w:rFonts w:hint="eastAsia" w:ascii="Times New Roman" w:hAnsi="Times New Roman" w:eastAsia="仿宋_GB2312" w:cs="Times New Roman"/>
              </w:rPr>
              <w:tab/>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实际发放的星级津贴金额与预算金额的比例</w:t>
            </w:r>
            <w:r>
              <w:rPr>
                <w:rFonts w:hint="eastAsia" w:ascii="Times New Roman" w:hAnsi="Times New Roman" w:eastAsia="仿宋_GB2312" w:cs="Times New Roman"/>
              </w:rPr>
              <w:tab/>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村街、社区干部干事创业积极性提升率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回复由于星级津贴奖励而提高了干事创业积极性的村街、社区干部人数与抽查到的农村、社区干部总数的比例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村街、社区服务水平提升率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回复农村、社区服务水平提升的人数与抽查到的居民人数的比例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群众满意度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群众满意数量占抽查到的总人数的比例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bl>
    <w:p>
      <w:pPr>
        <w:ind w:firstLine="560"/>
        <w:jc w:val="left"/>
        <w:outlineLvl w:val="3"/>
        <w:rPr>
          <w:rFonts w:ascii="方正仿宋_GBK" w:hAnsi="方正仿宋_GBK" w:eastAsia="方正仿宋_GBK" w:cs="方正仿宋_GBK"/>
          <w:color w:val="000000"/>
          <w:sz w:val="28"/>
        </w:rPr>
      </w:pPr>
      <w:bookmarkStart w:id="8" w:name="_Toc_4_4_0000000012"/>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9.建国前老党员定补和老党员、困难党员慰问资金绩效目标表</w:t>
      </w:r>
      <w:bookmarkEnd w:id="8"/>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发放有效改善老党员、生活困难党员条件，提升生活质量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补助覆盖率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已补助热人数占补助人比率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廊组通字[2006]112号；廊组明字[2021]20号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补助金发放达标率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补助金发放标准占上级发放标准比率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（廊广发2019）14、15号》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补助金发放及时率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及时发放补助的次数与应发补助次数的比例</w:t>
            </w:r>
            <w:r>
              <w:rPr>
                <w:rFonts w:hint="eastAsia" w:ascii="Times New Roman" w:hAnsi="Times New Roman" w:eastAsia="仿宋_GB2312" w:cs="Times New Roman"/>
              </w:rPr>
              <w:tab/>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实际补助金额与预算金额的比例</w:t>
            </w:r>
            <w:r>
              <w:rPr>
                <w:rFonts w:hint="eastAsia" w:ascii="Times New Roman" w:hAnsi="Times New Roman" w:eastAsia="仿宋_GB2312" w:cs="Times New Roman"/>
              </w:rPr>
              <w:tab/>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受益对象基本生活改善率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回复基本生活困难有所改善的人数与抽查到的受益对象的比例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收益对象满意度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回复满意的受益对象占抽查到的受益对象的比例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bl>
    <w:p>
      <w:pPr>
        <w:tabs>
          <w:tab w:val="left" w:pos="1304"/>
        </w:tabs>
        <w:ind w:left="560"/>
        <w:jc w:val="left"/>
        <w:outlineLvl w:val="3"/>
        <w:rPr>
          <w:rFonts w:hint="eastAsia" w:ascii="方正仿宋_GBK" w:hAnsi="方正仿宋_GBK" w:eastAsia="方正仿宋_GBK" w:cs="方正仿宋_GBK"/>
          <w:color w:val="000000"/>
          <w:sz w:val="28"/>
        </w:rPr>
      </w:pPr>
      <w:bookmarkStart w:id="9" w:name="_Toc_4_4_0000000013"/>
    </w:p>
    <w:p>
      <w:pPr>
        <w:tabs>
          <w:tab w:val="left" w:pos="1304"/>
        </w:tabs>
        <w:ind w:left="560"/>
        <w:jc w:val="left"/>
        <w:outlineLvl w:val="3"/>
        <w:rPr>
          <w:rFonts w:hint="eastAsia" w:ascii="方正仿宋_GBK" w:hAnsi="方正仿宋_GBK" w:eastAsia="方正仿宋_GBK" w:cs="方正仿宋_GBK"/>
          <w:color w:val="000000"/>
          <w:sz w:val="28"/>
        </w:rPr>
      </w:pPr>
    </w:p>
    <w:bookmarkEnd w:id="9"/>
    <w:p>
      <w:pPr>
        <w:jc w:val="left"/>
        <w:outlineLvl w:val="3"/>
        <w:rPr>
          <w:rFonts w:ascii="方正仿宋_GBK" w:hAnsi="方正仿宋_GBK" w:eastAsia="方正仿宋_GBK" w:cs="方正仿宋_GBK"/>
          <w:color w:val="000000"/>
          <w:sz w:val="28"/>
        </w:rPr>
      </w:pPr>
    </w:p>
    <w:p>
      <w:pPr>
        <w:jc w:val="left"/>
        <w:outlineLvl w:val="3"/>
        <w:rPr>
          <w:rFonts w:ascii="方正仿宋_GBK" w:hAnsi="方正仿宋_GBK" w:eastAsia="方正仿宋_GBK" w:cs="方正仿宋_GBK"/>
          <w:color w:val="000000"/>
          <w:sz w:val="28"/>
        </w:rPr>
      </w:pPr>
    </w:p>
    <w:p>
      <w:pPr>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0</w:t>
      </w:r>
      <w:r>
        <w:rPr>
          <w:rFonts w:ascii="Times New Roman" w:hAnsi="Times New Roman" w:eastAsia="仿宋_GB2312" w:cs="Times New Roman"/>
          <w:sz w:val="28"/>
          <w:szCs w:val="28"/>
        </w:rPr>
        <w:t>.农村、社区“两委”干部培训经费绩效目标表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积极对接、落实省级“万人示范培训”工作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开办培训期数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全区全年共开办村街、社区“两委”干部培训期数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≥2期</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每期培训合格率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每期实际参训人员合格比率。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培训及时率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及时组织培训的次数与年度计划组织培训次数的比例</w:t>
            </w:r>
            <w:r>
              <w:rPr>
                <w:rFonts w:hint="eastAsia" w:ascii="Times New Roman" w:hAnsi="Times New Roman" w:eastAsia="仿宋_GB2312" w:cs="Times New Roman"/>
              </w:rPr>
              <w:tab/>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实际发生的培训费用与预算金额的比例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村、社区“两委”干部履职能力提升率</w:t>
            </w:r>
            <w:r>
              <w:rPr>
                <w:rFonts w:hint="eastAsia" w:ascii="Times New Roman" w:hAnsi="Times New Roman" w:eastAsia="仿宋_GB2312" w:cs="Times New Roman"/>
              </w:rPr>
              <w:tab/>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认为村、社区“两委”干部履职能力有所提升的人数与抽查到的群众人数的比例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村、社区“两委”干部对培训的满意度</w:t>
            </w:r>
            <w:r>
              <w:rPr>
                <w:rFonts w:hint="eastAsia" w:ascii="Times New Roman" w:hAnsi="Times New Roman" w:eastAsia="仿宋_GB2312" w:cs="Times New Roman"/>
              </w:rPr>
              <w:tab/>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对培训效果满意的人数与抽查到的村、社区“两委”干部总人数的比例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bl>
    <w:p>
      <w:pPr>
        <w:ind w:firstLine="560"/>
        <w:jc w:val="left"/>
        <w:outlineLvl w:val="3"/>
        <w:rPr>
          <w:rFonts w:ascii="方正仿宋_GBK" w:hAnsi="方正仿宋_GBK" w:eastAsia="方正仿宋_GBK" w:cs="方正仿宋_GBK"/>
          <w:color w:val="000000"/>
          <w:sz w:val="28"/>
        </w:rPr>
      </w:pPr>
      <w:bookmarkStart w:id="10" w:name="_Toc_4_4_0000000014"/>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.区管干部考核奖励资金绩效目标表</w:t>
      </w:r>
      <w:bookmarkEnd w:id="10"/>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通过项目的开展，在第三季度，足额、及时发放2021年度考核奖金、证书、奖牌，以激励广阳区广大干部工作积极性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奖金覆盖率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发放考核奖金的人数占2022年度区委管理干部、科级以下公务员及党群、政法系统和人大、政协机关科级以下其他工作人员考核优秀的比率　</w:t>
            </w:r>
            <w:r>
              <w:rPr>
                <w:rFonts w:hint="eastAsia" w:ascii="Times New Roman" w:hAnsi="Times New Roman" w:eastAsia="仿宋_GB2312" w:cs="Times New Roman"/>
              </w:rPr>
              <w:tab/>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≥2期100%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党政领导干部考核工作条例、公务员奖励规定（试行）、广阳区委、广阳区政府《关于2021年度乡科级领导班子和区委管理干部考察考核情况的通报》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奖金发放标准达标率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奖金发放标准符合文件规定标准的人数占考核优秀人员总数的比率　</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实际发放的考核奖金额与预算金额的比例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奖金发放及时率　</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在规定时间内领取到奖金的人数与考核优秀的人数的比例</w:t>
            </w:r>
            <w:r>
              <w:rPr>
                <w:rFonts w:hint="eastAsia" w:ascii="Times New Roman" w:hAnsi="Times New Roman" w:eastAsia="仿宋_GB2312" w:cs="Times New Roman"/>
              </w:rPr>
              <w:tab/>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实际发放的考核奖金额与预算金额的比例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实际发放的考核奖金额与预算金额的比例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广大党员干部工作积极性提升率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回复考核奖金的发放可以提高其工作积极性的人数与抽查到的党员干部人数的比例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广大党员干部满意度　</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对考核结果满意和较满意的党员干部占抽查到的党员干部人数的比例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bl>
    <w:p>
      <w:pPr>
        <w:ind w:firstLine="560"/>
        <w:jc w:val="left"/>
        <w:outlineLvl w:val="3"/>
        <w:rPr>
          <w:rFonts w:ascii="方正仿宋_GBK" w:hAnsi="方正仿宋_GBK" w:eastAsia="方正仿宋_GBK" w:cs="方正仿宋_GBK"/>
          <w:color w:val="000000"/>
          <w:sz w:val="28"/>
        </w:rPr>
      </w:pPr>
      <w:bookmarkStart w:id="11" w:name="_Toc_4_4_0000000015"/>
    </w:p>
    <w:p>
      <w:pPr>
        <w:ind w:firstLine="560"/>
        <w:jc w:val="left"/>
        <w:outlineLvl w:val="3"/>
        <w:rPr>
          <w:rFonts w:ascii="Times New Roman" w:hAnsi="Times New Roman" w:eastAsia="仿宋_GB2312" w:cs="Times New Roman"/>
          <w:sz w:val="28"/>
          <w:szCs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.全区重点工作大督查活动经费绩效目标表</w:t>
      </w:r>
      <w:bookmarkEnd w:id="11"/>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通过项目的开展,对中央及省市区委的决策部署开展重点督查，围绕十九大及十九届五中全会精神学习贯彻落实、经济发展、项目建设、民生实事、疫情防控、污染防治等重点工作真督实查，确保区委、区政府各项重点任务圆满完成，确保人民群众反映的突出问题得到及时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督查任务完成率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实际完成的督查任务数量与年度应完成督查数量的比例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廊广字〔2017〕58号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督查覆盖率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督查单位占全区所有单位的比率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廊广字〔2017〕58号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督查完成及时率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按照要求和计划完成督查任务数与所有重点工作的比率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廊广字〔2017〕58号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成本控制率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督查实际支出与预算金额的比例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廊广字〔2017〕58号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督查问题整改率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已整改的问题数量与发现问题数量的比例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可持续影响指标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决策部署执行率提升率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决策部署执行率较去年提升的比例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≥25%</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被督查单位满意度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被督查单位满意数量占总数的比例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调查问卷</w:t>
            </w:r>
          </w:p>
        </w:tc>
      </w:tr>
    </w:tbl>
    <w:p>
      <w:pPr>
        <w:ind w:firstLine="560"/>
        <w:jc w:val="left"/>
        <w:outlineLvl w:val="3"/>
        <w:rPr>
          <w:rFonts w:ascii="方正仿宋_GBK" w:hAnsi="方正仿宋_GBK" w:eastAsia="方正仿宋_GBK" w:cs="方正仿宋_GBK"/>
          <w:color w:val="000000"/>
          <w:sz w:val="28"/>
        </w:rPr>
      </w:pPr>
      <w:bookmarkStart w:id="12" w:name="_Toc_4_4_0000000016"/>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.人才工作专项经费绩效目标表</w:t>
      </w:r>
      <w:bookmarkEnd w:id="12"/>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通过项目的开展实现人才强区战略，保障落实我区专家人才待遇为重点，达到吸引各类高端人才、营造人才发展氛围、推动域内经济发展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引进全日制本科人才数量完成率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协调人社、教育</w:t>
            </w:r>
            <w:r>
              <w:rPr>
                <w:rFonts w:hint="eastAsia" w:ascii="Times New Roman" w:hAnsi="Times New Roman" w:eastAsia="仿宋_GB2312" w:cs="Times New Roman"/>
                <w:lang w:eastAsia="zh-CN"/>
              </w:rPr>
              <w:t>单位</w:t>
            </w:r>
            <w:r>
              <w:rPr>
                <w:rFonts w:hint="eastAsia" w:ascii="Times New Roman" w:hAnsi="Times New Roman" w:eastAsia="仿宋_GB2312" w:cs="Times New Roman"/>
              </w:rPr>
              <w:t>全力引进全日制本科人才数量与应引进人才数量的比例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廊才〔2020〕6号</w:t>
            </w:r>
          </w:p>
          <w:p>
            <w:pPr>
              <w:spacing w:line="300" w:lineRule="exact"/>
              <w:jc w:val="left"/>
              <w:rPr>
                <w:rFonts w:ascii="Times New Roman" w:hAnsi="Times New Roman" w:eastAsia="仿宋_GB2312" w:cs="Times New Roman"/>
              </w:rPr>
            </w:pPr>
          </w:p>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引进“双一流”院校毕业生人才、专业技术型人才数量达标率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引进“双一流”院校毕业的本科学士、研究生硕士、区域经济发展亟需的专业技术型人才数量与应引进人才数量的比例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廊才〔2020〕6号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引进人才及时率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年度内引进人才的数量与当年应引进人才数量的比例</w:t>
            </w:r>
            <w:r>
              <w:rPr>
                <w:rFonts w:hint="eastAsia" w:ascii="Times New Roman" w:hAnsi="Times New Roman" w:eastAsia="仿宋_GB2312" w:cs="Times New Roman"/>
              </w:rPr>
              <w:tab/>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廊才〔2020〕6号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成本控制率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引进人才成本与预算金额的比例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廊才〔2020〕6号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吸引人才来广阳发展</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吸引人才来广阳发展</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吸引人才</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可持续影响指标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区域内专家为广阳发展作出贡献</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为广阳区发展持续作出贡献</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长期指标</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区域内服务专家满意度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区域内服务专家满意度</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调查问卷</w:t>
            </w:r>
          </w:p>
        </w:tc>
      </w:tr>
    </w:tbl>
    <w:p>
      <w:pPr>
        <w:tabs>
          <w:tab w:val="left" w:pos="737"/>
        </w:tabs>
        <w:ind w:firstLine="560" w:firstLineChars="200"/>
        <w:jc w:val="left"/>
        <w:outlineLvl w:val="3"/>
        <w:rPr>
          <w:rFonts w:ascii="方正仿宋_GBK" w:hAnsi="方正仿宋_GBK" w:eastAsia="方正仿宋_GBK" w:cs="方正仿宋_GBK"/>
          <w:color w:val="000000"/>
          <w:sz w:val="28"/>
        </w:rPr>
      </w:pPr>
      <w:bookmarkStart w:id="13" w:name="_Toc_4_4_0000000017"/>
    </w:p>
    <w:p>
      <w:pPr>
        <w:tabs>
          <w:tab w:val="left" w:pos="737"/>
        </w:tabs>
        <w:ind w:firstLine="560" w:firstLineChars="200"/>
        <w:jc w:val="left"/>
        <w:outlineLvl w:val="3"/>
        <w:rPr>
          <w:rFonts w:ascii="方正仿宋_GBK" w:hAnsi="方正仿宋_GBK" w:eastAsia="方正仿宋_GBK" w:cs="方正仿宋_GBK"/>
          <w:color w:val="000000"/>
          <w:sz w:val="28"/>
        </w:rPr>
      </w:pPr>
    </w:p>
    <w:p>
      <w:pPr>
        <w:tabs>
          <w:tab w:val="left" w:pos="737"/>
        </w:tabs>
        <w:ind w:firstLine="560" w:firstLineChars="200"/>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.社区楼门长工作经费绩效目标表</w:t>
      </w:r>
      <w:bookmarkEnd w:id="13"/>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3"/>
        <w:gridCol w:w="1276"/>
        <w:gridCol w:w="2268"/>
        <w:gridCol w:w="2835"/>
        <w:gridCol w:w="1275"/>
        <w:gridCol w:w="5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903" w:type="dxa"/>
            <w:shd w:val="clear" w:color="auto" w:fill="auto"/>
            <w:vAlign w:val="center"/>
          </w:tcPr>
          <w:p>
            <w:pPr>
              <w:spacing w:line="28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绩效目标</w:t>
            </w:r>
          </w:p>
        </w:tc>
        <w:tc>
          <w:tcPr>
            <w:tcW w:w="13159" w:type="dxa"/>
            <w:gridSpan w:val="5"/>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加强社区楼门长建设，保证日常工作落实到位，为工作的顺利开展做好充足的保障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903" w:type="dxa"/>
            <w:shd w:val="clear" w:color="auto" w:fill="auto"/>
            <w:vAlign w:val="center"/>
          </w:tcPr>
          <w:p>
            <w:pPr>
              <w:spacing w:line="28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一级指标</w:t>
            </w:r>
          </w:p>
        </w:tc>
        <w:tc>
          <w:tcPr>
            <w:tcW w:w="1276" w:type="dxa"/>
            <w:shd w:val="clear" w:color="auto" w:fill="auto"/>
            <w:vAlign w:val="center"/>
          </w:tcPr>
          <w:p>
            <w:pPr>
              <w:spacing w:line="28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2268" w:type="dxa"/>
            <w:shd w:val="clear" w:color="auto" w:fill="auto"/>
            <w:vAlign w:val="center"/>
          </w:tcPr>
          <w:p>
            <w:pPr>
              <w:spacing w:line="28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2835" w:type="dxa"/>
            <w:shd w:val="clear" w:color="auto" w:fill="auto"/>
            <w:vAlign w:val="center"/>
          </w:tcPr>
          <w:p>
            <w:pPr>
              <w:spacing w:line="28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275" w:type="dxa"/>
            <w:shd w:val="clear" w:color="auto" w:fill="auto"/>
            <w:vAlign w:val="center"/>
          </w:tcPr>
          <w:p>
            <w:pPr>
              <w:spacing w:line="28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5505" w:type="dxa"/>
            <w:shd w:val="clear" w:color="auto" w:fill="auto"/>
            <w:vAlign w:val="center"/>
          </w:tcPr>
          <w:p>
            <w:pPr>
              <w:spacing w:line="28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03" w:type="dxa"/>
            <w:vMerge w:val="restart"/>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1276" w:type="dxa"/>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楼门长责任区数量</w:t>
            </w:r>
          </w:p>
        </w:tc>
        <w:tc>
          <w:tcPr>
            <w:tcW w:w="283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楼门长责任区数量</w:t>
            </w:r>
          </w:p>
        </w:tc>
        <w:tc>
          <w:tcPr>
            <w:tcW w:w="127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≥2707个</w:t>
            </w:r>
          </w:p>
        </w:tc>
        <w:tc>
          <w:tcPr>
            <w:tcW w:w="550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中共廊坊市广阳区委办公室、廊坊市广阳区人民政府办公室关于印发《廊坊市广阳区关于在社区推行“三评积分”党建工作机制的实施方案》的通知（廊广办传[2020]16号）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903" w:type="dxa"/>
            <w:vMerge w:val="continue"/>
            <w:shd w:val="clear" w:color="auto" w:fill="auto"/>
            <w:vAlign w:val="center"/>
          </w:tcPr>
          <w:p>
            <w:pPr>
              <w:spacing w:line="280" w:lineRule="exact"/>
              <w:jc w:val="left"/>
              <w:rPr>
                <w:rFonts w:ascii="Times New Roman" w:hAnsi="Times New Roman" w:eastAsia="仿宋_GB2312" w:cs="Times New Roman"/>
              </w:rPr>
            </w:pPr>
          </w:p>
        </w:tc>
        <w:tc>
          <w:tcPr>
            <w:tcW w:w="1276" w:type="dxa"/>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楼门长住户知晓率</w:t>
            </w:r>
          </w:p>
        </w:tc>
        <w:tc>
          <w:tcPr>
            <w:tcW w:w="283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知晓楼门长的人数与社区总人数的比例</w:t>
            </w:r>
          </w:p>
        </w:tc>
        <w:tc>
          <w:tcPr>
            <w:tcW w:w="127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≥95%</w:t>
            </w:r>
          </w:p>
        </w:tc>
        <w:tc>
          <w:tcPr>
            <w:tcW w:w="550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《关于进一步完善社区治理体系加强楼门长建设的实施意见》的通知（廊广办发[2020]1号）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03" w:type="dxa"/>
            <w:vMerge w:val="continue"/>
            <w:shd w:val="clear" w:color="auto" w:fill="auto"/>
            <w:vAlign w:val="center"/>
          </w:tcPr>
          <w:p>
            <w:pPr>
              <w:spacing w:line="280" w:lineRule="exact"/>
              <w:jc w:val="left"/>
              <w:rPr>
                <w:rFonts w:ascii="Times New Roman" w:hAnsi="Times New Roman" w:eastAsia="仿宋_GB2312" w:cs="Times New Roman"/>
              </w:rPr>
            </w:pPr>
          </w:p>
        </w:tc>
        <w:tc>
          <w:tcPr>
            <w:tcW w:w="1276" w:type="dxa"/>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楼门长“三评积分”评比工作开展及时率</w:t>
            </w:r>
          </w:p>
        </w:tc>
        <w:tc>
          <w:tcPr>
            <w:tcW w:w="283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及时开展楼门长评比工作的次数与文件要求次数的比例</w:t>
            </w:r>
          </w:p>
        </w:tc>
        <w:tc>
          <w:tcPr>
            <w:tcW w:w="127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550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中共廊坊市广阳区委办公室、廊坊市广阳区人民政府办公室关于印发《廊坊市广阳区关于在社区推行“三评积分”党建工作机制的实施方案》的通知（廊广办传[2020]16号）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03" w:type="dxa"/>
            <w:vMerge w:val="continue"/>
            <w:shd w:val="clear" w:color="auto" w:fill="auto"/>
            <w:vAlign w:val="center"/>
          </w:tcPr>
          <w:p>
            <w:pPr>
              <w:spacing w:line="280" w:lineRule="exact"/>
              <w:jc w:val="left"/>
              <w:rPr>
                <w:rFonts w:ascii="Times New Roman" w:hAnsi="Times New Roman" w:eastAsia="仿宋_GB2312" w:cs="Times New Roman"/>
              </w:rPr>
            </w:pPr>
          </w:p>
        </w:tc>
        <w:tc>
          <w:tcPr>
            <w:tcW w:w="1276" w:type="dxa"/>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楼门长责任区数量</w:t>
            </w:r>
          </w:p>
        </w:tc>
        <w:tc>
          <w:tcPr>
            <w:tcW w:w="283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楼门长责任区数量</w:t>
            </w:r>
          </w:p>
        </w:tc>
        <w:tc>
          <w:tcPr>
            <w:tcW w:w="127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≥2707个</w:t>
            </w:r>
          </w:p>
        </w:tc>
        <w:tc>
          <w:tcPr>
            <w:tcW w:w="550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中共廊坊市广阳区委办公室、廊坊市广阳区人民政府办公室关于印发《廊坊市广阳区关于在社区推行“三评积分”党建工作机制的实施方案》的通知（廊广办传[2020]16号）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03" w:type="dxa"/>
            <w:vMerge w:val="restart"/>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1276" w:type="dxa"/>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社区楼门长覆盖率</w:t>
            </w:r>
          </w:p>
        </w:tc>
        <w:tc>
          <w:tcPr>
            <w:tcW w:w="283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配备楼门长的社区数量与社区总数的比例</w:t>
            </w:r>
          </w:p>
        </w:tc>
        <w:tc>
          <w:tcPr>
            <w:tcW w:w="127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≥95%</w:t>
            </w:r>
          </w:p>
        </w:tc>
        <w:tc>
          <w:tcPr>
            <w:tcW w:w="550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《关于进一步完善社区治理体系加强楼门长建设的实施意见》的通知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03" w:type="dxa"/>
            <w:vMerge w:val="continue"/>
            <w:shd w:val="clear" w:color="auto" w:fill="auto"/>
            <w:vAlign w:val="center"/>
          </w:tcPr>
          <w:p>
            <w:pPr>
              <w:spacing w:line="280" w:lineRule="exact"/>
              <w:jc w:val="left"/>
              <w:rPr>
                <w:rFonts w:ascii="Times New Roman" w:hAnsi="Times New Roman" w:eastAsia="仿宋_GB2312" w:cs="Times New Roman"/>
              </w:rPr>
            </w:pPr>
          </w:p>
        </w:tc>
        <w:tc>
          <w:tcPr>
            <w:tcW w:w="1276"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可持续影响指标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形成“贴近群众、积极参与、主动承担、共建共享”的网格化管理服务工作新格局</w:t>
            </w:r>
          </w:p>
        </w:tc>
        <w:tc>
          <w:tcPr>
            <w:tcW w:w="283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形成“贴近群众、积极参与、主动承担、共建共享”的网格化管理服务工作新格局</w:t>
            </w:r>
          </w:p>
        </w:tc>
        <w:tc>
          <w:tcPr>
            <w:tcW w:w="127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长期指标</w:t>
            </w:r>
          </w:p>
        </w:tc>
        <w:tc>
          <w:tcPr>
            <w:tcW w:w="550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03" w:type="dxa"/>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1276"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群众满意度</w:t>
            </w:r>
          </w:p>
        </w:tc>
        <w:tc>
          <w:tcPr>
            <w:tcW w:w="283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对楼门长工作满意的人数与抽到到的群众人数的比例</w:t>
            </w:r>
          </w:p>
        </w:tc>
        <w:tc>
          <w:tcPr>
            <w:tcW w:w="127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550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调查问卷</w:t>
            </w:r>
          </w:p>
        </w:tc>
      </w:tr>
    </w:tbl>
    <w:p>
      <w:pPr>
        <w:ind w:firstLine="560"/>
        <w:jc w:val="left"/>
        <w:outlineLvl w:val="3"/>
        <w:rPr>
          <w:rFonts w:ascii="方正仿宋_GBK" w:hAnsi="方正仿宋_GBK" w:eastAsia="方正仿宋_GBK" w:cs="方正仿宋_GBK"/>
          <w:color w:val="000000"/>
          <w:sz w:val="28"/>
        </w:rPr>
      </w:pPr>
      <w:bookmarkStart w:id="14" w:name="_Toc_4_4_0000000018"/>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.提前下达2021年度下派选调生到村工作中央财政补助资金绩效目标表</w:t>
      </w:r>
      <w:bookmarkEnd w:id="14"/>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1.保障到村任职选调生日常工作，提高选调生在村工作积极性，促进选调生在基层发光发热。</w:t>
            </w:r>
          </w:p>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2.提高选调生在基层工作热情，提高工作水平。</w:t>
            </w:r>
          </w:p>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3.为选调生进行国情村情调研提供支持和保障。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保障补贴对象人数占应保人数之比</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保障补贴对象人数占应保人数之比</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补贴物资购置成本</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补贴物资购置成本</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≤23.25万元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形成一批高水平优秀调研报告</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形成一批高水平优秀调研报告</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成效明显</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能够按时发放，补贴到位</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能够按时发放，补贴到位</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按时发放</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到村任职选调生在农村干事创业，农村基层党建工作水平逐步提高。</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到村任职选调生在农村干事创业，农村基层党建工作水平逐步提高。</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成效明显</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可持续影响指标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保障选调生在村工作积极性，持续服务基层，干事创业</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保障选调生在村工作积极性，持续服务基层，干事创业</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持续增强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在村任职选调生对补贴物资满意</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在村任职选调生对补贴物资满意</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是否满意</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冀组明字[2020]26号</w:t>
            </w:r>
          </w:p>
        </w:tc>
      </w:tr>
    </w:tbl>
    <w:p>
      <w:pPr>
        <w:jc w:val="left"/>
        <w:outlineLvl w:val="3"/>
        <w:rPr>
          <w:rFonts w:ascii="方正仿宋_GBK" w:hAnsi="方正仿宋_GBK" w:eastAsia="方正仿宋_GBK" w:cs="方正仿宋_GBK"/>
          <w:color w:val="000000"/>
          <w:sz w:val="28"/>
        </w:rPr>
      </w:pPr>
      <w:bookmarkStart w:id="15" w:name="_Toc_4_4_0000000019"/>
    </w:p>
    <w:p>
      <w:pPr>
        <w:jc w:val="left"/>
        <w:outlineLvl w:val="3"/>
        <w:rPr>
          <w:rFonts w:ascii="方正仿宋_GBK" w:hAnsi="方正仿宋_GBK" w:eastAsia="方正仿宋_GBK" w:cs="方正仿宋_GBK"/>
          <w:color w:val="000000"/>
          <w:sz w:val="28"/>
        </w:rPr>
      </w:pPr>
    </w:p>
    <w:p>
      <w:pPr>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下派选调生到村工作财政补助资金[中央]绩效目标表</w:t>
      </w:r>
      <w:bookmarkEnd w:id="15"/>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提高在村任职选调生工作水平，形成高质量的国情调研、村情调研报告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保障补助对象人数占应保人数之比</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为加强到村任职选调生管理，帮助下派到村选调生尽快适应基层工作，加强针对到村任职选调生的教育培训，促进国情调研的开展，充分利用2022年度下派选调生到村工作财政补助资金，完成选调生到村任职不住工作。</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廊财行[2021]20号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形成一批高质量的国情、村请调研</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在村任职选调生的国庆调研报告质量</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成效明显</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廊财行[2021]20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≤37.4万元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廊财行[2021]20号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完成时限</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完成时限</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按时补贴到位</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廊财行[2021]20号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选调生工作水平提高，农村工作水平提高</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选调生在村工作水平是否提高</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成效明显</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廊财行[2021]20号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对政策落实情况满意的选调生占补助资金覆盖的到村任职选调生总数之比</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选调生对补助资金的满意程度</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≥95百分比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廊广财行[2021]20号</w:t>
            </w:r>
          </w:p>
        </w:tc>
      </w:tr>
    </w:tbl>
    <w:p>
      <w:pPr>
        <w:autoSpaceDE w:val="0"/>
        <w:autoSpaceDN w:val="0"/>
        <w:adjustRightInd w:val="0"/>
        <w:spacing w:line="584" w:lineRule="exact"/>
        <w:ind w:firstLine="560" w:firstLineChars="200"/>
        <w:jc w:val="left"/>
        <w:rPr>
          <w:rFonts w:ascii="方正仿宋_GBK" w:hAnsi="方正仿宋_GBK" w:eastAsia="方正仿宋_GBK" w:cs="方正仿宋_GBK"/>
          <w:color w:val="000000"/>
          <w:sz w:val="28"/>
        </w:rPr>
      </w:pPr>
      <w:bookmarkStart w:id="16" w:name="_Toc_4_4_0000000020"/>
    </w:p>
    <w:p>
      <w:pPr>
        <w:autoSpaceDE w:val="0"/>
        <w:autoSpaceDN w:val="0"/>
        <w:adjustRightInd w:val="0"/>
        <w:spacing w:line="584" w:lineRule="exact"/>
        <w:ind w:firstLine="560" w:firstLineChars="200"/>
        <w:jc w:val="left"/>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.学习培训经费绩效目标表</w:t>
      </w:r>
      <w:bookmarkEnd w:id="16"/>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通过干部培训工作，培养造就忠诚干净担当的高素质专业化干部队伍，奋力开创新时代加快建设经济强区、美丽广阳新局面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培训对象覆盖率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培训对象覆盖率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科级及以下干部培训时长达标率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科级及以下干部培训时长达标率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培训成本控制率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培训成本控制率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单位脱产培训调训率达标率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单位脱产培训调训率达标率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干部培训成绩合格率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干部培训成绩合格率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培训干部满意度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培训干部满意度</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廊发【2019】9号</w:t>
            </w:r>
          </w:p>
        </w:tc>
      </w:tr>
    </w:tbl>
    <w:p>
      <w:pPr>
        <w:ind w:firstLine="560"/>
        <w:jc w:val="left"/>
        <w:outlineLvl w:val="3"/>
        <w:rPr>
          <w:rFonts w:ascii="方正仿宋_GBK" w:hAnsi="方正仿宋_GBK" w:eastAsia="方正仿宋_GBK" w:cs="方正仿宋_GBK"/>
          <w:color w:val="000000"/>
          <w:sz w:val="28"/>
        </w:rPr>
      </w:pPr>
      <w:bookmarkStart w:id="17" w:name="_Toc_4_4_0000000021"/>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.正常离任村干部生活补贴绩效目标表</w:t>
      </w:r>
      <w:bookmarkEnd w:id="17"/>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妥善解决村党组织书记、村委会主任“退后有所养”问题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离任补贴数量完成率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实际发放离任补贴人数与符合离任补贴条件的离任村干部人数的比例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《关于落实正常离任村党组织书记、村委会主任生活补贴的办法（试行）》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离任补贴质量达标率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按照离任补贴标准发放补贴的人数与符合离任补贴条件的历任村干部人数的比例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《关于落实正常离任村党组织书记、村委会主任生活补贴的办法（试行）》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离任补贴发放及时率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离任补贴及时发放人数占全区所有符合发放条件人数的比率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《关于落实正常离任村党组织书记、村委会主任生活补贴的办法（试行）》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资金成本控制</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实际发放历任村干部补贴</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≤85.32万元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《关于落实正常离任村党组织书记、村委会主任生活补贴的办法（试行）》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离任村干部基本生活保障率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回复基本生活得到保障的人数与抽查到的离任村干部人数的比例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可持续影响指标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村干部工作积极性提高率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回复离任补贴政策可以提高其工作积极性的村干部人数与抽查到的村干部人数的比例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离任村干部满意度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对离任补贴政策满意的村干部占抽查到的离任村干部人数的比例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00" w:lineRule="exact"/>
        <w:ind w:firstLine="420"/>
        <w:rPr>
          <w:rFonts w:ascii="方正仿宋_GBK" w:hAnsi="方正仿宋_GBK" w:eastAsia="方正仿宋_GBK" w:cs="方正仿宋_GBK"/>
          <w:color w:val="000000"/>
        </w:rPr>
      </w:pPr>
      <w:bookmarkStart w:id="18"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w:t>
      </w:r>
      <w:bookmarkEnd w:id="18"/>
      <w:r>
        <w:rPr>
          <w:rFonts w:ascii="Times New Roman" w:hAnsi="Times New Roman" w:eastAsia="仿宋_GB2312" w:cs="Times New Roman"/>
          <w:sz w:val="32"/>
          <w:szCs w:val="24"/>
        </w:rPr>
        <w:t>具体内容见下表</w:t>
      </w:r>
      <w:r>
        <w:rPr>
          <w:rFonts w:ascii="方正仿宋_GBK" w:hAnsi="方正仿宋_GBK" w:eastAsia="方正仿宋_GBK" w:cs="方正仿宋_GBK"/>
          <w:color w:val="000000"/>
        </w:rPr>
        <w:t>。</w:t>
      </w:r>
    </w:p>
    <w:p>
      <w:pPr>
        <w:jc w:val="center"/>
        <w:outlineLvl w:val="1"/>
        <w:rPr>
          <w:rFonts w:ascii="方正小标宋_GBK" w:eastAsia="方正小标宋_GBK" w:cs="Times New Roman"/>
          <w:sz w:val="32"/>
        </w:rPr>
      </w:pPr>
      <w:bookmarkStart w:id="19"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9"/>
    </w:p>
    <w:p>
      <w:pPr>
        <w:ind w:firstLine="945" w:firstLineChars="450"/>
        <w:jc w:val="left"/>
        <w:outlineLvl w:val="1"/>
        <w:rPr>
          <w:rFonts w:ascii="方正小标宋_GBK" w:eastAsia="方正小标宋_GBK" w:cs="Times New Roman"/>
          <w:sz w:val="32"/>
        </w:rPr>
      </w:pPr>
      <w:r>
        <w:t>[263001]</w:t>
      </w:r>
      <w:r>
        <w:rPr>
          <w:rFonts w:hint="eastAsia"/>
        </w:rPr>
        <w:t>中国共产党廊坊市广阳区委员会组织部</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0"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3" w:type="pct"/>
            <w:gridSpan w:val="8"/>
            <w:vAlign w:val="center"/>
          </w:tcPr>
          <w:p>
            <w:pPr>
              <w:pStyle w:val="12"/>
            </w:pPr>
            <w:r>
              <w:t>政府采购金额（当年</w:t>
            </w:r>
            <w:r>
              <w:rPr>
                <w:rFonts w:hint="eastAsia"/>
                <w:lang w:eastAsia="zh-CN"/>
              </w:rPr>
              <w:t>单位</w:t>
            </w:r>
            <w:r>
              <w:t>预算安排资金）</w:t>
            </w:r>
          </w:p>
        </w:tc>
        <w:tc>
          <w:tcPr>
            <w:tcW w:w="309"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0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4"/>
            </w:pPr>
          </w:p>
        </w:tc>
        <w:tc>
          <w:tcPr>
            <w:tcW w:w="313" w:type="pct"/>
            <w:vAlign w:val="center"/>
          </w:tcPr>
          <w:p>
            <w:pPr>
              <w:pStyle w:val="13"/>
            </w:pPr>
          </w:p>
        </w:tc>
        <w:tc>
          <w:tcPr>
            <w:tcW w:w="368" w:type="pct"/>
            <w:vAlign w:val="center"/>
          </w:tcPr>
          <w:p>
            <w:pPr>
              <w:pStyle w:val="14"/>
            </w:pPr>
          </w:p>
        </w:tc>
        <w:tc>
          <w:tcPr>
            <w:tcW w:w="368" w:type="pct"/>
            <w:vAlign w:val="center"/>
          </w:tcPr>
          <w:p>
            <w:pPr>
              <w:pStyle w:val="14"/>
            </w:pPr>
          </w:p>
        </w:tc>
        <w:tc>
          <w:tcPr>
            <w:tcW w:w="230" w:type="pct"/>
            <w:vAlign w:val="center"/>
          </w:tcPr>
          <w:p>
            <w:pPr>
              <w:pStyle w:val="15"/>
            </w:pPr>
          </w:p>
        </w:tc>
        <w:tc>
          <w:tcPr>
            <w:tcW w:w="276" w:type="pct"/>
            <w:vAlign w:val="center"/>
          </w:tcPr>
          <w:p>
            <w:pPr>
              <w:pStyle w:val="13"/>
            </w:pPr>
          </w:p>
        </w:tc>
        <w:tc>
          <w:tcPr>
            <w:tcW w:w="276"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09"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中国共产党廊坊市广阳区委员会组织部</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133.56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tbl>
      <w:tblPr>
        <w:tblStyle w:val="8"/>
        <w:tblW w:w="5000" w:type="pct"/>
        <w:tblInd w:w="0" w:type="dxa"/>
        <w:tblLayout w:type="autofit"/>
        <w:tblCellMar>
          <w:top w:w="0" w:type="dxa"/>
          <w:left w:w="108" w:type="dxa"/>
          <w:bottom w:w="0" w:type="dxa"/>
          <w:right w:w="108" w:type="dxa"/>
        </w:tblCellMar>
      </w:tblPr>
      <w:tblGrid>
        <w:gridCol w:w="5491"/>
        <w:gridCol w:w="3317"/>
        <w:gridCol w:w="5366"/>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p>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sz w:val="32"/>
                <w:szCs w:val="32"/>
              </w:rPr>
              <w:t>中国共产党廊坊市广阳区委员会组织部</w:t>
            </w:r>
            <w:r>
              <w:rPr>
                <w:rFonts w:ascii="Times New Roman" w:hAnsi="Times New Roman" w:eastAsia="仿宋_GB2312" w:cs="Times New Roman"/>
                <w:b/>
                <w:bCs/>
                <w:kern w:val="0"/>
                <w:sz w:val="32"/>
                <w:szCs w:val="32"/>
              </w:rPr>
              <w:t>固定资产占用情况表</w:t>
            </w:r>
          </w:p>
          <w:p>
            <w:pPr>
              <w:widowControl/>
              <w:spacing w:line="584" w:lineRule="exact"/>
              <w:jc w:val="center"/>
              <w:rPr>
                <w:rFonts w:hint="eastAsia" w:ascii="Times New Roman" w:hAnsi="Times New Roman" w:eastAsia="仿宋_GB2312" w:cs="Times New Roman"/>
                <w:b/>
                <w:bCs/>
                <w:kern w:val="0"/>
                <w:sz w:val="32"/>
                <w:szCs w:val="32"/>
              </w:rPr>
            </w:pPr>
          </w:p>
        </w:tc>
      </w:tr>
      <w:tr>
        <w:tblPrEx>
          <w:tblCellMar>
            <w:top w:w="0" w:type="dxa"/>
            <w:left w:w="108" w:type="dxa"/>
            <w:bottom w:w="0" w:type="dxa"/>
            <w:right w:w="108" w:type="dxa"/>
          </w:tblCellMar>
        </w:tblPrEx>
        <w:trPr>
          <w:trHeight w:val="510" w:hRule="atLeast"/>
        </w:trPr>
        <w:tc>
          <w:tcPr>
            <w:tcW w:w="3107" w:type="pct"/>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rPr>
              <w:t>中国共产党廊坊市广阳区委员会组织部</w:t>
            </w:r>
          </w:p>
        </w:tc>
        <w:tc>
          <w:tcPr>
            <w:tcW w:w="1893" w:type="pct"/>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19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1170" w:type="pct"/>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1893" w:type="pct"/>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1937" w:type="pct"/>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1170"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1893"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133.56</w:t>
            </w:r>
          </w:p>
        </w:tc>
      </w:tr>
      <w:tr>
        <w:tblPrEx>
          <w:tblCellMar>
            <w:top w:w="0" w:type="dxa"/>
            <w:left w:w="108" w:type="dxa"/>
            <w:bottom w:w="0" w:type="dxa"/>
            <w:right w:w="108" w:type="dxa"/>
          </w:tblCellMar>
        </w:tblPrEx>
        <w:trPr>
          <w:trHeight w:val="567" w:hRule="exact"/>
        </w:trPr>
        <w:tc>
          <w:tcPr>
            <w:tcW w:w="1937" w:type="pct"/>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1170"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1893"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1937" w:type="pct"/>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1170"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1893"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1937" w:type="pct"/>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1170"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1893"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20.26</w:t>
            </w:r>
          </w:p>
        </w:tc>
      </w:tr>
      <w:tr>
        <w:tblPrEx>
          <w:tblCellMar>
            <w:top w:w="0" w:type="dxa"/>
            <w:left w:w="108" w:type="dxa"/>
            <w:bottom w:w="0" w:type="dxa"/>
            <w:right w:w="108" w:type="dxa"/>
          </w:tblCellMar>
        </w:tblPrEx>
        <w:trPr>
          <w:trHeight w:val="567" w:hRule="exact"/>
        </w:trPr>
        <w:tc>
          <w:tcPr>
            <w:tcW w:w="1937" w:type="pct"/>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1170"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1893"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1937" w:type="pct"/>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1170"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1893"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113.3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5" w:type="default"/>
      <w:pgSz w:w="16838" w:h="11906" w:orient="landscape"/>
      <w:pgMar w:top="1797" w:right="1440" w:bottom="1797"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025DF"/>
    <w:rsid w:val="0025632D"/>
    <w:rsid w:val="00262413"/>
    <w:rsid w:val="00266BCA"/>
    <w:rsid w:val="003059E0"/>
    <w:rsid w:val="004A54AA"/>
    <w:rsid w:val="008A674B"/>
    <w:rsid w:val="00930E76"/>
    <w:rsid w:val="00944233"/>
    <w:rsid w:val="0098233F"/>
    <w:rsid w:val="009B344C"/>
    <w:rsid w:val="009B5A3A"/>
    <w:rsid w:val="00A41E54"/>
    <w:rsid w:val="00B33B20"/>
    <w:rsid w:val="00B40732"/>
    <w:rsid w:val="00B54F77"/>
    <w:rsid w:val="00B80935"/>
    <w:rsid w:val="00CF28D8"/>
    <w:rsid w:val="00D347CC"/>
    <w:rsid w:val="00D53DF6"/>
    <w:rsid w:val="00DA7575"/>
    <w:rsid w:val="00DC72B4"/>
    <w:rsid w:val="00F7105B"/>
    <w:rsid w:val="00FC3593"/>
    <w:rsid w:val="0CEC1180"/>
    <w:rsid w:val="36E34289"/>
    <w:rsid w:val="38690FCF"/>
    <w:rsid w:val="402505C1"/>
    <w:rsid w:val="4D532DF7"/>
    <w:rsid w:val="57375346"/>
    <w:rsid w:val="6B1B5A81"/>
    <w:rsid w:val="703F5DDD"/>
    <w:rsid w:val="70D21259"/>
    <w:rsid w:val="73693C55"/>
    <w:rsid w:val="78661960"/>
    <w:rsid w:val="7E0A063F"/>
    <w:rsid w:val="7EF12573"/>
    <w:rsid w:val="7F057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2916</Words>
  <Characters>16623</Characters>
  <Lines>138</Lines>
  <Paragraphs>38</Paragraphs>
  <TotalTime>4</TotalTime>
  <ScaleCrop>false</ScaleCrop>
  <LinksUpToDate>false</LinksUpToDate>
  <CharactersWithSpaces>19501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2024-05-14T07:00:08Z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0B5BF5560FF44507875056AA98A831D3</vt:lpwstr>
  </property>
</Properties>
</file>