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bookmarkStart w:id="3" w:name="_GoBack"/>
      <w:bookmarkEnd w:id="3"/>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广阳区人民政府办公室</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广阳区人民政府办公室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（一）围绕区政府各时期的中心工作和重点工作，加强调查研究，及时了解、掌握经济和社会发展动态，及时反应信息情况，提出建议。</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（二）负责区政府各种会议的准备工作，协助区政领导同志组织各类会议。</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（三）负责区政府重要文、电的起草、审核把关和政府机关的文书处理工作；负责区政府机关的档案管理、印信管理和保密工作。</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（四）负责区政府工作报告、领导同志重要讲话及其他重要材料的起草、修改工作。</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（五）根据工作需要，负责与区委、人大、政协、纪委、中省直驻廊单位和驻廊部队的联系；协调乡镇、街办处、</w:t>
      </w:r>
      <w:r>
        <w:rPr>
          <w:rFonts w:hint="eastAsia" w:ascii="仿宋_GB2312" w:eastAsia="仿宋_GB2312"/>
          <w:sz w:val="32"/>
          <w:szCs w:val="32"/>
          <w:lang w:eastAsia="zh-CN"/>
        </w:rPr>
        <w:t>单位</w:t>
      </w:r>
      <w:r>
        <w:rPr>
          <w:rFonts w:hint="eastAsia" w:ascii="仿宋_GB2312" w:eastAsia="仿宋_GB2312"/>
          <w:sz w:val="32"/>
          <w:szCs w:val="32"/>
        </w:rPr>
        <w:t>之间的关系和工作，对重要的问题提出处理意见，报区政府领导审定。</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（六）督促检查区政府各</w:t>
      </w:r>
      <w:r>
        <w:rPr>
          <w:rFonts w:hint="eastAsia" w:ascii="仿宋_GB2312" w:eastAsia="仿宋_GB2312"/>
          <w:sz w:val="32"/>
          <w:szCs w:val="32"/>
          <w:lang w:eastAsia="zh-CN"/>
        </w:rPr>
        <w:t>单位</w:t>
      </w:r>
      <w:r>
        <w:rPr>
          <w:rFonts w:hint="eastAsia" w:ascii="仿宋_GB2312" w:eastAsia="仿宋_GB2312"/>
          <w:sz w:val="32"/>
          <w:szCs w:val="32"/>
        </w:rPr>
        <w:t>、各乡镇人民政府、街道办事处对省政府、市政府、区政府重要文件，区政府会议决定事项及区政府领导同志重要批示的执行、落实情况，并向区政府领导同志报告。</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（七）负责区政府机关值班工作，及时向区政府领导同志报告重要情况，协助领导同志组织处理突发事件、重大灾情和重大事故。</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（八）负责全国、省、市、区人大代表建议、批评、意见及全国、省、市、区政协提案的办理。</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（九）负责区政府外宾、内宾接待，公务接待工作。</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（十）负责经济体制改革工作，负责区政府机关事务管理工作。</w:t>
      </w:r>
    </w:p>
    <w:p>
      <w:pPr>
        <w:spacing w:line="584" w:lineRule="exact"/>
        <w:ind w:firstLine="660"/>
        <w:rPr>
          <w:rFonts w:ascii="Times New Roman" w:hAnsi="Times New Roman" w:eastAsia="仿宋_GB2312" w:cs="Times New Roman"/>
          <w:sz w:val="32"/>
          <w:szCs w:val="32"/>
        </w:rPr>
      </w:pPr>
      <w:r>
        <w:rPr>
          <w:rFonts w:hint="eastAsia" w:ascii="仿宋_GB2312" w:eastAsia="仿宋_GB2312"/>
          <w:sz w:val="32"/>
          <w:szCs w:val="32"/>
        </w:rPr>
        <w:t>（十一）办理区政府领导交办的其他事项。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tcPr>
          <w:p>
            <w:pPr>
              <w:widowControl/>
              <w:spacing w:line="580" w:lineRule="exact"/>
              <w:jc w:val="center"/>
              <w:rPr>
                <w:rFonts w:ascii="Times New Roman" w:hAnsi="Times New Roman" w:eastAsia="仿宋_GB2312" w:cs="Times New Roman"/>
                <w:b/>
                <w:szCs w:val="21"/>
              </w:rPr>
            </w:pPr>
            <w:r>
              <w:rPr>
                <w:rFonts w:hint="eastAsia" w:eastAsia="仿宋_GB2312"/>
                <w:b/>
                <w:szCs w:val="21"/>
              </w:rPr>
              <w:t>廊坊市广阳区人民政府办公室</w:t>
            </w:r>
          </w:p>
        </w:tc>
        <w:tc>
          <w:tcPr>
            <w:tcW w:w="1134" w:type="dxa"/>
            <w:shd w:val="clear" w:color="auto" w:fill="auto"/>
          </w:tcPr>
          <w:p>
            <w:pPr>
              <w:widowControl/>
              <w:spacing w:line="580" w:lineRule="exact"/>
              <w:jc w:val="center"/>
              <w:rPr>
                <w:rFonts w:ascii="Times New Roman" w:hAnsi="Times New Roman" w:eastAsia="仿宋_GB2312" w:cs="Times New Roman"/>
                <w:b/>
                <w:szCs w:val="21"/>
              </w:rPr>
            </w:pPr>
            <w:r>
              <w:rPr>
                <w:rFonts w:hint="eastAsia" w:eastAsia="仿宋_GB2312"/>
                <w:b/>
                <w:szCs w:val="21"/>
              </w:rPr>
              <w:t>行政单位</w:t>
            </w:r>
          </w:p>
        </w:tc>
        <w:tc>
          <w:tcPr>
            <w:tcW w:w="1276" w:type="dxa"/>
            <w:shd w:val="clear" w:color="auto" w:fill="auto"/>
          </w:tcPr>
          <w:p>
            <w:pPr>
              <w:widowControl/>
              <w:spacing w:line="580" w:lineRule="exact"/>
              <w:jc w:val="center"/>
              <w:rPr>
                <w:rFonts w:ascii="Times New Roman" w:hAnsi="Times New Roman" w:eastAsia="仿宋_GB2312" w:cs="Times New Roman"/>
                <w:b/>
                <w:szCs w:val="21"/>
              </w:rPr>
            </w:pPr>
            <w:r>
              <w:rPr>
                <w:rFonts w:hint="eastAsia" w:eastAsia="仿宋_GB2312"/>
                <w:b/>
                <w:szCs w:val="21"/>
              </w:rPr>
              <w:t>正科级</w:t>
            </w:r>
          </w:p>
        </w:tc>
        <w:tc>
          <w:tcPr>
            <w:tcW w:w="2902" w:type="dxa"/>
            <w:shd w:val="clear" w:color="auto" w:fill="auto"/>
          </w:tcPr>
          <w:p>
            <w:pPr>
              <w:widowControl/>
              <w:spacing w:line="580" w:lineRule="exact"/>
              <w:jc w:val="center"/>
              <w:rPr>
                <w:rFonts w:ascii="Times New Roman" w:hAnsi="Times New Roman" w:eastAsia="仿宋_GB2312" w:cs="Times New Roman"/>
                <w:b/>
                <w:szCs w:val="21"/>
              </w:rPr>
            </w:pPr>
            <w:r>
              <w:rPr>
                <w:rFonts w:hint="eastAsia" w:eastAsia="仿宋_GB2312"/>
                <w:b/>
                <w:szCs w:val="21"/>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rPr>
        <w:t>广阳区人民政府办公室</w:t>
      </w:r>
      <w:r>
        <w:rPr>
          <w:rFonts w:ascii="Times New Roman" w:hAnsi="Times New Roman" w:eastAsia="仿宋_GB2312" w:cs="Times New Roman"/>
          <w:sz w:val="32"/>
          <w:szCs w:val="32"/>
        </w:rPr>
        <w:t>机关及所属事业单位的收支包含在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1644.62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1644.62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广阳区人民政府办公室2022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1644.62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1088.83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877.53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211.3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555.79</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区政府一招人员经费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区政府华侨补贴、政务管理经费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1644.62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88.9</w:t>
      </w:r>
      <w:r>
        <w:rPr>
          <w:rFonts w:ascii="Times New Roman" w:hAnsi="Times New Roman" w:eastAsia="仿宋_GB2312" w:cs="Times New Roman"/>
          <w:sz w:val="32"/>
          <w:szCs w:val="32"/>
        </w:rPr>
        <w:t>万元，其中：基本支出减</w:t>
      </w:r>
      <w:r>
        <w:rPr>
          <w:rFonts w:hint="eastAsia" w:ascii="Times New Roman" w:hAnsi="Times New Roman" w:eastAsia="仿宋_GB2312" w:cs="Times New Roman"/>
          <w:sz w:val="32"/>
          <w:szCs w:val="32"/>
        </w:rPr>
        <w:t>少40.31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人员保险</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129.21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办公自动化</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211.3</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广阳区政府</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91.33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15.33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15.33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76</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1年相比持平，无增减变化。</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五、</w:t>
      </w:r>
      <w:r>
        <w:rPr>
          <w:rFonts w:ascii="Times New Roman" w:hAnsi="Times New Roman" w:eastAsia="黑体" w:cs="Times New Roman"/>
          <w:sz w:val="32"/>
          <w:szCs w:val="32"/>
        </w:rPr>
        <w:t>预算绩效信息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Times New Roman" w:hAnsi="Times New Roman" w:eastAsia="仿宋_GB2312" w:cs="Times New Roman"/>
          <w:sz w:val="32"/>
          <w:szCs w:val="32"/>
        </w:rPr>
        <w:t>以习近平新时代中国特色社会主义思想为指导，主动适应新形势、新任务、新要求，不断增强做好工作的责任感和使命感，全面提升“四个服务”能力和水平，提高政务服务与管理水平，站位全局谋划工作，精准高效提供服务，依照要求对区政府系统工作进行督查督办，促进国务院和省、市政府重大决策部署和重点工作的推动落实。健全机制推动落实，担当作为锤炼作风，全力攻坚克难，全面提高办公室工作制度化、规范化水平，积淀并宣传区文化，努力开创工作新局面。</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1、区政府一招人员经费</w:t>
      </w:r>
    </w:p>
    <w:p>
      <w:pPr>
        <w:widowControl/>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绩效目标：通过项目的开展保证区政府办一招人员待遇落实到位，满足经费需求，保障职工队伍稳定。</w:t>
      </w:r>
    </w:p>
    <w:p>
      <w:pPr>
        <w:widowControl/>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数量指标为发放人员数量72人次，质量指标为发放标准占计划标准的比例大于等于95%，时效指标为每季度发放完成，成本指标为不超过156.4万元，社会效益指标为有效保障人员生活需求，保持队伍稳定，服务对象满意度为满意人数占全部人数的比例大于等于90%。</w:t>
      </w:r>
    </w:p>
    <w:p>
      <w:pPr>
        <w:widowControl/>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2、归侨职工退休生活补贴经费</w:t>
      </w:r>
    </w:p>
    <w:p>
      <w:pPr>
        <w:widowControl/>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绩效目标：落实归侨职工退休后发放生活补贴政策，满足工作所需经费开支，做到专款专用，保障归国华侨生活补贴及时发放，为工作开展做好充足的准备。</w:t>
      </w:r>
    </w:p>
    <w:p>
      <w:pPr>
        <w:widowControl/>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数量指标为发放人员数量2人次，质量指标为发放对象占应发放对象比例为100%，时效指标为每季度发放，成本指标为不超过0.24万元，社会效益指标为维护社会安定团结，服务对象满意度为满意人数占全部人数的比例大于等于90%。</w:t>
      </w:r>
    </w:p>
    <w:p>
      <w:pPr>
        <w:widowControl/>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3、金融扶贫贴息资金</w:t>
      </w:r>
    </w:p>
    <w:p>
      <w:pPr>
        <w:widowControl/>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绩效目标：实现扶贫小额贷款贴息，为巩固扶贫脱贫成果提供有力支撑。</w:t>
      </w:r>
    </w:p>
    <w:p>
      <w:pPr>
        <w:widowControl/>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数量指标为符合贴息政策的建档立卡贫困户数4户，质量指标为年利息利率不超过贷款基准利率，时效指标为6月前发放完成，成本指标为不超过0.15万元，社会效益指标为及时发放户数占总应发户数的比例为100%，服务对象满意度为满意人数占全部人数的比例大于等于90%。</w:t>
      </w:r>
    </w:p>
    <w:p>
      <w:pPr>
        <w:widowControl/>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4、政务管理经费</w:t>
      </w:r>
    </w:p>
    <w:p>
      <w:pPr>
        <w:widowControl/>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绩效目标：通过项目的开展满足工作所需经费开支，保障区政府办工作有序进行，保障广阳区人民政府办公室完成上级布置的各项工作，加大管理力度，维护社会稳定。</w:t>
      </w:r>
    </w:p>
    <w:p>
      <w:pPr>
        <w:widowControl/>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数量指标为完成工作量占应完成总量的比例大于等于95%，质量指标为合格数量占总数量的比例大于等于95%，时效指标为每季度支出，成本指标为不超过260万元，社会效益指标为t业务提升业务保障能力，服务对象满意度为满意人数占全部人数的比例大于等于95%。</w:t>
      </w:r>
    </w:p>
    <w:p>
      <w:pPr>
        <w:widowControl/>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5、办公自动化经费</w:t>
      </w:r>
    </w:p>
    <w:p>
      <w:pPr>
        <w:widowControl/>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绩效目标：为电子政务和信息化建设的实施和发展奠定良好的基础，运用现代信息技术，为用户提供方便、快捷的服务，增加政策的宣传手段。</w:t>
      </w:r>
    </w:p>
    <w:p>
      <w:pPr>
        <w:widowControl/>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数量指标为采购的系统1套，质量指标为符合区政府协同办公要求，时效指标为按照采购合同及时完成采购，成本指标为不超过139万元，社会效益指标为提高工作效率，加快文件签批流转速度，服务对象满意度为使用</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满意度大于等于95%</w:t>
      </w:r>
      <w:r>
        <w:rPr>
          <w:rFonts w:ascii="Times New Roman" w:hAnsi="Times New Roman" w:eastAsia="仿宋_GB2312" w:cs="Times New Roman"/>
          <w:sz w:val="32"/>
          <w:szCs w:val="32"/>
        </w:rPr>
        <w:t>。</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做好财务工作，要制定好工作计划，加强财务管理，完善财务制度，做到财务计划工作长计划、短安排，使财务工作在规范化、制度化的良好环境。我们将严格按会计制度要求办理一切会计业务，做好工作保障措施。</w:t>
      </w:r>
    </w:p>
    <w:p>
      <w:pPr>
        <w:widowControl/>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1、完善制度建设。认真贯彻执行有关的财务管理制度，加强财务核算管理，反应分析财务计划的执行情况，检查监督财务纪律。</w:t>
      </w:r>
    </w:p>
    <w:p>
      <w:pPr>
        <w:widowControl/>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2、加强支出管理。从单位的切实发展需要出发，做好会计核算工作，加强对财务工作的监督与检查，确保各项支出符合标准，手续齐全，资金合规，真正实现财务支出规范化、合理化。</w:t>
      </w:r>
    </w:p>
    <w:p>
      <w:pPr>
        <w:widowControl/>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3、强化预算执行。将年度预算细化分解，落实到岗，落实到人。科学制定预算使用计划，加快履行政府采购程序，及时启动项目和支付资金，根据需要召开调度会，及时协调解决工作中存在的困难和问题。</w:t>
      </w:r>
    </w:p>
    <w:p>
      <w:pPr>
        <w:widowControl/>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加强内控建设。建立健全内部控制体系，认真执行财经法规和政策要求，对重大支出、资产处置及其他重要经济事项进行有效监督，并完善内部审计，配合做好审计、财政等外部检查，确保资金使用安全有效。</w:t>
      </w:r>
    </w:p>
    <w:p>
      <w:pPr>
        <w:widowControl/>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5、完善绩效管理。制定完善预算绩效管理制度，健全资金管理办法和工作保障机制，加大宣传培训力度，强化</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预算绩效管理意识，进一步提升预算绩效管理水平。</w:t>
      </w:r>
    </w:p>
    <w:p>
      <w:pPr>
        <w:widowControl/>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6、按要求开展绩效运行监控，认真做好绩效评价工作，按月通报支付进度，督促相关股室加快项目执行，确保绩效目标如期保质实现，提高财政资金使用效益。</w:t>
      </w:r>
    </w:p>
    <w:p>
      <w:pPr>
        <w:widowControl/>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7、规范财务资产管理。建立健全固定资产管理制度，对新购、报废的固定资产及时登记与核查，做到账账相符，账实相符。</w:t>
      </w:r>
    </w:p>
    <w:p>
      <w:pPr>
        <w:widowControl/>
        <w:spacing w:line="48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8、加强宣传培训调研。财会人员积极参加会计继续教育和各种会计业务培训，在日常工作中加强学习会计制度和法规，不断提高自身素质和业务水平。</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培训人员人次</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达到指标值得15分，否则按照比例扣分</w:t>
            </w:r>
          </w:p>
        </w:tc>
        <w:tc>
          <w:tcPr>
            <w:tcW w:w="1483" w:type="dxa"/>
            <w:tcBorders>
              <w:tl2br w:val="nil"/>
              <w:tr2bl w:val="nil"/>
            </w:tcBorders>
            <w:vAlign w:val="center"/>
          </w:tcPr>
          <w:p>
            <w:pPr>
              <w:widowControl/>
              <w:adjustRightInd w:val="0"/>
              <w:snapToGrid w:val="0"/>
              <w:spacing w:line="300" w:lineRule="exact"/>
              <w:rPr>
                <w:rFonts w:hint="eastAsia" w:ascii="仿宋_GB2312" w:hAnsi="仿宋_GB2312" w:eastAsia="仿宋_GB2312" w:cs="仿宋_GB2312"/>
              </w:rPr>
            </w:pPr>
            <w:r>
              <w:rPr>
                <w:rFonts w:hint="eastAsia" w:ascii="仿宋_GB2312" w:hAnsi="仿宋_GB2312" w:eastAsia="仿宋_GB2312" w:cs="仿宋_GB2312"/>
              </w:rPr>
              <w:t>保障单位干部职工学习培训人次</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10</w:t>
            </w: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人次</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培训记录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Theme="minorEastAsia"/>
              </w:rPr>
            </w:pPr>
            <w:r>
              <w:rPr>
                <w:rFonts w:hint="eastAsia" w:ascii="方正书宋_GBK" w:eastAsiaTheme="minorEastAsia"/>
              </w:rPr>
              <w:t>数量</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门户网维护好评量</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达到指标值得15分，否则按照比例扣分</w:t>
            </w:r>
          </w:p>
        </w:tc>
        <w:tc>
          <w:tcPr>
            <w:tcW w:w="1483" w:type="dxa"/>
            <w:tcBorders>
              <w:tl2br w:val="nil"/>
              <w:tr2bl w:val="nil"/>
            </w:tcBorders>
            <w:vAlign w:val="center"/>
          </w:tcPr>
          <w:p>
            <w:pPr>
              <w:widowControl/>
              <w:adjustRightInd w:val="0"/>
              <w:snapToGrid w:val="0"/>
              <w:spacing w:line="300" w:lineRule="exact"/>
              <w:rPr>
                <w:rFonts w:hint="eastAsia" w:ascii="仿宋_GB2312" w:hAnsi="仿宋_GB2312" w:eastAsia="仿宋_GB2312" w:cs="仿宋_GB2312"/>
              </w:rPr>
            </w:pPr>
            <w:r>
              <w:rPr>
                <w:rFonts w:hint="eastAsia" w:ascii="仿宋_GB2312" w:hAnsi="仿宋_GB2312" w:eastAsia="仿宋_GB2312" w:cs="仿宋_GB2312"/>
              </w:rPr>
              <w:t>门户网使用好评数量占总数量的比例</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95</w:t>
            </w:r>
          </w:p>
        </w:tc>
        <w:tc>
          <w:tcPr>
            <w:tcW w:w="57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质量验收合格率</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达到指标值得15分，否则按照比例扣分</w:t>
            </w:r>
          </w:p>
        </w:tc>
        <w:tc>
          <w:tcPr>
            <w:tcW w:w="1483" w:type="dxa"/>
            <w:tcBorders>
              <w:tl2br w:val="nil"/>
              <w:tr2bl w:val="nil"/>
            </w:tcBorders>
            <w:vAlign w:val="center"/>
          </w:tcPr>
          <w:p>
            <w:pPr>
              <w:widowControl/>
              <w:adjustRightInd w:val="0"/>
              <w:snapToGrid w:val="0"/>
              <w:spacing w:line="300" w:lineRule="exact"/>
              <w:rPr>
                <w:rFonts w:hint="eastAsia" w:ascii="仿宋_GB2312" w:hAnsi="仿宋_GB2312" w:eastAsia="仿宋_GB2312" w:cs="仿宋_GB2312"/>
              </w:rPr>
            </w:pPr>
            <w:r>
              <w:rPr>
                <w:rFonts w:hint="eastAsia" w:ascii="仿宋_GB2312" w:hAnsi="仿宋_GB2312" w:eastAsia="仿宋_GB2312" w:cs="仿宋_GB2312"/>
              </w:rPr>
              <w:t>购置资产验收合格数量占总数量的比例</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488"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100</w:t>
            </w:r>
          </w:p>
        </w:tc>
        <w:tc>
          <w:tcPr>
            <w:tcW w:w="57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验收单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Theme="minorEastAsia"/>
              </w:rPr>
            </w:pPr>
            <w:r>
              <w:rPr>
                <w:rFonts w:hint="eastAsia" w:ascii="方正书宋_GBK" w:eastAsiaTheme="minorEastAsia"/>
              </w:rPr>
              <w:t>质量</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政务公开率</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达到指标值得15分，否则按照比例扣分</w:t>
            </w:r>
          </w:p>
        </w:tc>
        <w:tc>
          <w:tcPr>
            <w:tcW w:w="1483" w:type="dxa"/>
            <w:tcBorders>
              <w:tl2br w:val="nil"/>
              <w:tr2bl w:val="nil"/>
            </w:tcBorders>
            <w:vAlign w:val="center"/>
          </w:tcPr>
          <w:p>
            <w:pPr>
              <w:widowControl/>
              <w:adjustRightInd w:val="0"/>
              <w:snapToGrid w:val="0"/>
              <w:spacing w:line="300" w:lineRule="exact"/>
              <w:rPr>
                <w:rFonts w:hint="eastAsia" w:ascii="仿宋_GB2312" w:hAnsi="仿宋_GB2312" w:eastAsia="仿宋_GB2312" w:cs="仿宋_GB2312"/>
              </w:rPr>
            </w:pPr>
            <w:r>
              <w:rPr>
                <w:rFonts w:hint="eastAsia" w:ascii="仿宋_GB2312" w:hAnsi="仿宋_GB2312" w:eastAsia="仿宋_GB2312" w:cs="仿宋_GB2312"/>
              </w:rPr>
              <w:t>实际公开情况占应公开的比例</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95</w:t>
            </w:r>
          </w:p>
        </w:tc>
        <w:tc>
          <w:tcPr>
            <w:tcW w:w="57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实际公开数量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经费使用及时率%</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达到指标值得10分，否则按照比例扣分</w:t>
            </w:r>
          </w:p>
        </w:tc>
        <w:tc>
          <w:tcPr>
            <w:tcW w:w="1483" w:type="dxa"/>
            <w:tcBorders>
              <w:tl2br w:val="nil"/>
              <w:tr2bl w:val="nil"/>
            </w:tcBorders>
            <w:vAlign w:val="center"/>
          </w:tcPr>
          <w:p>
            <w:pPr>
              <w:widowControl/>
              <w:adjustRightInd w:val="0"/>
              <w:snapToGrid w:val="0"/>
              <w:spacing w:line="300" w:lineRule="exact"/>
              <w:rPr>
                <w:rFonts w:hint="eastAsia" w:ascii="仿宋_GB2312" w:hAnsi="仿宋_GB2312" w:eastAsia="仿宋_GB2312" w:cs="仿宋_GB2312"/>
              </w:rPr>
            </w:pPr>
            <w:r>
              <w:rPr>
                <w:rFonts w:hint="eastAsia" w:ascii="仿宋_GB2312" w:hAnsi="仿宋_GB2312" w:eastAsia="仿宋_GB2312" w:cs="仿宋_GB2312"/>
              </w:rPr>
              <w:t>严格按照经费使用计划时间节点</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573" w:type="dxa"/>
            <w:tcBorders>
              <w:tl2br w:val="nil"/>
              <w:tr2bl w:val="nil"/>
            </w:tcBorders>
            <w:vAlign w:val="center"/>
          </w:tcPr>
          <w:p>
            <w:pPr>
              <w:widowControl/>
              <w:adjustRightInd w:val="0"/>
              <w:snapToGrid w:val="0"/>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严格按计划支出</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支出凭证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成本控制率(%)</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达到指标值得10分，否则按照比例扣分</w:t>
            </w:r>
          </w:p>
        </w:tc>
        <w:tc>
          <w:tcPr>
            <w:tcW w:w="1483" w:type="dxa"/>
            <w:tcBorders>
              <w:tl2br w:val="nil"/>
              <w:tr2bl w:val="nil"/>
            </w:tcBorders>
            <w:vAlign w:val="center"/>
          </w:tcPr>
          <w:p>
            <w:pPr>
              <w:widowControl/>
              <w:adjustRightInd w:val="0"/>
              <w:snapToGrid w:val="0"/>
              <w:spacing w:line="300" w:lineRule="exact"/>
              <w:rPr>
                <w:rFonts w:hint="eastAsia" w:ascii="仿宋_GB2312" w:hAnsi="仿宋_GB2312" w:eastAsia="仿宋_GB2312" w:cs="仿宋_GB2312"/>
              </w:rPr>
            </w:pPr>
            <w:r>
              <w:rPr>
                <w:rFonts w:hint="eastAsia" w:ascii="仿宋_GB2312" w:hAnsi="仿宋_GB2312" w:eastAsia="仿宋_GB2312" w:cs="仿宋_GB2312"/>
              </w:rPr>
              <w:t>全年印刷成本控制不超出招标成本</w:t>
            </w:r>
          </w:p>
        </w:tc>
        <w:tc>
          <w:tcPr>
            <w:tcW w:w="543" w:type="dxa"/>
            <w:tcBorders>
              <w:tl2br w:val="nil"/>
              <w:tr2bl w:val="nil"/>
            </w:tcBorders>
            <w:vAlign w:val="center"/>
          </w:tcPr>
          <w:p>
            <w:pPr>
              <w:widowControl/>
              <w:adjustRightInd w:val="0"/>
              <w:snapToGrid w:val="0"/>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488" w:type="dxa"/>
            <w:tcBorders>
              <w:tl2br w:val="nil"/>
              <w:tr2bl w:val="nil"/>
            </w:tcBorders>
            <w:vAlign w:val="center"/>
          </w:tcPr>
          <w:p>
            <w:pPr>
              <w:widowControl/>
              <w:adjustRightInd w:val="0"/>
              <w:snapToGrid w:val="0"/>
              <w:spacing w:line="300" w:lineRule="exact"/>
              <w:jc w:val="center"/>
              <w:rPr>
                <w:rFonts w:hint="eastAsia" w:ascii="仿宋_GB2312" w:hAnsi="仿宋_GB2312" w:eastAsia="仿宋_GB2312" w:cs="仿宋_GB2312"/>
              </w:rPr>
            </w:pPr>
          </w:p>
        </w:tc>
        <w:tc>
          <w:tcPr>
            <w:tcW w:w="573" w:type="dxa"/>
            <w:tcBorders>
              <w:tl2br w:val="nil"/>
              <w:tr2bl w:val="nil"/>
            </w:tcBorders>
            <w:vAlign w:val="center"/>
          </w:tcPr>
          <w:p>
            <w:pPr>
              <w:widowControl/>
              <w:adjustRightInd w:val="0"/>
              <w:snapToGrid w:val="0"/>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不超标控制</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支出凭证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强化政府信誉</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达到指标值得10分，否则按照比例扣分</w:t>
            </w:r>
          </w:p>
        </w:tc>
        <w:tc>
          <w:tcPr>
            <w:tcW w:w="1483" w:type="dxa"/>
            <w:tcBorders>
              <w:tl2br w:val="nil"/>
              <w:tr2bl w:val="nil"/>
            </w:tcBorders>
            <w:vAlign w:val="center"/>
          </w:tcPr>
          <w:p>
            <w:pPr>
              <w:widowControl/>
              <w:adjustRightInd w:val="0"/>
              <w:snapToGrid w:val="0"/>
              <w:spacing w:line="300" w:lineRule="exact"/>
              <w:rPr>
                <w:rFonts w:hint="eastAsia" w:ascii="仿宋_GB2312" w:hAnsi="仿宋_GB2312" w:eastAsia="仿宋_GB2312" w:cs="仿宋_GB2312"/>
              </w:rPr>
            </w:pPr>
            <w:r>
              <w:rPr>
                <w:rFonts w:hint="eastAsia" w:ascii="仿宋_GB2312" w:hAnsi="仿宋_GB2312" w:eastAsia="仿宋_GB2312" w:cs="仿宋_GB2312"/>
              </w:rPr>
              <w:t>保障一招人员生活费</w:t>
            </w:r>
          </w:p>
        </w:tc>
        <w:tc>
          <w:tcPr>
            <w:tcW w:w="543" w:type="dxa"/>
            <w:tcBorders>
              <w:tl2br w:val="nil"/>
              <w:tr2bl w:val="nil"/>
            </w:tcBorders>
            <w:vAlign w:val="center"/>
          </w:tcPr>
          <w:p>
            <w:pPr>
              <w:widowControl/>
              <w:adjustRightInd w:val="0"/>
              <w:snapToGrid w:val="0"/>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488" w:type="dxa"/>
            <w:tcBorders>
              <w:tl2br w:val="nil"/>
              <w:tr2bl w:val="nil"/>
            </w:tcBorders>
            <w:vAlign w:val="center"/>
          </w:tcPr>
          <w:p>
            <w:pPr>
              <w:widowControl/>
              <w:adjustRightInd w:val="0"/>
              <w:snapToGrid w:val="0"/>
              <w:spacing w:line="300" w:lineRule="exact"/>
              <w:jc w:val="center"/>
              <w:rPr>
                <w:rFonts w:hint="eastAsia" w:ascii="仿宋_GB2312" w:hAnsi="仿宋_GB2312" w:eastAsia="仿宋_GB2312" w:cs="仿宋_GB2312"/>
              </w:rPr>
            </w:pPr>
          </w:p>
        </w:tc>
        <w:tc>
          <w:tcPr>
            <w:tcW w:w="573" w:type="dxa"/>
            <w:tcBorders>
              <w:tl2br w:val="nil"/>
              <w:tr2bl w:val="nil"/>
            </w:tcBorders>
            <w:vAlign w:val="center"/>
          </w:tcPr>
          <w:p>
            <w:pPr>
              <w:widowControl/>
              <w:adjustRightInd w:val="0"/>
              <w:snapToGrid w:val="0"/>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充分保障</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受众满意度</w:t>
            </w:r>
          </w:p>
        </w:tc>
        <w:tc>
          <w:tcPr>
            <w:tcW w:w="2172"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达到指标值得10分，否则按照比例扣分</w:t>
            </w:r>
          </w:p>
        </w:tc>
        <w:tc>
          <w:tcPr>
            <w:tcW w:w="1483" w:type="dxa"/>
            <w:tcBorders>
              <w:tl2br w:val="nil"/>
              <w:tr2bl w:val="nil"/>
            </w:tcBorders>
            <w:noWrap/>
            <w:vAlign w:val="center"/>
          </w:tcPr>
          <w:p>
            <w:pPr>
              <w:widowControl/>
              <w:adjustRightInd w:val="0"/>
              <w:snapToGrid w:val="0"/>
              <w:spacing w:line="300" w:lineRule="exact"/>
              <w:rPr>
                <w:rFonts w:hint="eastAsia" w:ascii="仿宋_GB2312" w:hAnsi="仿宋_GB2312" w:eastAsia="仿宋_GB2312" w:cs="仿宋_GB2312"/>
              </w:rPr>
            </w:pPr>
            <w:r>
              <w:rPr>
                <w:rFonts w:hint="eastAsia" w:ascii="仿宋_GB2312" w:hAnsi="仿宋_GB2312" w:eastAsia="仿宋_GB2312" w:cs="仿宋_GB2312"/>
              </w:rPr>
              <w:t>受众人群满意人数占总人数的比例</w:t>
            </w:r>
          </w:p>
        </w:tc>
        <w:tc>
          <w:tcPr>
            <w:tcW w:w="543" w:type="dxa"/>
            <w:tcBorders>
              <w:tl2br w:val="nil"/>
              <w:tr2bl w:val="nil"/>
            </w:tcBorders>
            <w:vAlign w:val="center"/>
          </w:tcPr>
          <w:p>
            <w:pPr>
              <w:widowControl/>
              <w:adjustRightInd w:val="0"/>
              <w:snapToGrid w:val="0"/>
              <w:spacing w:line="300" w:lineRule="exact"/>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spacing w:line="30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573" w:type="dxa"/>
            <w:tcBorders>
              <w:tl2br w:val="nil"/>
              <w:tr2bl w:val="nil"/>
            </w:tcBorders>
            <w:vAlign w:val="center"/>
          </w:tcPr>
          <w:p>
            <w:pPr>
              <w:widowControl/>
              <w:adjustRightInd w:val="0"/>
              <w:snapToGrid w:val="0"/>
              <w:spacing w:line="300" w:lineRule="exact"/>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1.政务管理经费绩效目标表</w:t>
      </w:r>
      <w:bookmarkStart w:id="0" w:name="_Toc29799657"/>
      <w:bookmarkEnd w:id="0"/>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1.通过项目的开展满足工作所需经费开支，保障区政府办工作有序进行，保障广阳区人民政府办公室完成上级布置的各项工作，加大管理力度，维护社会稳定。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日常工作完成率</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完成工作量占应完成总量的比例</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采购质量合格率</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合格数量占总数量的比例</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采购验收单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采购完成时间</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采购完成时间</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每季度支出</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不超预算成本</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不超预算成本</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≤260万元</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业务保障能力提升情况</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购置对业务保障能力的提升情况</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有效提升</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满意人数占总人数的比例</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调查问询</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2. 办公自动化经费绩效目标表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1.为电子政务和信息化建设的实施和发展奠定良好的基础，运用现代信息技术，为用户提供方便、快捷的服务，增加政策的宣传手段。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采购数量</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采购的系统数量</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1套</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定制功能实现</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符合区政府协同办公要求</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系统提交时间率</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按照采购合同及时完成采购</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≤1年</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成本控制单价</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项目支出控制在预算范围内</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≤139万元</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提高工作效率，加快文件签批流转速度</w:t>
            </w:r>
          </w:p>
        </w:tc>
        <w:tc>
          <w:tcPr>
            <w:tcW w:w="3402" w:type="dxa"/>
            <w:shd w:val="clear" w:color="auto" w:fill="auto"/>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提高工作效率，加快文件签批流转速度</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廊坊市机关政务电子化实施方案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shd w:val="clear" w:color="auto" w:fill="auto"/>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协同办公、文档管理、审批工作流自动化</w:t>
            </w:r>
          </w:p>
        </w:tc>
        <w:tc>
          <w:tcPr>
            <w:tcW w:w="3402" w:type="dxa"/>
            <w:shd w:val="clear" w:color="auto" w:fill="auto"/>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协同办公、文档管理、审批工作流自动化</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≥5年</w:t>
            </w:r>
          </w:p>
        </w:tc>
        <w:tc>
          <w:tcPr>
            <w:tcW w:w="2155" w:type="dxa"/>
            <w:shd w:val="clear" w:color="auto" w:fill="auto"/>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廊坊市机关政务电子化实施方案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w:t>
            </w:r>
            <w:r>
              <w:rPr>
                <w:rFonts w:hint="eastAsia" w:ascii="仿宋_GB2312" w:hAnsi="仿宋_GB2312" w:eastAsia="仿宋_GB2312" w:cs="仿宋_GB2312"/>
                <w:lang w:eastAsia="zh-CN"/>
              </w:rPr>
              <w:t>单位</w:t>
            </w:r>
            <w:r>
              <w:rPr>
                <w:rFonts w:hint="eastAsia" w:ascii="仿宋_GB2312" w:hAnsi="仿宋_GB2312" w:eastAsia="仿宋_GB2312" w:cs="仿宋_GB2312"/>
              </w:rPr>
              <w:t>满意度</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w:t>
            </w:r>
            <w:r>
              <w:rPr>
                <w:rFonts w:hint="eastAsia" w:ascii="仿宋_GB2312" w:hAnsi="仿宋_GB2312" w:eastAsia="仿宋_GB2312" w:cs="仿宋_GB2312"/>
                <w:lang w:eastAsia="zh-CN"/>
              </w:rPr>
              <w:t>单位</w:t>
            </w:r>
            <w:r>
              <w:rPr>
                <w:rFonts w:hint="eastAsia" w:ascii="仿宋_GB2312" w:hAnsi="仿宋_GB2312" w:eastAsia="仿宋_GB2312" w:cs="仿宋_GB2312"/>
              </w:rPr>
              <w:t>的满意度</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调查问询</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3. 归侨职工退休生活补贴经费绩效目标表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1.落实归侨职工退休后发放生活补贴政策，满足工作所需经费开支，做到专款专用，保障归国华侨生活补贴及时发放，为工作开展做好充足的准备。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发放人员数量</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发放人员数量</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2人次</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实有人数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受益对象精准率</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发放对象占应发放对象比例</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发放完成时间</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发放完成时间</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每季度发放</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项目成本控制</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按照具体规定不超标</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≤0.24万元</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通过政策的落实, 维护社会安定团结</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维护社会安定团结</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基本维护</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满意人数占全部人数的比例</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调查询问</w:t>
            </w:r>
          </w:p>
        </w:tc>
      </w:tr>
    </w:tbl>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4. 金融扶贫贴息资金绩效目标表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1.实现扶贫小额贷款贴息，为巩固扶贫脱贫成果提供有力支撑。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受益建档立卡贫困户数</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符合贴息政策的建档立卡贫困户数　</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4户</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达到标准数量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小额信贷贴息利率　</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年利息利率不超过贷款基准利率　</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符合国家标准</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完成时间　</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发放完成时间　</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≤6月</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项目成本控制　</w:t>
            </w:r>
          </w:p>
        </w:tc>
        <w:tc>
          <w:tcPr>
            <w:tcW w:w="3402" w:type="dxa"/>
            <w:shd w:val="clear" w:color="auto" w:fill="auto"/>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项目经费支出按照具体文件规定执行　</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≤0.15万元</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贷款及时发放率　</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及时发放户数占总应发户数的比例</w:t>
            </w:r>
          </w:p>
        </w:tc>
        <w:tc>
          <w:tcPr>
            <w:tcW w:w="1843" w:type="dxa"/>
            <w:shd w:val="clear" w:color="auto" w:fill="auto"/>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及时发放户数占总应发户数的比例100%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受益建档立卡贫困户满意度</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满意人数占总人数的比例</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调查询问</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5. 区政府一招人员经费绩效目标表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1.通过项目的开展保证区政府办一招人员待遇落实到位，满足经费需求，保障职工队伍稳定。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发放人员数量</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发放人员数量</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72人次</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实有人数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发放标准准确率</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发放标准占计划标准的比例</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发放完成时间</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发放完成时间</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每季度发放</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项目成本控制</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按照具体规定不超标</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≤156.4万元</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保障人员生活需求，保持队伍稳定</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保障人员生活需求，保持队伍稳定</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有效保障</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满意人数占总人数的比例</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调查问询</w:t>
            </w:r>
          </w:p>
        </w:tc>
      </w:tr>
    </w:tbl>
    <w:p>
      <w:pPr>
        <w:autoSpaceDE w:val="0"/>
        <w:autoSpaceDN w:val="0"/>
        <w:adjustRightInd w:val="0"/>
        <w:spacing w:line="584" w:lineRule="exact"/>
        <w:jc w:val="left"/>
        <w:rPr>
          <w:rFonts w:ascii="Times New Roman" w:hAnsi="Times New Roman" w:eastAsia="仿宋_GB2312" w:cs="Times New Roman"/>
          <w:sz w:val="28"/>
        </w:rPr>
      </w:pPr>
      <w:r>
        <w:rPr>
          <w:rFonts w:hint="eastAsia" w:ascii="Times New Roman" w:hAnsi="Times New Roman" w:eastAsia="仿宋_GB2312" w:cs="Times New Roman"/>
          <w:sz w:val="28"/>
        </w:rPr>
        <w:t xml:space="preserve">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359</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outlineLvl w:val="1"/>
      </w:pPr>
      <w:r>
        <w:t>廊坊市</w:t>
      </w:r>
      <w:r>
        <w:rPr>
          <w:rFonts w:hint="eastAsia"/>
        </w:rPr>
        <w:t>广阳区人民政府办公室</w:t>
      </w:r>
      <w:r>
        <w:t xml:space="preserve">                                                                              </w:t>
      </w:r>
      <w:r>
        <w:rPr>
          <w:rFonts w:hint="eastAsia"/>
        </w:rPr>
        <w:t xml:space="preserve">               </w:t>
      </w:r>
      <w:r>
        <w:t>单位：万元</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96"/>
        <w:gridCol w:w="877"/>
        <w:gridCol w:w="1030"/>
        <w:gridCol w:w="1197"/>
        <w:gridCol w:w="639"/>
        <w:gridCol w:w="769"/>
        <w:gridCol w:w="769"/>
        <w:gridCol w:w="874"/>
        <w:gridCol w:w="875"/>
        <w:gridCol w:w="875"/>
        <w:gridCol w:w="875"/>
        <w:gridCol w:w="875"/>
        <w:gridCol w:w="875"/>
        <w:gridCol w:w="875"/>
        <w:gridCol w:w="892"/>
        <w:gridCol w:w="8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68" w:type="pct"/>
            <w:gridSpan w:val="2"/>
            <w:vAlign w:val="center"/>
          </w:tcPr>
          <w:p>
            <w:pPr>
              <w:pStyle w:val="12"/>
            </w:pPr>
            <w:r>
              <w:t>政府采购项目来源</w:t>
            </w:r>
          </w:p>
        </w:tc>
        <w:tc>
          <w:tcPr>
            <w:tcW w:w="367" w:type="pct"/>
            <w:vMerge w:val="restart"/>
            <w:vAlign w:val="center"/>
          </w:tcPr>
          <w:p>
            <w:pPr>
              <w:pStyle w:val="12"/>
            </w:pPr>
            <w:r>
              <w:t>采购物品名称</w:t>
            </w:r>
          </w:p>
        </w:tc>
        <w:tc>
          <w:tcPr>
            <w:tcW w:w="367" w:type="pct"/>
            <w:vMerge w:val="restart"/>
            <w:vAlign w:val="center"/>
          </w:tcPr>
          <w:p>
            <w:pPr>
              <w:pStyle w:val="12"/>
            </w:pPr>
            <w:r>
              <w:t>政府采购目录序号</w:t>
            </w:r>
          </w:p>
        </w:tc>
        <w:tc>
          <w:tcPr>
            <w:tcW w:w="229" w:type="pct"/>
            <w:vMerge w:val="restart"/>
            <w:vAlign w:val="center"/>
          </w:tcPr>
          <w:p>
            <w:pPr>
              <w:pStyle w:val="12"/>
            </w:pPr>
            <w:r>
              <w:t>计量  单位</w:t>
            </w:r>
          </w:p>
        </w:tc>
        <w:tc>
          <w:tcPr>
            <w:tcW w:w="275" w:type="pct"/>
            <w:vMerge w:val="restart"/>
            <w:vAlign w:val="center"/>
          </w:tcPr>
          <w:p>
            <w:pPr>
              <w:pStyle w:val="12"/>
            </w:pPr>
            <w:r>
              <w:t>数量</w:t>
            </w:r>
          </w:p>
        </w:tc>
        <w:tc>
          <w:tcPr>
            <w:tcW w:w="275" w:type="pct"/>
            <w:vMerge w:val="restart"/>
            <w:vAlign w:val="center"/>
          </w:tcPr>
          <w:p>
            <w:pPr>
              <w:pStyle w:val="12"/>
            </w:pPr>
            <w:r>
              <w:t>单价</w:t>
            </w:r>
          </w:p>
        </w:tc>
        <w:tc>
          <w:tcPr>
            <w:tcW w:w="2502" w:type="pct"/>
            <w:gridSpan w:val="8"/>
            <w:vAlign w:val="center"/>
          </w:tcPr>
          <w:p>
            <w:pPr>
              <w:pStyle w:val="12"/>
            </w:pPr>
            <w:r>
              <w:t>政府采购金额（当年</w:t>
            </w:r>
            <w:r>
              <w:rPr>
                <w:rFonts w:hint="eastAsia"/>
                <w:lang w:eastAsia="zh-CN"/>
              </w:rPr>
              <w:t>单位</w:t>
            </w:r>
            <w:r>
              <w:t>预算安排资金）</w:t>
            </w:r>
          </w:p>
        </w:tc>
        <w:tc>
          <w:tcPr>
            <w:tcW w:w="312" w:type="pct"/>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55" w:type="pct"/>
            <w:vAlign w:val="center"/>
          </w:tcPr>
          <w:p>
            <w:pPr>
              <w:pStyle w:val="12"/>
            </w:pPr>
            <w:r>
              <w:t>项目名称</w:t>
            </w:r>
          </w:p>
        </w:tc>
        <w:tc>
          <w:tcPr>
            <w:tcW w:w="313" w:type="pct"/>
            <w:vAlign w:val="center"/>
          </w:tcPr>
          <w:p>
            <w:pPr>
              <w:pStyle w:val="12"/>
            </w:pPr>
            <w:r>
              <w:t>预算    资金</w:t>
            </w:r>
          </w:p>
        </w:tc>
        <w:tc>
          <w:tcPr>
            <w:tcW w:w="367" w:type="pct"/>
            <w:vMerge w:val="continue"/>
          </w:tcPr>
          <w:p/>
        </w:tc>
        <w:tc>
          <w:tcPr>
            <w:tcW w:w="367" w:type="pct"/>
            <w:vMerge w:val="continue"/>
          </w:tcPr>
          <w:p/>
        </w:tc>
        <w:tc>
          <w:tcPr>
            <w:tcW w:w="229" w:type="pct"/>
            <w:vMerge w:val="continue"/>
          </w:tcPr>
          <w:p/>
        </w:tc>
        <w:tc>
          <w:tcPr>
            <w:tcW w:w="275" w:type="pct"/>
            <w:vMerge w:val="continue"/>
          </w:tcPr>
          <w:p/>
        </w:tc>
        <w:tc>
          <w:tcPr>
            <w:tcW w:w="275" w:type="pct"/>
            <w:vMerge w:val="continue"/>
          </w:tcPr>
          <w:p/>
        </w:tc>
        <w:tc>
          <w:tcPr>
            <w:tcW w:w="312" w:type="pct"/>
            <w:vAlign w:val="center"/>
          </w:tcPr>
          <w:p>
            <w:pPr>
              <w:pStyle w:val="12"/>
            </w:pPr>
            <w:r>
              <w:t>合计</w:t>
            </w:r>
          </w:p>
        </w:tc>
        <w:tc>
          <w:tcPr>
            <w:tcW w:w="312" w:type="pct"/>
            <w:vAlign w:val="center"/>
          </w:tcPr>
          <w:p>
            <w:pPr>
              <w:pStyle w:val="12"/>
            </w:pPr>
            <w:r>
              <w:t>一般公共预算拨款</w:t>
            </w:r>
          </w:p>
        </w:tc>
        <w:tc>
          <w:tcPr>
            <w:tcW w:w="312" w:type="pct"/>
            <w:vAlign w:val="center"/>
          </w:tcPr>
          <w:p>
            <w:pPr>
              <w:pStyle w:val="12"/>
            </w:pPr>
            <w:r>
              <w:t>基金预算拨款</w:t>
            </w:r>
          </w:p>
        </w:tc>
        <w:tc>
          <w:tcPr>
            <w:tcW w:w="312" w:type="pct"/>
            <w:vAlign w:val="center"/>
          </w:tcPr>
          <w:p>
            <w:pPr>
              <w:pStyle w:val="12"/>
            </w:pPr>
            <w:r>
              <w:t>国有资本经营预算拨款</w:t>
            </w:r>
          </w:p>
        </w:tc>
        <w:tc>
          <w:tcPr>
            <w:tcW w:w="312" w:type="pct"/>
            <w:vAlign w:val="center"/>
          </w:tcPr>
          <w:p>
            <w:pPr>
              <w:pStyle w:val="12"/>
            </w:pPr>
            <w:r>
              <w:t>财政专户核拨</w:t>
            </w:r>
          </w:p>
        </w:tc>
        <w:tc>
          <w:tcPr>
            <w:tcW w:w="312" w:type="pct"/>
            <w:vAlign w:val="center"/>
          </w:tcPr>
          <w:p>
            <w:pPr>
              <w:pStyle w:val="12"/>
            </w:pPr>
            <w:r>
              <w:t>单位    资金</w:t>
            </w:r>
          </w:p>
        </w:tc>
        <w:tc>
          <w:tcPr>
            <w:tcW w:w="312" w:type="pct"/>
            <w:vAlign w:val="center"/>
          </w:tcPr>
          <w:p>
            <w:pPr>
              <w:pStyle w:val="12"/>
            </w:pPr>
            <w:r>
              <w:t>财政拨    款结转</w:t>
            </w:r>
          </w:p>
        </w:tc>
        <w:tc>
          <w:tcPr>
            <w:tcW w:w="313" w:type="pct"/>
            <w:vAlign w:val="center"/>
          </w:tcPr>
          <w:p>
            <w:pPr>
              <w:pStyle w:val="12"/>
            </w:pPr>
            <w:r>
              <w:t>非财政    拨款结    转结余</w:t>
            </w:r>
          </w:p>
        </w:tc>
        <w:tc>
          <w:tcPr>
            <w:tcW w:w="312"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vAlign w:val="center"/>
          </w:tcPr>
          <w:p>
            <w:pPr>
              <w:pStyle w:val="16"/>
            </w:pPr>
            <w:r>
              <w:t>合  计</w:t>
            </w:r>
          </w:p>
        </w:tc>
        <w:tc>
          <w:tcPr>
            <w:tcW w:w="313" w:type="pct"/>
            <w:vAlign w:val="center"/>
          </w:tcPr>
          <w:p>
            <w:pPr>
              <w:pStyle w:val="17"/>
              <w:rPr>
                <w:lang w:eastAsia="zh-CN"/>
              </w:rPr>
            </w:pPr>
            <w:r>
              <w:rPr>
                <w:rFonts w:hint="eastAsia"/>
                <w:lang w:eastAsia="zh-CN"/>
              </w:rPr>
              <w:t>359</w:t>
            </w:r>
          </w:p>
        </w:tc>
        <w:tc>
          <w:tcPr>
            <w:tcW w:w="367" w:type="pct"/>
            <w:vAlign w:val="center"/>
          </w:tcPr>
          <w:p>
            <w:pPr>
              <w:pStyle w:val="18"/>
            </w:pPr>
          </w:p>
        </w:tc>
        <w:tc>
          <w:tcPr>
            <w:tcW w:w="367" w:type="pct"/>
            <w:vAlign w:val="center"/>
          </w:tcPr>
          <w:p>
            <w:pPr>
              <w:pStyle w:val="18"/>
            </w:pPr>
          </w:p>
        </w:tc>
        <w:tc>
          <w:tcPr>
            <w:tcW w:w="229" w:type="pct"/>
            <w:vAlign w:val="center"/>
          </w:tcPr>
          <w:p>
            <w:pPr>
              <w:pStyle w:val="16"/>
            </w:pPr>
          </w:p>
        </w:tc>
        <w:tc>
          <w:tcPr>
            <w:tcW w:w="275" w:type="pct"/>
            <w:vAlign w:val="center"/>
          </w:tcPr>
          <w:p>
            <w:pPr>
              <w:pStyle w:val="17"/>
            </w:pPr>
          </w:p>
        </w:tc>
        <w:tc>
          <w:tcPr>
            <w:tcW w:w="275" w:type="pct"/>
            <w:vAlign w:val="center"/>
          </w:tcPr>
          <w:p>
            <w:pPr>
              <w:pStyle w:val="17"/>
            </w:pPr>
          </w:p>
        </w:tc>
        <w:tc>
          <w:tcPr>
            <w:tcW w:w="312" w:type="pct"/>
            <w:vAlign w:val="center"/>
          </w:tcPr>
          <w:p>
            <w:pPr>
              <w:pStyle w:val="17"/>
              <w:rPr>
                <w:lang w:eastAsia="zh-CN"/>
              </w:rPr>
            </w:pPr>
            <w:r>
              <w:rPr>
                <w:rFonts w:hint="eastAsia"/>
                <w:lang w:eastAsia="zh-CN"/>
              </w:rPr>
              <w:t>359</w:t>
            </w:r>
          </w:p>
        </w:tc>
        <w:tc>
          <w:tcPr>
            <w:tcW w:w="312" w:type="pct"/>
            <w:vAlign w:val="center"/>
          </w:tcPr>
          <w:p>
            <w:pPr>
              <w:pStyle w:val="17"/>
              <w:rPr>
                <w:lang w:eastAsia="zh-CN"/>
              </w:rPr>
            </w:pPr>
            <w:r>
              <w:rPr>
                <w:rFonts w:hint="eastAsia"/>
                <w:lang w:eastAsia="zh-CN"/>
              </w:rPr>
              <w:t>359</w:t>
            </w: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3" w:type="pct"/>
            <w:vAlign w:val="center"/>
          </w:tcPr>
          <w:p>
            <w:pPr>
              <w:pStyle w:val="17"/>
            </w:pPr>
          </w:p>
        </w:tc>
        <w:tc>
          <w:tcPr>
            <w:tcW w:w="312"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vAlign w:val="center"/>
          </w:tcPr>
          <w:p>
            <w:pPr>
              <w:spacing w:line="300" w:lineRule="exact"/>
              <w:jc w:val="left"/>
              <w:rPr>
                <w:rFonts w:ascii="方正书宋_GBK" w:eastAsia="方正书宋_GBK" w:cs="Times New Roman"/>
              </w:rPr>
            </w:pPr>
            <w:r>
              <w:rPr>
                <w:rFonts w:hint="eastAsia" w:ascii="方正书宋_GBK" w:eastAsia="方正书宋_GBK" w:cs="Times New Roman"/>
              </w:rPr>
              <w:t>政务管理经费</w:t>
            </w:r>
          </w:p>
        </w:tc>
        <w:tc>
          <w:tcPr>
            <w:tcW w:w="313" w:type="pct"/>
            <w:vAlign w:val="center"/>
          </w:tcPr>
          <w:p>
            <w:pPr>
              <w:spacing w:line="300" w:lineRule="exact"/>
              <w:jc w:val="right"/>
              <w:rPr>
                <w:rFonts w:ascii="方正书宋_GBK" w:eastAsia="方正书宋_GBK" w:cs="Times New Roman"/>
              </w:rPr>
            </w:pPr>
            <w:r>
              <w:rPr>
                <w:rFonts w:hint="eastAsia" w:ascii="方正书宋_GBK" w:eastAsia="方正书宋_GBK" w:cs="Times New Roman"/>
              </w:rPr>
              <w:t>80</w:t>
            </w:r>
          </w:p>
        </w:tc>
        <w:tc>
          <w:tcPr>
            <w:tcW w:w="367" w:type="pct"/>
            <w:vAlign w:val="center"/>
          </w:tcPr>
          <w:p>
            <w:pPr>
              <w:spacing w:line="300" w:lineRule="exact"/>
              <w:jc w:val="left"/>
              <w:rPr>
                <w:rFonts w:ascii="方正书宋_GBK" w:eastAsia="方正书宋_GBK" w:cs="Times New Roman"/>
              </w:rPr>
            </w:pPr>
            <w:r>
              <w:rPr>
                <w:rFonts w:hint="eastAsia" w:ascii="方正书宋_GBK" w:eastAsia="方正书宋_GBK" w:cs="Times New Roman"/>
              </w:rPr>
              <w:t>办公耗材</w:t>
            </w:r>
          </w:p>
        </w:tc>
        <w:tc>
          <w:tcPr>
            <w:tcW w:w="367" w:type="pct"/>
            <w:vAlign w:val="center"/>
          </w:tcPr>
          <w:p>
            <w:pPr>
              <w:spacing w:line="300" w:lineRule="exact"/>
              <w:jc w:val="left"/>
              <w:rPr>
                <w:rFonts w:ascii="方正书宋_GBK" w:eastAsia="方正书宋_GBK" w:cs="Times New Roman"/>
              </w:rPr>
            </w:pPr>
            <w:r>
              <w:rPr>
                <w:rFonts w:hint="eastAsia" w:ascii="Times New Roman" w:hAnsi="Times New Roman" w:eastAsia="仿宋_GB2312" w:cs="Times New Roman"/>
              </w:rPr>
              <w:t>A0999</w:t>
            </w:r>
          </w:p>
        </w:tc>
        <w:tc>
          <w:tcPr>
            <w:tcW w:w="229"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套</w:t>
            </w:r>
          </w:p>
        </w:tc>
        <w:tc>
          <w:tcPr>
            <w:tcW w:w="275" w:type="pct"/>
            <w:vAlign w:val="center"/>
          </w:tcPr>
          <w:p>
            <w:pPr>
              <w:spacing w:line="300" w:lineRule="exact"/>
              <w:jc w:val="right"/>
              <w:rPr>
                <w:rFonts w:ascii="方正书宋_GBK" w:eastAsia="方正书宋_GBK" w:cs="Times New Roman"/>
              </w:rPr>
            </w:pPr>
            <w:r>
              <w:rPr>
                <w:rFonts w:hint="eastAsia" w:ascii="方正书宋_GBK" w:eastAsia="方正书宋_GBK" w:cs="Times New Roman"/>
              </w:rPr>
              <w:t>1</w:t>
            </w:r>
          </w:p>
        </w:tc>
        <w:tc>
          <w:tcPr>
            <w:tcW w:w="275" w:type="pct"/>
            <w:vAlign w:val="center"/>
          </w:tcPr>
          <w:p>
            <w:pPr>
              <w:spacing w:line="300" w:lineRule="exact"/>
              <w:jc w:val="right"/>
              <w:rPr>
                <w:rFonts w:ascii="方正书宋_GBK" w:eastAsia="方正书宋_GBK" w:cs="Times New Roman"/>
              </w:rPr>
            </w:pPr>
            <w:r>
              <w:rPr>
                <w:rFonts w:hint="eastAsia" w:ascii="方正书宋_GBK" w:eastAsia="方正书宋_GBK" w:cs="Times New Roman"/>
              </w:rPr>
              <w:t>80</w:t>
            </w:r>
          </w:p>
        </w:tc>
        <w:tc>
          <w:tcPr>
            <w:tcW w:w="312" w:type="pct"/>
            <w:vAlign w:val="center"/>
          </w:tcPr>
          <w:p>
            <w:pPr>
              <w:spacing w:line="300" w:lineRule="exact"/>
              <w:jc w:val="right"/>
              <w:rPr>
                <w:rFonts w:ascii="方正书宋_GBK" w:eastAsia="方正书宋_GBK" w:cs="Times New Roman"/>
              </w:rPr>
            </w:pPr>
            <w:r>
              <w:rPr>
                <w:rFonts w:hint="eastAsia" w:ascii="方正书宋_GBK" w:eastAsia="方正书宋_GBK" w:cs="Times New Roman"/>
              </w:rPr>
              <w:t>80</w:t>
            </w:r>
          </w:p>
        </w:tc>
        <w:tc>
          <w:tcPr>
            <w:tcW w:w="312" w:type="pct"/>
            <w:vAlign w:val="center"/>
          </w:tcPr>
          <w:p>
            <w:pPr>
              <w:spacing w:line="300" w:lineRule="exact"/>
              <w:jc w:val="right"/>
              <w:rPr>
                <w:rFonts w:ascii="方正书宋_GBK" w:eastAsia="方正书宋_GBK" w:cs="Times New Roman"/>
              </w:rPr>
            </w:pPr>
            <w:r>
              <w:rPr>
                <w:rFonts w:hint="eastAsia" w:ascii="方正书宋_GBK" w:eastAsia="方正书宋_GBK" w:cs="Times New Roman"/>
              </w:rPr>
              <w:t>80</w:t>
            </w: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3" w:type="pct"/>
            <w:vAlign w:val="center"/>
          </w:tcPr>
          <w:p>
            <w:pPr>
              <w:pStyle w:val="17"/>
            </w:pPr>
          </w:p>
        </w:tc>
        <w:tc>
          <w:tcPr>
            <w:tcW w:w="312"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vAlign w:val="center"/>
          </w:tcPr>
          <w:p>
            <w:pPr>
              <w:spacing w:line="300" w:lineRule="exact"/>
              <w:jc w:val="left"/>
              <w:rPr>
                <w:rFonts w:ascii="方正书宋_GBK" w:eastAsia="方正书宋_GBK" w:cs="Times New Roman"/>
              </w:rPr>
            </w:pPr>
            <w:r>
              <w:rPr>
                <w:rFonts w:hint="eastAsia" w:ascii="方正书宋_GBK" w:eastAsia="方正书宋_GBK" w:cs="Times New Roman"/>
              </w:rPr>
              <w:t>政务管理经费</w:t>
            </w:r>
          </w:p>
        </w:tc>
        <w:tc>
          <w:tcPr>
            <w:tcW w:w="313" w:type="pct"/>
            <w:vAlign w:val="center"/>
          </w:tcPr>
          <w:p>
            <w:pPr>
              <w:spacing w:line="300" w:lineRule="exact"/>
              <w:jc w:val="right"/>
              <w:rPr>
                <w:rFonts w:ascii="方正书宋_GBK" w:eastAsia="方正书宋_GBK" w:cs="Times New Roman"/>
              </w:rPr>
            </w:pPr>
            <w:r>
              <w:rPr>
                <w:rFonts w:hint="eastAsia" w:ascii="方正书宋_GBK" w:eastAsia="方正书宋_GBK" w:cs="Times New Roman"/>
              </w:rPr>
              <w:t>140</w:t>
            </w:r>
          </w:p>
        </w:tc>
        <w:tc>
          <w:tcPr>
            <w:tcW w:w="367" w:type="pct"/>
            <w:vAlign w:val="center"/>
          </w:tcPr>
          <w:p>
            <w:pPr>
              <w:spacing w:line="300" w:lineRule="exact"/>
              <w:jc w:val="left"/>
              <w:rPr>
                <w:rFonts w:ascii="方正书宋_GBK" w:eastAsia="方正书宋_GBK" w:cs="Times New Roman"/>
              </w:rPr>
            </w:pPr>
            <w:r>
              <w:rPr>
                <w:rFonts w:hint="eastAsia" w:ascii="方正书宋_GBK" w:eastAsia="方正书宋_GBK" w:cs="Times New Roman"/>
              </w:rPr>
              <w:t>印刷服务</w:t>
            </w:r>
          </w:p>
        </w:tc>
        <w:tc>
          <w:tcPr>
            <w:tcW w:w="367" w:type="pct"/>
            <w:vAlign w:val="center"/>
          </w:tcPr>
          <w:p>
            <w:pPr>
              <w:spacing w:line="300" w:lineRule="exact"/>
              <w:jc w:val="left"/>
              <w:rPr>
                <w:rFonts w:ascii="方正书宋_GBK" w:eastAsia="方正书宋_GBK" w:cs="Times New Roman"/>
              </w:rPr>
            </w:pPr>
            <w:r>
              <w:rPr>
                <w:rFonts w:hint="eastAsia" w:ascii="Times New Roman" w:hAnsi="Times New Roman" w:eastAsia="仿宋_GB2312" w:cs="Times New Roman"/>
              </w:rPr>
              <w:t>C08140199</w:t>
            </w:r>
          </w:p>
        </w:tc>
        <w:tc>
          <w:tcPr>
            <w:tcW w:w="229"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套</w:t>
            </w:r>
          </w:p>
        </w:tc>
        <w:tc>
          <w:tcPr>
            <w:tcW w:w="275" w:type="pct"/>
            <w:vAlign w:val="center"/>
          </w:tcPr>
          <w:p>
            <w:pPr>
              <w:spacing w:line="300" w:lineRule="exact"/>
              <w:jc w:val="right"/>
              <w:rPr>
                <w:rFonts w:ascii="方正书宋_GBK" w:eastAsia="方正书宋_GBK" w:cs="Times New Roman"/>
              </w:rPr>
            </w:pPr>
            <w:r>
              <w:rPr>
                <w:rFonts w:hint="eastAsia" w:ascii="方正书宋_GBK" w:eastAsia="方正书宋_GBK" w:cs="Times New Roman"/>
              </w:rPr>
              <w:t>1</w:t>
            </w:r>
          </w:p>
        </w:tc>
        <w:tc>
          <w:tcPr>
            <w:tcW w:w="275" w:type="pct"/>
            <w:vAlign w:val="center"/>
          </w:tcPr>
          <w:p>
            <w:pPr>
              <w:spacing w:line="300" w:lineRule="exact"/>
              <w:jc w:val="right"/>
              <w:rPr>
                <w:rFonts w:ascii="方正书宋_GBK" w:eastAsia="方正书宋_GBK" w:cs="Times New Roman"/>
              </w:rPr>
            </w:pPr>
            <w:r>
              <w:rPr>
                <w:rFonts w:hint="eastAsia" w:ascii="方正书宋_GBK" w:eastAsia="方正书宋_GBK" w:cs="Times New Roman"/>
              </w:rPr>
              <w:t>140</w:t>
            </w:r>
          </w:p>
        </w:tc>
        <w:tc>
          <w:tcPr>
            <w:tcW w:w="312" w:type="pct"/>
            <w:vAlign w:val="center"/>
          </w:tcPr>
          <w:p>
            <w:pPr>
              <w:spacing w:line="300" w:lineRule="exact"/>
              <w:jc w:val="right"/>
              <w:rPr>
                <w:rFonts w:ascii="方正书宋_GBK" w:eastAsia="方正书宋_GBK" w:cs="Times New Roman"/>
              </w:rPr>
            </w:pPr>
            <w:r>
              <w:rPr>
                <w:rFonts w:hint="eastAsia" w:ascii="方正书宋_GBK" w:eastAsia="方正书宋_GBK" w:cs="Times New Roman"/>
              </w:rPr>
              <w:t>140</w:t>
            </w:r>
          </w:p>
        </w:tc>
        <w:tc>
          <w:tcPr>
            <w:tcW w:w="312" w:type="pct"/>
            <w:vAlign w:val="center"/>
          </w:tcPr>
          <w:p>
            <w:pPr>
              <w:spacing w:line="300" w:lineRule="exact"/>
              <w:jc w:val="right"/>
              <w:rPr>
                <w:rFonts w:ascii="方正书宋_GBK" w:eastAsia="方正书宋_GBK" w:cs="Times New Roman"/>
              </w:rPr>
            </w:pPr>
            <w:r>
              <w:rPr>
                <w:rFonts w:hint="eastAsia" w:ascii="方正书宋_GBK" w:eastAsia="方正书宋_GBK" w:cs="Times New Roman"/>
              </w:rPr>
              <w:t>140</w:t>
            </w:r>
          </w:p>
        </w:tc>
        <w:tc>
          <w:tcPr>
            <w:tcW w:w="312" w:type="pct"/>
            <w:vAlign w:val="center"/>
          </w:tcPr>
          <w:p>
            <w:pPr>
              <w:pStyle w:val="13"/>
            </w:pPr>
          </w:p>
        </w:tc>
        <w:tc>
          <w:tcPr>
            <w:tcW w:w="312" w:type="pct"/>
            <w:vAlign w:val="center"/>
          </w:tcPr>
          <w:p>
            <w:pPr>
              <w:pStyle w:val="13"/>
            </w:pPr>
          </w:p>
        </w:tc>
        <w:tc>
          <w:tcPr>
            <w:tcW w:w="312" w:type="pct"/>
            <w:vAlign w:val="center"/>
          </w:tcPr>
          <w:p>
            <w:pPr>
              <w:pStyle w:val="13"/>
            </w:pPr>
          </w:p>
        </w:tc>
        <w:tc>
          <w:tcPr>
            <w:tcW w:w="312" w:type="pct"/>
            <w:vAlign w:val="center"/>
          </w:tcPr>
          <w:p>
            <w:pPr>
              <w:pStyle w:val="13"/>
            </w:pPr>
          </w:p>
        </w:tc>
        <w:tc>
          <w:tcPr>
            <w:tcW w:w="312" w:type="pct"/>
            <w:vAlign w:val="center"/>
          </w:tcPr>
          <w:p>
            <w:pPr>
              <w:pStyle w:val="13"/>
            </w:pPr>
          </w:p>
        </w:tc>
        <w:tc>
          <w:tcPr>
            <w:tcW w:w="313" w:type="pct"/>
            <w:vAlign w:val="center"/>
          </w:tcPr>
          <w:p>
            <w:pPr>
              <w:pStyle w:val="13"/>
            </w:pPr>
          </w:p>
        </w:tc>
        <w:tc>
          <w:tcPr>
            <w:tcW w:w="312"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vAlign w:val="center"/>
          </w:tcPr>
          <w:p>
            <w:pPr>
              <w:pStyle w:val="14"/>
              <w:spacing w:line="240" w:lineRule="exact"/>
              <w:rPr>
                <w:lang w:eastAsia="zh-CN"/>
              </w:rPr>
            </w:pPr>
            <w:r>
              <w:rPr>
                <w:rFonts w:hint="eastAsia"/>
                <w:lang w:eastAsia="zh-CN"/>
              </w:rPr>
              <w:t>办公自动化经费</w:t>
            </w:r>
          </w:p>
        </w:tc>
        <w:tc>
          <w:tcPr>
            <w:tcW w:w="313" w:type="pct"/>
            <w:vAlign w:val="center"/>
          </w:tcPr>
          <w:p>
            <w:pPr>
              <w:pStyle w:val="13"/>
              <w:rPr>
                <w:lang w:eastAsia="zh-CN"/>
              </w:rPr>
            </w:pPr>
            <w:r>
              <w:rPr>
                <w:rFonts w:hint="eastAsia"/>
                <w:lang w:eastAsia="zh-CN"/>
              </w:rPr>
              <w:t>139</w:t>
            </w:r>
          </w:p>
        </w:tc>
        <w:tc>
          <w:tcPr>
            <w:tcW w:w="367" w:type="pct"/>
            <w:vAlign w:val="center"/>
          </w:tcPr>
          <w:p>
            <w:pPr>
              <w:pStyle w:val="14"/>
              <w:spacing w:line="240" w:lineRule="exact"/>
            </w:pPr>
            <w:r>
              <w:rPr>
                <w:rFonts w:hint="eastAsia" w:hAnsi="Calibri" w:cs="Times New Roman"/>
                <w:kern w:val="2"/>
                <w:szCs w:val="22"/>
                <w:lang w:eastAsia="zh-CN"/>
              </w:rPr>
              <w:t>软件运维服务</w:t>
            </w:r>
          </w:p>
        </w:tc>
        <w:tc>
          <w:tcPr>
            <w:tcW w:w="367" w:type="pct"/>
            <w:vAlign w:val="center"/>
          </w:tcPr>
          <w:p>
            <w:pPr>
              <w:spacing w:line="300" w:lineRule="exact"/>
              <w:jc w:val="left"/>
            </w:pPr>
            <w:r>
              <w:rPr>
                <w:rFonts w:hint="eastAsia" w:ascii="Times New Roman" w:hAnsi="Times New Roman" w:eastAsia="仿宋_GB2312" w:cs="Times New Roman"/>
              </w:rPr>
              <w:t>C020603</w:t>
            </w:r>
          </w:p>
        </w:tc>
        <w:tc>
          <w:tcPr>
            <w:tcW w:w="229" w:type="pct"/>
            <w:vAlign w:val="center"/>
          </w:tcPr>
          <w:p>
            <w:pPr>
              <w:pStyle w:val="15"/>
              <w:rPr>
                <w:lang w:eastAsia="zh-CN"/>
              </w:rPr>
            </w:pPr>
            <w:r>
              <w:rPr>
                <w:rFonts w:hint="eastAsia"/>
                <w:lang w:eastAsia="zh-CN"/>
              </w:rPr>
              <w:t>套</w:t>
            </w:r>
          </w:p>
        </w:tc>
        <w:tc>
          <w:tcPr>
            <w:tcW w:w="275" w:type="pct"/>
            <w:vAlign w:val="center"/>
          </w:tcPr>
          <w:p>
            <w:pPr>
              <w:pStyle w:val="13"/>
              <w:rPr>
                <w:lang w:eastAsia="zh-CN"/>
              </w:rPr>
            </w:pPr>
            <w:r>
              <w:rPr>
                <w:rFonts w:hint="eastAsia"/>
                <w:lang w:eastAsia="zh-CN"/>
              </w:rPr>
              <w:t>1</w:t>
            </w:r>
          </w:p>
        </w:tc>
        <w:tc>
          <w:tcPr>
            <w:tcW w:w="275" w:type="pct"/>
            <w:vAlign w:val="center"/>
          </w:tcPr>
          <w:p>
            <w:pPr>
              <w:pStyle w:val="13"/>
              <w:rPr>
                <w:lang w:eastAsia="zh-CN"/>
              </w:rPr>
            </w:pPr>
            <w:r>
              <w:rPr>
                <w:rFonts w:hint="eastAsia"/>
                <w:lang w:eastAsia="zh-CN"/>
              </w:rPr>
              <w:t>139</w:t>
            </w:r>
          </w:p>
        </w:tc>
        <w:tc>
          <w:tcPr>
            <w:tcW w:w="312" w:type="pct"/>
            <w:vAlign w:val="center"/>
          </w:tcPr>
          <w:p>
            <w:pPr>
              <w:pStyle w:val="13"/>
              <w:rPr>
                <w:lang w:eastAsia="zh-CN"/>
              </w:rPr>
            </w:pPr>
            <w:r>
              <w:rPr>
                <w:rFonts w:hint="eastAsia"/>
                <w:lang w:eastAsia="zh-CN"/>
              </w:rPr>
              <w:t>139</w:t>
            </w:r>
          </w:p>
        </w:tc>
        <w:tc>
          <w:tcPr>
            <w:tcW w:w="312" w:type="pct"/>
            <w:vAlign w:val="center"/>
          </w:tcPr>
          <w:p>
            <w:pPr>
              <w:pStyle w:val="13"/>
              <w:rPr>
                <w:lang w:eastAsia="zh-CN"/>
              </w:rPr>
            </w:pPr>
            <w:r>
              <w:rPr>
                <w:rFonts w:hint="eastAsia"/>
                <w:lang w:eastAsia="zh-CN"/>
              </w:rPr>
              <w:t>139</w:t>
            </w:r>
          </w:p>
        </w:tc>
        <w:tc>
          <w:tcPr>
            <w:tcW w:w="312" w:type="pct"/>
            <w:vAlign w:val="center"/>
          </w:tcPr>
          <w:p>
            <w:pPr>
              <w:pStyle w:val="13"/>
            </w:pPr>
          </w:p>
        </w:tc>
        <w:tc>
          <w:tcPr>
            <w:tcW w:w="312" w:type="pct"/>
            <w:vAlign w:val="center"/>
          </w:tcPr>
          <w:p>
            <w:pPr>
              <w:pStyle w:val="13"/>
            </w:pPr>
          </w:p>
        </w:tc>
        <w:tc>
          <w:tcPr>
            <w:tcW w:w="312" w:type="pct"/>
            <w:vAlign w:val="center"/>
          </w:tcPr>
          <w:p>
            <w:pPr>
              <w:pStyle w:val="13"/>
            </w:pPr>
          </w:p>
        </w:tc>
        <w:tc>
          <w:tcPr>
            <w:tcW w:w="312" w:type="pct"/>
            <w:vAlign w:val="center"/>
          </w:tcPr>
          <w:p>
            <w:pPr>
              <w:pStyle w:val="13"/>
            </w:pPr>
          </w:p>
        </w:tc>
        <w:tc>
          <w:tcPr>
            <w:tcW w:w="312" w:type="pct"/>
            <w:vAlign w:val="center"/>
          </w:tcPr>
          <w:p>
            <w:pPr>
              <w:pStyle w:val="13"/>
            </w:pPr>
          </w:p>
        </w:tc>
        <w:tc>
          <w:tcPr>
            <w:tcW w:w="313" w:type="pct"/>
            <w:vAlign w:val="center"/>
          </w:tcPr>
          <w:p>
            <w:pPr>
              <w:pStyle w:val="13"/>
            </w:pPr>
          </w:p>
        </w:tc>
        <w:tc>
          <w:tcPr>
            <w:tcW w:w="312" w:type="pct"/>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 xml:space="preserve">     </w:t>
      </w:r>
    </w:p>
    <w:p>
      <w:pPr>
        <w:spacing w:line="500" w:lineRule="exact"/>
        <w:ind w:firstLine="525" w:firstLineChars="250"/>
        <w:rPr>
          <w:rFonts w:ascii="Times New Roman" w:hAnsi="Times New Roman" w:eastAsia="黑体" w:cs="Times New Roman"/>
          <w:sz w:val="32"/>
          <w:szCs w:val="32"/>
        </w:rPr>
      </w:pPr>
      <w:r>
        <w:rPr>
          <w:rFonts w:hint="eastAsia" w:ascii="方正仿宋_GBK" w:hAnsi="方正仿宋_GBK" w:eastAsia="方正仿宋_GBK" w:cs="方正仿宋_GBK"/>
          <w:color w:val="000000"/>
        </w:rPr>
        <w:t xml:space="preserve"> </w:t>
      </w: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广阳区人民政府办公室</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420.74804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总额为139万元，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办公系统</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广阳区人民政府办公室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420.74804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152.48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116.32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995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151.94804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68A5B86-626D-481E-BBC3-A242230A401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embedRegular r:id="rId2" w:fontKey="{A09E5A72-0DF5-4CA7-AC00-D244DC989A21}"/>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embedRegular r:id="rId3" w:fontKey="{C395A88F-F4BD-461E-BEF2-704065D89CA5}"/>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18</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40A6C"/>
    <w:rsid w:val="000B362E"/>
    <w:rsid w:val="000B4B45"/>
    <w:rsid w:val="000F6018"/>
    <w:rsid w:val="001436CC"/>
    <w:rsid w:val="00180C19"/>
    <w:rsid w:val="00203971"/>
    <w:rsid w:val="0025632D"/>
    <w:rsid w:val="002A543C"/>
    <w:rsid w:val="003059E0"/>
    <w:rsid w:val="00332B55"/>
    <w:rsid w:val="00382ACF"/>
    <w:rsid w:val="00393BFB"/>
    <w:rsid w:val="0046386C"/>
    <w:rsid w:val="004A54AA"/>
    <w:rsid w:val="0052432C"/>
    <w:rsid w:val="00652F13"/>
    <w:rsid w:val="006B2095"/>
    <w:rsid w:val="00710CEA"/>
    <w:rsid w:val="00731F85"/>
    <w:rsid w:val="00744EC4"/>
    <w:rsid w:val="0075656E"/>
    <w:rsid w:val="00812F98"/>
    <w:rsid w:val="00874CA3"/>
    <w:rsid w:val="008A28C3"/>
    <w:rsid w:val="008D4C35"/>
    <w:rsid w:val="00944233"/>
    <w:rsid w:val="009903F3"/>
    <w:rsid w:val="00A60858"/>
    <w:rsid w:val="00AF6EA0"/>
    <w:rsid w:val="00B40732"/>
    <w:rsid w:val="00B80935"/>
    <w:rsid w:val="00B80F1D"/>
    <w:rsid w:val="00D347CC"/>
    <w:rsid w:val="00DC72B4"/>
    <w:rsid w:val="00F51681"/>
    <w:rsid w:val="052343E1"/>
    <w:rsid w:val="058459A0"/>
    <w:rsid w:val="0C915E3E"/>
    <w:rsid w:val="0CEC1180"/>
    <w:rsid w:val="118E5728"/>
    <w:rsid w:val="59186ED4"/>
    <w:rsid w:val="66F44340"/>
    <w:rsid w:val="73693C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1117</Words>
  <Characters>6371</Characters>
  <Lines>53</Lines>
  <Paragraphs>14</Paragraphs>
  <TotalTime>9059</TotalTime>
  <ScaleCrop>false</ScaleCrop>
  <LinksUpToDate>false</LinksUpToDate>
  <CharactersWithSpaces>7474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2023-08-01T03:59:36Z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5A6A9644CDC047A5BF14198C6758572A</vt:lpwstr>
  </property>
</Properties>
</file>