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廊坊市广阳区新源道街道办事处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15A9473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5A94736"/>
    <w:rsid w:val="2FFA53FC"/>
    <w:rsid w:val="34233BB8"/>
    <w:rsid w:val="5BEC3449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2023-08-02T02:29:14Z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6CD5B104535A4ED58C1C6B92E1A47F76_12</vt:lpwstr>
  </property>
</Properties>
</file>