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广阳区行政审批局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广阳区行政审批局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pStyle w:val="19"/>
        <w:rPr>
          <w:rFonts w:ascii="仿宋" w:hAnsi="仿宋" w:eastAsia="仿宋" w:cs="仿宋"/>
          <w:sz w:val="32"/>
          <w:szCs w:val="32"/>
          <w:lang w:eastAsia="zh-CN"/>
        </w:rPr>
      </w:pPr>
      <w:r>
        <w:rPr>
          <w:sz w:val="20"/>
          <w:lang w:eastAsia="zh-CN"/>
        </w:rPr>
        <w:t xml:space="preserve">     </w:t>
      </w:r>
      <w:r>
        <w:rPr>
          <w:rFonts w:hint="eastAsia" w:ascii="仿宋" w:hAnsi="仿宋" w:eastAsia="仿宋" w:cs="仿宋"/>
          <w:sz w:val="32"/>
          <w:szCs w:val="32"/>
          <w:lang w:eastAsia="zh-CN"/>
        </w:rPr>
        <w:t>1、贯彻执行党中央国务院、省委省政府、市委市政府和区委区政府“放管服”改革、行政审批制度改革、政务服务管理、公共资源交易市场管理有关方针政策和法律法规。拟定有关政策，协调指导并监督实施。</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2、组织协调全区“放管服”改革工作。指导、督促贯彻落实党中央国务院、省委省政府、市委市政府和区委区政府有关“放管服”改革重要领域、关键环节重大措施，承担区推进政府职能转变和“放管服”改革协调小组的日常工作。</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3、指导协调全区行政审批制度改革工作。建立健全行政审批管理体系；推进简政放权，清理和规范各类行政许可等管理事项；协调推进行政审批标准化工作；承担区行政审批制度改革工作领导小组的日常工作。</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4、负责办理划转至区行政审批局的行政审批事项，并对审批行为承担相应的法律责任；负责对划入的行政审批事项进行流程再造和环节优化；负责与监督单位的联系沟通，建立健全审批与监管的有效衔接机制。</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5、指导协调全区政务服务管理工作。负责优化政务服务供给，降低制度性交易成本，提升政务服务效能；负责推进审批服务便民化；指导协调区有关单位为公民、法人或其他组织提供规范、高效、优质的政务服务。</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6、负责综合协调和监督管理区级各单位行政审批事项和公共服务事项的集中统一办理；推进重点项目审批服务的综合协调和督办；组织相关单位开展审批服务事项的联合办理和联审会办；研究推进并联审服务工作。</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7、协调指导全区公共资源交易市场工作。拟定全区公共资源交易市场管理制度和规则；编制全区公共资源交易目录；负责管理和利用统一的公共资源交易电子服务系统；负责推进全区公共资源交易领域信用体系建设；依据公共资源交易平台管理细则和办法等相关规定，履行管理和服务的职责；依法协调祥光单位开展区本级公共资源交易活动的联动执法工作。</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8、统筹推进全区“互联网+政务服务”工作，构建全区一体化政务服务平台。推行政务服务事项网上办理，形成管理机构、实体大厅、网上平台“三位一体”的管理模式；推进全区电子证照库建设‘推进全区政务服务平台规范化、标准化、集约化建设和互联互通、数据共享。</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9、建立健全全区行政审批服务、政务服务效能可量化的考核评价制度；对进驻政务服务大厅的单位进行综合考评，对进驻事项的办理情况、办理效能，以及办事人员的服务质量等进行监督；负责对垂管单位和有关单位派驻窗口的规范、管理和监督；负责受理对本单位及派驻单位行政审批行为的投诉举报，会同有关单位查处行政审批方面的违纪违规行为。</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10、不断优化行政审批、政务服务管理模式。指导和监督政务服务中心和公共资源交易规范化建设；协调市行政审批局与区有关单位，建立完善市县审批服务联动工作机制；指导全区政务服务大厅建设。</w:t>
      </w:r>
    </w:p>
    <w:p>
      <w:pPr>
        <w:pStyle w:val="19"/>
        <w:ind w:firstLine="320" w:firstLineChars="100"/>
        <w:rPr>
          <w:rFonts w:ascii="仿宋" w:hAnsi="仿宋" w:eastAsia="仿宋" w:cs="仿宋"/>
          <w:sz w:val="32"/>
          <w:szCs w:val="32"/>
          <w:lang w:eastAsia="zh-CN"/>
        </w:rPr>
      </w:pPr>
      <w:r>
        <w:rPr>
          <w:rFonts w:hint="eastAsia" w:ascii="仿宋" w:hAnsi="仿宋" w:eastAsia="仿宋" w:cs="仿宋"/>
          <w:sz w:val="32"/>
          <w:szCs w:val="32"/>
          <w:lang w:eastAsia="zh-CN"/>
        </w:rPr>
        <w:t>11、完成区委、区政府交办的其他任务</w:t>
      </w:r>
    </w:p>
    <w:p>
      <w:pPr>
        <w:pStyle w:val="19"/>
        <w:rPr>
          <w:rFonts w:ascii="仿宋" w:hAnsi="仿宋" w:eastAsia="仿宋" w:cs="仿宋"/>
          <w:sz w:val="32"/>
          <w:szCs w:val="32"/>
          <w:lang w:eastAsia="zh-CN"/>
        </w:rPr>
      </w:pPr>
    </w:p>
    <w:p>
      <w:pPr>
        <w:autoSpaceDE w:val="0"/>
        <w:autoSpaceDN w:val="0"/>
        <w:adjustRightInd w:val="0"/>
        <w:spacing w:line="584" w:lineRule="exact"/>
        <w:ind w:firstLine="630" w:firstLineChars="196"/>
        <w:jc w:val="left"/>
        <w:rPr>
          <w:rFonts w:ascii="仿宋" w:hAnsi="仿宋" w:eastAsia="仿宋" w:cs="仿宋"/>
          <w:b/>
          <w:sz w:val="32"/>
          <w:szCs w:val="32"/>
        </w:rPr>
      </w:pPr>
      <w:r>
        <w:rPr>
          <w:rFonts w:hint="eastAsia" w:ascii="仿宋" w:hAnsi="仿宋" w:eastAsia="仿宋" w:cs="仿宋"/>
          <w:b/>
          <w:sz w:val="32"/>
          <w:szCs w:val="32"/>
        </w:rPr>
        <w:t>机构设置：</w:t>
      </w:r>
    </w:p>
    <w:p>
      <w:pPr>
        <w:spacing w:line="584" w:lineRule="exact"/>
        <w:jc w:val="center"/>
        <w:outlineLvl w:val="0"/>
        <w:rPr>
          <w:rFonts w:ascii="仿宋" w:hAnsi="仿宋" w:eastAsia="仿宋" w:cs="仿宋"/>
          <w:b/>
          <w:sz w:val="32"/>
          <w:szCs w:val="32"/>
        </w:rPr>
      </w:pPr>
      <w:r>
        <w:rPr>
          <w:rFonts w:hint="eastAsia" w:ascii="仿宋" w:hAnsi="仿宋" w:eastAsia="仿宋" w:cs="仿宋"/>
          <w:b/>
          <w:sz w:val="32"/>
          <w:szCs w:val="32"/>
          <w:lang w:eastAsia="zh-CN"/>
        </w:rPr>
        <w:t>单位</w:t>
      </w:r>
      <w:r>
        <w:rPr>
          <w:rFonts w:hint="eastAsia" w:ascii="仿宋" w:hAnsi="仿宋" w:eastAsia="仿宋" w:cs="仿宋"/>
          <w:b/>
          <w:sz w:val="32"/>
          <w:szCs w:val="32"/>
        </w:rPr>
        <w:t>机构设置情况</w:t>
      </w:r>
    </w:p>
    <w:tbl>
      <w:tblPr>
        <w:tblStyle w:val="8"/>
        <w:tblW w:w="118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78"/>
        <w:gridCol w:w="1843"/>
        <w:gridCol w:w="1782"/>
        <w:gridCol w:w="3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78" w:type="dxa"/>
            <w:vMerge w:val="restart"/>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单位名称</w:t>
            </w:r>
          </w:p>
        </w:tc>
        <w:tc>
          <w:tcPr>
            <w:tcW w:w="1843" w:type="dxa"/>
            <w:vMerge w:val="restart"/>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单位性质</w:t>
            </w:r>
          </w:p>
        </w:tc>
        <w:tc>
          <w:tcPr>
            <w:tcW w:w="1782" w:type="dxa"/>
            <w:vMerge w:val="restart"/>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单位规格</w:t>
            </w:r>
          </w:p>
        </w:tc>
        <w:tc>
          <w:tcPr>
            <w:tcW w:w="3746" w:type="dxa"/>
            <w:vMerge w:val="restart"/>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4478" w:type="dxa"/>
            <w:vMerge w:val="continue"/>
            <w:shd w:val="clear" w:color="auto" w:fill="auto"/>
            <w:vAlign w:val="center"/>
          </w:tcPr>
          <w:p>
            <w:pPr>
              <w:rPr>
                <w:rFonts w:ascii="仿宋" w:hAnsi="仿宋" w:eastAsia="仿宋" w:cs="仿宋"/>
                <w:sz w:val="32"/>
                <w:szCs w:val="32"/>
              </w:rPr>
            </w:pPr>
          </w:p>
        </w:tc>
        <w:tc>
          <w:tcPr>
            <w:tcW w:w="1843" w:type="dxa"/>
            <w:vMerge w:val="continue"/>
            <w:shd w:val="clear" w:color="auto" w:fill="auto"/>
            <w:vAlign w:val="center"/>
          </w:tcPr>
          <w:p>
            <w:pPr>
              <w:rPr>
                <w:rFonts w:ascii="仿宋" w:hAnsi="仿宋" w:eastAsia="仿宋" w:cs="仿宋"/>
                <w:sz w:val="32"/>
                <w:szCs w:val="32"/>
              </w:rPr>
            </w:pPr>
          </w:p>
        </w:tc>
        <w:tc>
          <w:tcPr>
            <w:tcW w:w="1782" w:type="dxa"/>
            <w:vMerge w:val="continue"/>
            <w:shd w:val="clear" w:color="auto" w:fill="auto"/>
            <w:vAlign w:val="center"/>
          </w:tcPr>
          <w:p>
            <w:pPr>
              <w:rPr>
                <w:rFonts w:ascii="仿宋" w:hAnsi="仿宋" w:eastAsia="仿宋" w:cs="仿宋"/>
                <w:sz w:val="32"/>
                <w:szCs w:val="32"/>
              </w:rPr>
            </w:pPr>
          </w:p>
        </w:tc>
        <w:tc>
          <w:tcPr>
            <w:tcW w:w="3746" w:type="dxa"/>
            <w:vMerge w:val="continue"/>
            <w:shd w:val="clear" w:color="auto" w:fill="auto"/>
            <w:vAlign w:val="center"/>
          </w:tcPr>
          <w:p>
            <w:pPr>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78" w:type="dxa"/>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廊坊市广阳区行政审批局</w:t>
            </w:r>
          </w:p>
        </w:tc>
        <w:tc>
          <w:tcPr>
            <w:tcW w:w="1843" w:type="dxa"/>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机关</w:t>
            </w:r>
          </w:p>
        </w:tc>
        <w:tc>
          <w:tcPr>
            <w:tcW w:w="1782" w:type="dxa"/>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正科级</w:t>
            </w:r>
          </w:p>
        </w:tc>
        <w:tc>
          <w:tcPr>
            <w:tcW w:w="3746" w:type="dxa"/>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广阳区行政审批局</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739.85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739.85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广阳区行政审批局2022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739.85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608.1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481.44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126.66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131.75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739.85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减少38.49</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58.05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ascii="Times New Roman" w:hAnsi="Times New Roman" w:eastAsia="仿宋_GB2312" w:cs="Times New Roman"/>
          <w:color w:val="000000" w:themeColor="text1"/>
          <w:sz w:val="32"/>
          <w:szCs w:val="32"/>
          <w14:textFill>
            <w14:solidFill>
              <w14:schemeClr w14:val="tx1"/>
            </w14:solidFill>
          </w14:textFill>
        </w:rPr>
        <w:t>减少</w:t>
      </w:r>
      <w:r>
        <w:rPr>
          <w:rFonts w:hint="eastAsia" w:ascii="Times New Roman" w:hAnsi="Times New Roman" w:eastAsia="仿宋_GB2312" w:cs="Times New Roman"/>
          <w:color w:val="000000" w:themeColor="text1"/>
          <w:sz w:val="32"/>
          <w:szCs w:val="32"/>
          <w14:textFill>
            <w14:solidFill>
              <w14:schemeClr w14:val="tx1"/>
            </w14:solidFill>
          </w14:textFill>
        </w:rPr>
        <w:t>96.54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政务中心运行经费、国防动员指挥培训基地物业服务经费</w:t>
      </w:r>
      <w:r>
        <w:rPr>
          <w:rFonts w:ascii="Times New Roman" w:hAnsi="Times New Roman" w:eastAsia="仿宋_GB2312" w:cs="Times New Roman"/>
          <w:sz w:val="32"/>
          <w:szCs w:val="32"/>
        </w:rPr>
        <w:t>等项目支出。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126.66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廊坊市广阳区行政审批局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rPr>
          <w:rFonts w:eastAsia="仿宋_GB2312"/>
          <w:sz w:val="32"/>
          <w:szCs w:val="32"/>
        </w:rPr>
      </w:pPr>
      <w:r>
        <w:rPr>
          <w:rFonts w:ascii="仿宋" w:hAnsi="仿宋" w:eastAsia="仿宋"/>
        </w:rPr>
        <w:t>1</w:t>
      </w:r>
      <w:r>
        <w:rPr>
          <w:rFonts w:eastAsia="仿宋_GB2312"/>
          <w:sz w:val="32"/>
          <w:szCs w:val="32"/>
        </w:rPr>
        <w:t>、组织实施审批局各项规章制度和管理办法，做好深化行政审批制度改革、提高审批效率，优化政务服务环境;</w:t>
      </w:r>
    </w:p>
    <w:p>
      <w:pPr>
        <w:pStyle w:val="20"/>
        <w:rPr>
          <w:rFonts w:eastAsia="仿宋_GB2312"/>
          <w:sz w:val="32"/>
          <w:szCs w:val="32"/>
        </w:rPr>
      </w:pPr>
      <w:r>
        <w:rPr>
          <w:rFonts w:eastAsia="仿宋_GB2312"/>
          <w:sz w:val="32"/>
          <w:szCs w:val="32"/>
        </w:rPr>
        <w:t>2、完成全年审批业务申请受理，按照规定程序对行政审批事项进行要件审核，对符合规定条件的行政审批事项进行批准，完成对各工作人员的业务培训、教育培训、管理、监督和考核工作，加强档案管理；</w:t>
      </w:r>
    </w:p>
    <w:p>
      <w:pPr>
        <w:pStyle w:val="20"/>
        <w:rPr>
          <w:rFonts w:eastAsia="仿宋_GB2312"/>
          <w:sz w:val="32"/>
          <w:szCs w:val="32"/>
        </w:rPr>
      </w:pPr>
      <w:r>
        <w:rPr>
          <w:rFonts w:eastAsia="仿宋_GB2312"/>
          <w:sz w:val="32"/>
          <w:szCs w:val="32"/>
        </w:rPr>
        <w:t>3、配合上级</w:t>
      </w:r>
      <w:r>
        <w:rPr>
          <w:rFonts w:hint="eastAsia" w:eastAsia="仿宋_GB2312"/>
          <w:sz w:val="32"/>
          <w:szCs w:val="32"/>
          <w:lang w:eastAsia="zh-CN"/>
        </w:rPr>
        <w:t>单位</w:t>
      </w:r>
      <w:r>
        <w:rPr>
          <w:rFonts w:eastAsia="仿宋_GB2312"/>
          <w:sz w:val="32"/>
          <w:szCs w:val="32"/>
        </w:rPr>
        <w:t>完成政务服务平台建设，并有效管理和运用，深化互联网+政务服务改革；</w:t>
      </w:r>
    </w:p>
    <w:p>
      <w:pPr>
        <w:pStyle w:val="20"/>
        <w:rPr>
          <w:rFonts w:eastAsia="仿宋_GB2312"/>
          <w:sz w:val="32"/>
          <w:szCs w:val="32"/>
        </w:rPr>
      </w:pPr>
      <w:r>
        <w:rPr>
          <w:rFonts w:eastAsia="仿宋_GB2312"/>
          <w:sz w:val="32"/>
          <w:szCs w:val="32"/>
        </w:rPr>
        <w:t>4、完成各</w:t>
      </w:r>
      <w:r>
        <w:rPr>
          <w:rFonts w:hint="eastAsia" w:eastAsia="仿宋_GB2312"/>
          <w:sz w:val="32"/>
          <w:szCs w:val="32"/>
          <w:lang w:eastAsia="zh-CN"/>
        </w:rPr>
        <w:t>单位</w:t>
      </w:r>
      <w:r>
        <w:rPr>
          <w:rFonts w:eastAsia="仿宋_GB2312"/>
          <w:sz w:val="32"/>
          <w:szCs w:val="32"/>
        </w:rPr>
        <w:t>间业务交流和上级</w:t>
      </w:r>
      <w:r>
        <w:rPr>
          <w:rFonts w:hint="eastAsia" w:eastAsia="仿宋_GB2312"/>
          <w:sz w:val="32"/>
          <w:szCs w:val="32"/>
          <w:lang w:eastAsia="zh-CN"/>
        </w:rPr>
        <w:t>单位</w:t>
      </w:r>
      <w:r>
        <w:rPr>
          <w:rFonts w:eastAsia="仿宋_GB2312"/>
          <w:sz w:val="32"/>
          <w:szCs w:val="32"/>
        </w:rPr>
        <w:t>交办的工作，加强行政管理能力建设，促进自身建设、服务保障能力进一步提升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rPr>
          <w:rFonts w:eastAsia="仿宋_GB2312"/>
          <w:sz w:val="32"/>
          <w:szCs w:val="32"/>
        </w:rPr>
      </w:pPr>
      <w:r>
        <w:rPr>
          <w:rFonts w:hint="eastAsia" w:eastAsia="仿宋_GB2312"/>
          <w:sz w:val="32"/>
          <w:szCs w:val="32"/>
        </w:rPr>
        <w:t>1</w:t>
      </w:r>
      <w:r>
        <w:rPr>
          <w:rFonts w:eastAsia="仿宋_GB2312"/>
          <w:sz w:val="32"/>
          <w:szCs w:val="32"/>
        </w:rPr>
        <w:t>、贯彻执行有关行政审批的方针政策、法律法规及各项制度。</w:t>
      </w:r>
    </w:p>
    <w:p>
      <w:pPr>
        <w:pStyle w:val="21"/>
        <w:rPr>
          <w:rFonts w:eastAsia="仿宋_GB2312"/>
          <w:sz w:val="32"/>
          <w:szCs w:val="32"/>
        </w:rPr>
      </w:pPr>
      <w:r>
        <w:rPr>
          <w:rFonts w:hint="eastAsia" w:eastAsia="仿宋_GB2312"/>
          <w:sz w:val="32"/>
          <w:szCs w:val="32"/>
        </w:rPr>
        <w:t>2</w:t>
      </w:r>
      <w:r>
        <w:rPr>
          <w:rFonts w:eastAsia="仿宋_GB2312"/>
          <w:sz w:val="32"/>
          <w:szCs w:val="32"/>
        </w:rPr>
        <w:t>、持续优化提升审批服务效能。</w:t>
      </w:r>
    </w:p>
    <w:p>
      <w:pPr>
        <w:pStyle w:val="21"/>
        <w:rPr>
          <w:rFonts w:eastAsia="仿宋_GB2312"/>
          <w:sz w:val="32"/>
          <w:szCs w:val="32"/>
        </w:rPr>
      </w:pPr>
      <w:r>
        <w:rPr>
          <w:rFonts w:hint="eastAsia" w:eastAsia="仿宋_GB2312"/>
          <w:sz w:val="32"/>
          <w:szCs w:val="32"/>
        </w:rPr>
        <w:t>3</w:t>
      </w:r>
      <w:r>
        <w:rPr>
          <w:rFonts w:eastAsia="仿宋_GB2312"/>
          <w:sz w:val="32"/>
          <w:szCs w:val="32"/>
        </w:rPr>
        <w:t>、严格依法依规开展审批事项。</w:t>
      </w:r>
    </w:p>
    <w:p>
      <w:pPr>
        <w:pStyle w:val="21"/>
        <w:rPr>
          <w:rFonts w:eastAsia="仿宋_GB2312"/>
          <w:sz w:val="32"/>
          <w:szCs w:val="32"/>
        </w:rPr>
      </w:pPr>
      <w:r>
        <w:rPr>
          <w:rFonts w:hint="eastAsia" w:eastAsia="仿宋_GB2312"/>
          <w:sz w:val="32"/>
          <w:szCs w:val="32"/>
        </w:rPr>
        <w:t>4</w:t>
      </w:r>
      <w:r>
        <w:rPr>
          <w:rFonts w:eastAsia="仿宋_GB2312"/>
          <w:sz w:val="32"/>
          <w:szCs w:val="32"/>
        </w:rPr>
        <w:t>、深化“互联网+政务服务”改革。</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2"/>
        <w:rPr>
          <w:rFonts w:eastAsia="仿宋_GB2312"/>
          <w:sz w:val="32"/>
          <w:szCs w:val="32"/>
        </w:rPr>
      </w:pPr>
      <w:r>
        <w:rPr>
          <w:rFonts w:hint="eastAsia" w:eastAsia="仿宋_GB2312"/>
          <w:sz w:val="32"/>
          <w:szCs w:val="32"/>
        </w:rPr>
        <w:t>1、</w:t>
      </w:r>
      <w:r>
        <w:rPr>
          <w:rFonts w:eastAsia="仿宋_GB2312"/>
          <w:sz w:val="32"/>
          <w:szCs w:val="32"/>
        </w:rPr>
        <w:t>完善制度建设,严格执行绩效管理制度，完善管理体系，规范管理行为，提高管理质量，为目标绩效管理提供强力支撑。</w:t>
      </w:r>
    </w:p>
    <w:p>
      <w:pPr>
        <w:pStyle w:val="22"/>
        <w:rPr>
          <w:rFonts w:eastAsia="仿宋_GB2312"/>
          <w:sz w:val="32"/>
          <w:szCs w:val="32"/>
        </w:rPr>
      </w:pPr>
      <w:r>
        <w:rPr>
          <w:rFonts w:hint="eastAsia" w:eastAsia="仿宋_GB2312"/>
          <w:sz w:val="32"/>
          <w:szCs w:val="32"/>
        </w:rPr>
        <w:t>2、</w:t>
      </w:r>
      <w:r>
        <w:rPr>
          <w:rFonts w:eastAsia="仿宋_GB2312"/>
          <w:sz w:val="32"/>
          <w:szCs w:val="32"/>
        </w:rPr>
        <w:t>加强支出管理，结合自身实际，明确目标任务，切实落实责任，细化工作措施，确保目标绩效管理工作扎实有效。</w:t>
      </w:r>
    </w:p>
    <w:p>
      <w:pPr>
        <w:pStyle w:val="22"/>
        <w:rPr>
          <w:rFonts w:eastAsia="仿宋_GB2312"/>
          <w:sz w:val="32"/>
          <w:szCs w:val="32"/>
        </w:rPr>
      </w:pPr>
      <w:r>
        <w:rPr>
          <w:rFonts w:hint="eastAsia" w:eastAsia="仿宋_GB2312"/>
          <w:sz w:val="32"/>
          <w:szCs w:val="32"/>
        </w:rPr>
        <w:t>3、</w:t>
      </w:r>
      <w:r>
        <w:rPr>
          <w:rFonts w:eastAsia="仿宋_GB2312"/>
          <w:sz w:val="32"/>
          <w:szCs w:val="32"/>
        </w:rPr>
        <w:t>加强绩效运行监控，成立由局长担任主任的目标绩效管理小组，建立健全工作机制，负责谋划推进、部署协调、督查落实等工作。</w:t>
      </w:r>
    </w:p>
    <w:p>
      <w:pPr>
        <w:pStyle w:val="22"/>
        <w:rPr>
          <w:rFonts w:eastAsia="仿宋_GB2312"/>
          <w:sz w:val="32"/>
          <w:szCs w:val="32"/>
        </w:rPr>
      </w:pPr>
      <w:r>
        <w:rPr>
          <w:rFonts w:hint="eastAsia" w:eastAsia="仿宋_GB2312"/>
          <w:sz w:val="32"/>
          <w:szCs w:val="32"/>
        </w:rPr>
        <w:t>4、</w:t>
      </w:r>
      <w:r>
        <w:rPr>
          <w:rFonts w:eastAsia="仿宋_GB2312"/>
          <w:sz w:val="32"/>
          <w:szCs w:val="32"/>
        </w:rPr>
        <w:t>做好绩效自评，加强目标绩效管理，作为改进机关作风、提高工作效能、规范内部管理的重要手段。</w:t>
      </w:r>
    </w:p>
    <w:p>
      <w:pPr>
        <w:pStyle w:val="22"/>
        <w:rPr>
          <w:rFonts w:eastAsia="仿宋_GB2312"/>
          <w:sz w:val="32"/>
          <w:szCs w:val="32"/>
        </w:rPr>
      </w:pPr>
      <w:r>
        <w:rPr>
          <w:rFonts w:hint="eastAsia" w:eastAsia="仿宋_GB2312"/>
          <w:sz w:val="32"/>
          <w:szCs w:val="32"/>
        </w:rPr>
        <w:t>5、</w:t>
      </w:r>
      <w:r>
        <w:rPr>
          <w:rFonts w:eastAsia="仿宋_GB2312"/>
          <w:sz w:val="32"/>
          <w:szCs w:val="32"/>
        </w:rPr>
        <w:t>规范财务资产管理，严格财务支出审批流程，指定专人负责财务资产管理。</w:t>
      </w:r>
    </w:p>
    <w:p>
      <w:pPr>
        <w:pStyle w:val="22"/>
        <w:rPr>
          <w:rFonts w:eastAsia="仿宋_GB2312"/>
          <w:sz w:val="32"/>
          <w:szCs w:val="32"/>
        </w:rPr>
      </w:pPr>
      <w:r>
        <w:rPr>
          <w:rFonts w:hint="eastAsia" w:eastAsia="仿宋_GB2312"/>
          <w:sz w:val="32"/>
          <w:szCs w:val="32"/>
        </w:rPr>
        <w:t>6、</w:t>
      </w:r>
      <w:r>
        <w:rPr>
          <w:rFonts w:eastAsia="仿宋_GB2312"/>
          <w:sz w:val="32"/>
          <w:szCs w:val="32"/>
        </w:rPr>
        <w:t>加强内部监督，进一步强化日常监督，加强党风廉政教育，切实增强服务意识。</w:t>
      </w:r>
    </w:p>
    <w:p>
      <w:pPr>
        <w:pStyle w:val="22"/>
      </w:pPr>
      <w:r>
        <w:rPr>
          <w:rFonts w:hint="eastAsia" w:eastAsia="仿宋_GB2312"/>
          <w:sz w:val="32"/>
          <w:szCs w:val="32"/>
        </w:rPr>
        <w:t>7、</w:t>
      </w:r>
      <w:r>
        <w:rPr>
          <w:rFonts w:eastAsia="仿宋_GB2312"/>
          <w:sz w:val="32"/>
          <w:szCs w:val="32"/>
        </w:rPr>
        <w:t>加强宣传培训调研等，定期开展业务培训，认真学习同级、上级各</w:t>
      </w:r>
      <w:r>
        <w:rPr>
          <w:rFonts w:hint="eastAsia" w:eastAsia="仿宋_GB2312"/>
          <w:sz w:val="32"/>
          <w:szCs w:val="32"/>
          <w:lang w:eastAsia="zh-CN"/>
        </w:rPr>
        <w:t>单位</w:t>
      </w:r>
      <w:r>
        <w:rPr>
          <w:rFonts w:eastAsia="仿宋_GB2312"/>
          <w:sz w:val="32"/>
          <w:szCs w:val="32"/>
        </w:rPr>
        <w:t>各单位的先进经验，加强和各媒体的沟通，及时将取得成绩进行宣传报道，开展满意度调查等活动，确保各项工作能够取得办事企业的认可。</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448"/>
        <w:gridCol w:w="1134"/>
        <w:gridCol w:w="1134"/>
        <w:gridCol w:w="2410"/>
        <w:gridCol w:w="2835"/>
        <w:gridCol w:w="851"/>
        <w:gridCol w:w="732"/>
        <w:gridCol w:w="70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44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1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1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41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83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291"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5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448" w:type="dxa"/>
            <w:vMerge w:val="continue"/>
            <w:tcBorders>
              <w:tl2br w:val="nil"/>
              <w:tr2bl w:val="nil"/>
            </w:tcBorders>
            <w:vAlign w:val="center"/>
          </w:tcPr>
          <w:p/>
        </w:tc>
        <w:tc>
          <w:tcPr>
            <w:tcW w:w="1134" w:type="dxa"/>
            <w:vMerge w:val="continue"/>
            <w:tcBorders>
              <w:tl2br w:val="nil"/>
              <w:tr2bl w:val="nil"/>
            </w:tcBorders>
            <w:vAlign w:val="center"/>
          </w:tcPr>
          <w:p/>
        </w:tc>
        <w:tc>
          <w:tcPr>
            <w:tcW w:w="1134" w:type="dxa"/>
            <w:vMerge w:val="continue"/>
            <w:tcBorders>
              <w:tl2br w:val="nil"/>
              <w:tr2bl w:val="nil"/>
            </w:tcBorders>
            <w:vAlign w:val="center"/>
          </w:tcPr>
          <w:p/>
        </w:tc>
        <w:tc>
          <w:tcPr>
            <w:tcW w:w="2410" w:type="dxa"/>
            <w:vMerge w:val="continue"/>
            <w:tcBorders>
              <w:tl2br w:val="nil"/>
              <w:tr2bl w:val="nil"/>
            </w:tcBorders>
            <w:vAlign w:val="center"/>
          </w:tcPr>
          <w:p/>
        </w:tc>
        <w:tc>
          <w:tcPr>
            <w:tcW w:w="2835"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73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70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56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44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eastAsia="仿宋_GB2312"/>
                <w:sz w:val="21"/>
                <w:szCs w:val="21"/>
              </w:rPr>
              <w:t>数量</w:t>
            </w:r>
          </w:p>
        </w:tc>
        <w:tc>
          <w:tcPr>
            <w:tcW w:w="1134" w:type="dxa"/>
            <w:tcBorders>
              <w:tl2br w:val="nil"/>
              <w:tr2bl w:val="nil"/>
            </w:tcBorders>
            <w:vAlign w:val="center"/>
          </w:tcPr>
          <w:p>
            <w:pPr>
              <w:widowControl/>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业务办结率</w:t>
            </w:r>
          </w:p>
        </w:tc>
        <w:tc>
          <w:tcPr>
            <w:tcW w:w="2410" w:type="dxa"/>
            <w:tcBorders>
              <w:tl2br w:val="nil"/>
              <w:tr2bl w:val="nil"/>
            </w:tcBorders>
            <w:vAlign w:val="center"/>
          </w:tcPr>
          <w:p>
            <w:pPr>
              <w:widowControl/>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完成考核得20分，未完成按比例扣分</w:t>
            </w:r>
          </w:p>
        </w:tc>
        <w:tc>
          <w:tcPr>
            <w:tcW w:w="2835" w:type="dxa"/>
            <w:tcBorders>
              <w:tl2br w:val="nil"/>
              <w:tr2bl w:val="nil"/>
            </w:tcBorders>
            <w:vAlign w:val="center"/>
          </w:tcPr>
          <w:p>
            <w:pPr>
              <w:widowControl/>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办结业务数占申请业务的比率</w:t>
            </w:r>
          </w:p>
        </w:tc>
        <w:tc>
          <w:tcPr>
            <w:tcW w:w="851" w:type="dxa"/>
            <w:tcBorders>
              <w:tl2br w:val="nil"/>
              <w:tr2bl w:val="nil"/>
            </w:tcBorders>
            <w:vAlign w:val="center"/>
          </w:tcPr>
          <w:p>
            <w:pPr>
              <w:widowControl/>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w:t>
            </w:r>
          </w:p>
        </w:tc>
        <w:tc>
          <w:tcPr>
            <w:tcW w:w="732" w:type="dxa"/>
            <w:tcBorders>
              <w:tl2br w:val="nil"/>
              <w:tr2bl w:val="nil"/>
            </w:tcBorders>
            <w:vAlign w:val="center"/>
          </w:tcPr>
          <w:p>
            <w:pPr>
              <w:widowControl/>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100</w:t>
            </w:r>
          </w:p>
        </w:tc>
        <w:tc>
          <w:tcPr>
            <w:tcW w:w="708" w:type="dxa"/>
            <w:tcBorders>
              <w:tl2br w:val="nil"/>
              <w:tr2bl w:val="nil"/>
            </w:tcBorders>
            <w:vAlign w:val="center"/>
          </w:tcPr>
          <w:p>
            <w:pPr>
              <w:widowControl/>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p>
        </w:tc>
        <w:tc>
          <w:tcPr>
            <w:tcW w:w="1560" w:type="dxa"/>
            <w:tcBorders>
              <w:tl2br w:val="nil"/>
              <w:tr2bl w:val="nil"/>
            </w:tcBorders>
            <w:vAlign w:val="center"/>
          </w:tcPr>
          <w:p>
            <w:pPr>
              <w:widowControl/>
              <w:adjustRightInd w:val="0"/>
              <w:snapToGrid w:val="0"/>
              <w:ind w:firstLine="630" w:firstLineChars="300"/>
              <w:jc w:val="left"/>
              <w:rPr>
                <w:rFonts w:ascii="Times New Roman" w:hAnsi="Times New Roman" w:eastAsia="仿宋_GB2312" w:cs="Times New Roman"/>
                <w:szCs w:val="21"/>
              </w:rPr>
            </w:pPr>
            <w:r>
              <w:rPr>
                <w:rFonts w:hint="eastAsia" w:ascii="Times New Roman" w:hAnsi="Times New Roman" w:eastAsia="仿宋_GB2312" w:cs="Times New Roman"/>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48" w:type="dxa"/>
            <w:vMerge w:val="continue"/>
            <w:tcBorders>
              <w:tl2br w:val="nil"/>
              <w:tr2bl w:val="nil"/>
            </w:tcBorders>
            <w:vAlign w:val="center"/>
          </w:tcP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eastAsia="仿宋_GB2312"/>
                <w:sz w:val="21"/>
                <w:szCs w:val="21"/>
              </w:rPr>
              <w:t>质量</w:t>
            </w:r>
          </w:p>
        </w:tc>
        <w:tc>
          <w:tcPr>
            <w:tcW w:w="1134"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人员考评合格率</w:t>
            </w:r>
          </w:p>
        </w:tc>
        <w:tc>
          <w:tcPr>
            <w:tcW w:w="2410"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完成考核得10分，未完成按比例扣分</w:t>
            </w:r>
          </w:p>
        </w:tc>
        <w:tc>
          <w:tcPr>
            <w:tcW w:w="2835"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考评合格人员占全部考评人员比率</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w:t>
            </w:r>
          </w:p>
        </w:tc>
        <w:tc>
          <w:tcPr>
            <w:tcW w:w="732"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95</w:t>
            </w:r>
          </w:p>
        </w:tc>
        <w:tc>
          <w:tcPr>
            <w:tcW w:w="708" w:type="dxa"/>
            <w:tcBorders>
              <w:tl2br w:val="nil"/>
              <w:tr2bl w:val="nil"/>
            </w:tcBorders>
            <w:vAlign w:val="center"/>
          </w:tcPr>
          <w:p>
            <w:pPr>
              <w:pStyle w:val="22"/>
              <w:ind w:firstLine="0"/>
              <w:jc w:val="center"/>
              <w:rPr>
                <w:rFonts w:eastAsia="仿宋_GB2312"/>
                <w:sz w:val="21"/>
                <w:szCs w:val="21"/>
              </w:rPr>
            </w:pPr>
            <w:r>
              <w:rPr>
                <w:rFonts w:hint="eastAsia" w:eastAsia="仿宋_GB2312"/>
                <w:sz w:val="21"/>
                <w:szCs w:val="21"/>
              </w:rPr>
              <w:t>%</w:t>
            </w: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448" w:type="dxa"/>
            <w:vMerge w:val="continue"/>
            <w:tcBorders>
              <w:tl2br w:val="nil"/>
              <w:tr2bl w:val="nil"/>
            </w:tcBorders>
            <w:vAlign w:val="center"/>
          </w:tcP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eastAsia="仿宋_GB2312"/>
                <w:sz w:val="21"/>
                <w:szCs w:val="21"/>
              </w:rPr>
              <w:t>时效</w:t>
            </w:r>
          </w:p>
        </w:tc>
        <w:tc>
          <w:tcPr>
            <w:tcW w:w="1134"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审批、服务事项按时办结率</w:t>
            </w:r>
          </w:p>
        </w:tc>
        <w:tc>
          <w:tcPr>
            <w:tcW w:w="2410"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完成考核得20分，未完成按比例扣分</w:t>
            </w:r>
          </w:p>
        </w:tc>
        <w:tc>
          <w:tcPr>
            <w:tcW w:w="2835"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简化审批流程，精简审批要件，压缩审批时限，提高审批效率</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w:t>
            </w:r>
          </w:p>
        </w:tc>
        <w:tc>
          <w:tcPr>
            <w:tcW w:w="732"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95</w:t>
            </w:r>
          </w:p>
        </w:tc>
        <w:tc>
          <w:tcPr>
            <w:tcW w:w="708" w:type="dxa"/>
            <w:tcBorders>
              <w:tl2br w:val="nil"/>
              <w:tr2bl w:val="nil"/>
            </w:tcBorders>
            <w:vAlign w:val="center"/>
          </w:tcPr>
          <w:p>
            <w:pPr>
              <w:pStyle w:val="22"/>
              <w:ind w:firstLine="0"/>
              <w:jc w:val="center"/>
              <w:rPr>
                <w:rFonts w:eastAsia="仿宋_GB2312"/>
                <w:sz w:val="21"/>
                <w:szCs w:val="21"/>
              </w:rPr>
            </w:pPr>
            <w:r>
              <w:rPr>
                <w:rFonts w:hint="eastAsia" w:eastAsia="仿宋_GB2312"/>
                <w:sz w:val="21"/>
                <w:szCs w:val="21"/>
              </w:rPr>
              <w:t>%</w:t>
            </w: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48" w:type="dxa"/>
            <w:vMerge w:val="continue"/>
            <w:tcBorders>
              <w:tl2br w:val="nil"/>
              <w:tr2bl w:val="nil"/>
            </w:tcBorders>
            <w:vAlign w:val="center"/>
          </w:tcP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eastAsia="仿宋_GB2312"/>
                <w:sz w:val="21"/>
                <w:szCs w:val="21"/>
              </w:rPr>
              <w:t>成本</w:t>
            </w:r>
          </w:p>
        </w:tc>
        <w:tc>
          <w:tcPr>
            <w:tcW w:w="1134"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工资福利、社会保障等发放标准</w:t>
            </w:r>
          </w:p>
        </w:tc>
        <w:tc>
          <w:tcPr>
            <w:tcW w:w="2410"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完成考核得10分，未完成按比例扣分</w:t>
            </w:r>
          </w:p>
        </w:tc>
        <w:tc>
          <w:tcPr>
            <w:tcW w:w="2835"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工资、福利社会保障等发放标准</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文字描述</w:t>
            </w:r>
          </w:p>
        </w:tc>
        <w:tc>
          <w:tcPr>
            <w:tcW w:w="732"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按标准执行</w:t>
            </w:r>
          </w:p>
        </w:tc>
        <w:tc>
          <w:tcPr>
            <w:tcW w:w="708" w:type="dxa"/>
            <w:tcBorders>
              <w:tl2br w:val="nil"/>
              <w:tr2bl w:val="nil"/>
            </w:tcBorders>
            <w:vAlign w:val="center"/>
          </w:tcPr>
          <w:p>
            <w:pPr>
              <w:pStyle w:val="22"/>
              <w:jc w:val="center"/>
              <w:rPr>
                <w:rFonts w:eastAsia="仿宋_GB2312"/>
                <w:sz w:val="21"/>
                <w:szCs w:val="21"/>
              </w:rPr>
            </w:pP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48"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eastAsia="仿宋_GB2312"/>
                <w:sz w:val="21"/>
                <w:szCs w:val="21"/>
              </w:rPr>
              <w:t>社会</w:t>
            </w:r>
          </w:p>
          <w:p>
            <w:pPr>
              <w:pStyle w:val="22"/>
              <w:ind w:left="0" w:leftChars="0" w:firstLine="0" w:firstLineChars="0"/>
              <w:rPr>
                <w:rFonts w:eastAsia="仿宋_GB2312"/>
                <w:sz w:val="21"/>
                <w:szCs w:val="21"/>
              </w:rPr>
            </w:pPr>
            <w:r>
              <w:rPr>
                <w:rFonts w:eastAsia="仿宋_GB2312"/>
                <w:sz w:val="21"/>
                <w:szCs w:val="21"/>
              </w:rPr>
              <w:t>效益</w:t>
            </w:r>
          </w:p>
        </w:tc>
        <w:tc>
          <w:tcPr>
            <w:tcW w:w="1134"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社会稳定水平</w:t>
            </w:r>
          </w:p>
        </w:tc>
        <w:tc>
          <w:tcPr>
            <w:tcW w:w="2410"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完成考核得10分，未完成按比例扣分</w:t>
            </w:r>
          </w:p>
        </w:tc>
        <w:tc>
          <w:tcPr>
            <w:tcW w:w="2835"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通过完成审批业务促进社会水平逐步提升</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文字描述</w:t>
            </w:r>
          </w:p>
        </w:tc>
        <w:tc>
          <w:tcPr>
            <w:tcW w:w="732" w:type="dxa"/>
            <w:tcBorders>
              <w:tl2br w:val="nil"/>
              <w:tr2bl w:val="nil"/>
            </w:tcBorders>
            <w:vAlign w:val="center"/>
          </w:tcPr>
          <w:p>
            <w:pPr>
              <w:pStyle w:val="22"/>
              <w:rPr>
                <w:rFonts w:eastAsia="仿宋_GB2312"/>
                <w:sz w:val="21"/>
                <w:szCs w:val="21"/>
              </w:rPr>
            </w:pPr>
            <w:r>
              <w:rPr>
                <w:rFonts w:hint="eastAsia" w:eastAsia="仿宋_GB2312"/>
                <w:sz w:val="21"/>
                <w:szCs w:val="21"/>
              </w:rPr>
              <w:t>有所提高</w:t>
            </w:r>
          </w:p>
        </w:tc>
        <w:tc>
          <w:tcPr>
            <w:tcW w:w="708" w:type="dxa"/>
            <w:tcBorders>
              <w:tl2br w:val="nil"/>
              <w:tr2bl w:val="nil"/>
            </w:tcBorders>
            <w:vAlign w:val="center"/>
          </w:tcPr>
          <w:p>
            <w:pPr>
              <w:pStyle w:val="22"/>
              <w:rPr>
                <w:rFonts w:eastAsia="仿宋_GB2312"/>
                <w:sz w:val="21"/>
                <w:szCs w:val="21"/>
              </w:rPr>
            </w:pP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48" w:type="dxa"/>
            <w:vMerge w:val="continue"/>
            <w:tcBorders>
              <w:tl2br w:val="nil"/>
              <w:tr2bl w:val="nil"/>
            </w:tcBorders>
            <w:vAlign w:val="center"/>
          </w:tcP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hint="eastAsia" w:eastAsia="仿宋_GB2312"/>
                <w:sz w:val="21"/>
                <w:szCs w:val="21"/>
              </w:rPr>
              <w:t>经济</w:t>
            </w:r>
          </w:p>
          <w:p>
            <w:pPr>
              <w:pStyle w:val="22"/>
              <w:ind w:left="0" w:leftChars="0" w:firstLine="0" w:firstLineChars="0"/>
              <w:rPr>
                <w:rFonts w:eastAsia="仿宋_GB2312"/>
                <w:sz w:val="21"/>
                <w:szCs w:val="21"/>
              </w:rPr>
            </w:pPr>
            <w:r>
              <w:rPr>
                <w:rFonts w:hint="eastAsia" w:eastAsia="仿宋_GB2312"/>
                <w:sz w:val="21"/>
                <w:szCs w:val="21"/>
              </w:rPr>
              <w:t>效益</w:t>
            </w:r>
          </w:p>
        </w:tc>
        <w:tc>
          <w:tcPr>
            <w:tcW w:w="1134"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促进经济增长</w:t>
            </w:r>
          </w:p>
        </w:tc>
        <w:tc>
          <w:tcPr>
            <w:tcW w:w="2410"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完成考核得10分，未完成按比例扣分</w:t>
            </w:r>
          </w:p>
        </w:tc>
        <w:tc>
          <w:tcPr>
            <w:tcW w:w="2835"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促进经济增长水平</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文字描述</w:t>
            </w:r>
          </w:p>
        </w:tc>
        <w:tc>
          <w:tcPr>
            <w:tcW w:w="732" w:type="dxa"/>
            <w:tcBorders>
              <w:tl2br w:val="nil"/>
              <w:tr2bl w:val="nil"/>
            </w:tcBorders>
            <w:vAlign w:val="center"/>
          </w:tcPr>
          <w:p>
            <w:pPr>
              <w:pStyle w:val="22"/>
              <w:rPr>
                <w:rFonts w:eastAsia="仿宋_GB2312"/>
                <w:sz w:val="21"/>
                <w:szCs w:val="21"/>
              </w:rPr>
            </w:pPr>
            <w:r>
              <w:rPr>
                <w:rFonts w:hint="eastAsia" w:eastAsia="仿宋_GB2312"/>
                <w:sz w:val="21"/>
                <w:szCs w:val="21"/>
              </w:rPr>
              <w:t>逐步提高</w:t>
            </w:r>
          </w:p>
        </w:tc>
        <w:tc>
          <w:tcPr>
            <w:tcW w:w="708" w:type="dxa"/>
            <w:tcBorders>
              <w:tl2br w:val="nil"/>
              <w:tr2bl w:val="nil"/>
            </w:tcBorders>
            <w:vAlign w:val="center"/>
          </w:tcPr>
          <w:p>
            <w:pPr>
              <w:pStyle w:val="22"/>
              <w:rPr>
                <w:rFonts w:eastAsia="仿宋_GB2312"/>
                <w:sz w:val="21"/>
                <w:szCs w:val="21"/>
              </w:rPr>
            </w:pP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448" w:type="dxa"/>
            <w:vMerge w:val="continue"/>
            <w:tcBorders>
              <w:tl2br w:val="nil"/>
              <w:tr2bl w:val="nil"/>
            </w:tcBorders>
            <w:vAlign w:val="center"/>
          </w:tcP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hint="eastAsia" w:eastAsia="仿宋_GB2312"/>
                <w:sz w:val="21"/>
                <w:szCs w:val="21"/>
              </w:rPr>
              <w:t>可持续影响</w:t>
            </w:r>
          </w:p>
        </w:tc>
        <w:tc>
          <w:tcPr>
            <w:tcW w:w="1134" w:type="dxa"/>
            <w:tcBorders>
              <w:tl2br w:val="nil"/>
              <w:tr2bl w:val="nil"/>
            </w:tcBorders>
            <w:noWrap/>
            <w:vAlign w:val="center"/>
          </w:tcPr>
          <w:p>
            <w:pPr>
              <w:pStyle w:val="22"/>
              <w:ind w:firstLine="0"/>
              <w:rPr>
                <w:rFonts w:eastAsia="仿宋_GB2312"/>
                <w:sz w:val="21"/>
                <w:szCs w:val="21"/>
              </w:rPr>
            </w:pPr>
            <w:r>
              <w:rPr>
                <w:rFonts w:hint="eastAsia" w:eastAsia="仿宋_GB2312"/>
                <w:sz w:val="21"/>
                <w:szCs w:val="21"/>
              </w:rPr>
              <w:t>可持续影响力</w:t>
            </w:r>
          </w:p>
        </w:tc>
        <w:tc>
          <w:tcPr>
            <w:tcW w:w="2410" w:type="dxa"/>
            <w:tcBorders>
              <w:tl2br w:val="nil"/>
              <w:tr2bl w:val="nil"/>
            </w:tcBorders>
            <w:noWrap/>
            <w:vAlign w:val="center"/>
          </w:tcPr>
          <w:p>
            <w:pPr>
              <w:pStyle w:val="22"/>
              <w:ind w:firstLine="0"/>
              <w:rPr>
                <w:rFonts w:eastAsia="仿宋_GB2312"/>
                <w:sz w:val="21"/>
                <w:szCs w:val="21"/>
              </w:rPr>
            </w:pPr>
            <w:r>
              <w:rPr>
                <w:rFonts w:hint="eastAsia" w:eastAsia="仿宋_GB2312"/>
                <w:sz w:val="21"/>
                <w:szCs w:val="21"/>
              </w:rPr>
              <w:t>完成考核得10分，未完成按比例扣分</w:t>
            </w:r>
          </w:p>
        </w:tc>
        <w:tc>
          <w:tcPr>
            <w:tcW w:w="2835" w:type="dxa"/>
            <w:tcBorders>
              <w:tl2br w:val="nil"/>
              <w:tr2bl w:val="nil"/>
            </w:tcBorders>
            <w:noWrap/>
            <w:vAlign w:val="center"/>
          </w:tcPr>
          <w:p>
            <w:pPr>
              <w:pStyle w:val="22"/>
              <w:ind w:firstLine="0"/>
              <w:rPr>
                <w:rFonts w:eastAsia="仿宋_GB2312"/>
                <w:sz w:val="21"/>
                <w:szCs w:val="21"/>
              </w:rPr>
            </w:pPr>
            <w:r>
              <w:rPr>
                <w:rFonts w:hint="eastAsia" w:eastAsia="仿宋_GB2312"/>
                <w:sz w:val="21"/>
                <w:szCs w:val="21"/>
              </w:rPr>
              <w:t>能够长期较好满足所服务对象</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文字描述</w:t>
            </w:r>
          </w:p>
        </w:tc>
        <w:tc>
          <w:tcPr>
            <w:tcW w:w="732" w:type="dxa"/>
            <w:tcBorders>
              <w:tl2br w:val="nil"/>
              <w:tr2bl w:val="nil"/>
            </w:tcBorders>
            <w:vAlign w:val="center"/>
          </w:tcPr>
          <w:p>
            <w:pPr>
              <w:pStyle w:val="22"/>
              <w:rPr>
                <w:rFonts w:eastAsia="仿宋_GB2312"/>
                <w:sz w:val="21"/>
                <w:szCs w:val="21"/>
              </w:rPr>
            </w:pPr>
            <w:r>
              <w:rPr>
                <w:rFonts w:hint="eastAsia" w:eastAsia="仿宋_GB2312"/>
                <w:sz w:val="21"/>
                <w:szCs w:val="21"/>
              </w:rPr>
              <w:t>有所提高</w:t>
            </w:r>
          </w:p>
        </w:tc>
        <w:tc>
          <w:tcPr>
            <w:tcW w:w="708" w:type="dxa"/>
            <w:tcBorders>
              <w:tl2br w:val="nil"/>
              <w:tr2bl w:val="nil"/>
            </w:tcBorders>
            <w:vAlign w:val="center"/>
          </w:tcPr>
          <w:p>
            <w:pPr>
              <w:pStyle w:val="22"/>
              <w:rPr>
                <w:rFonts w:eastAsia="仿宋_GB2312"/>
                <w:sz w:val="21"/>
                <w:szCs w:val="21"/>
              </w:rPr>
            </w:pP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448" w:type="dxa"/>
            <w:vMerge w:val="continue"/>
            <w:tcBorders>
              <w:tl2br w:val="nil"/>
              <w:tr2bl w:val="nil"/>
            </w:tcBorders>
            <w:vAlign w:val="center"/>
          </w:tcP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hint="eastAsia" w:eastAsia="仿宋_GB2312"/>
                <w:sz w:val="21"/>
                <w:szCs w:val="21"/>
              </w:rPr>
              <w:t>满意度</w:t>
            </w:r>
          </w:p>
        </w:tc>
        <w:tc>
          <w:tcPr>
            <w:tcW w:w="1134" w:type="dxa"/>
            <w:tcBorders>
              <w:tl2br w:val="nil"/>
              <w:tr2bl w:val="nil"/>
            </w:tcBorders>
            <w:noWrap/>
            <w:vAlign w:val="center"/>
          </w:tcPr>
          <w:p>
            <w:pPr>
              <w:pStyle w:val="22"/>
              <w:ind w:firstLine="0"/>
              <w:rPr>
                <w:rFonts w:eastAsia="仿宋_GB2312"/>
                <w:sz w:val="21"/>
                <w:szCs w:val="21"/>
              </w:rPr>
            </w:pPr>
            <w:r>
              <w:rPr>
                <w:rFonts w:hint="eastAsia" w:eastAsia="仿宋_GB2312"/>
                <w:sz w:val="21"/>
                <w:szCs w:val="21"/>
              </w:rPr>
              <w:t>科学设置行政审批局功能区满意度</w:t>
            </w:r>
          </w:p>
        </w:tc>
        <w:tc>
          <w:tcPr>
            <w:tcW w:w="2410" w:type="dxa"/>
            <w:tcBorders>
              <w:tl2br w:val="nil"/>
              <w:tr2bl w:val="nil"/>
            </w:tcBorders>
            <w:noWrap/>
            <w:vAlign w:val="center"/>
          </w:tcPr>
          <w:p>
            <w:pPr>
              <w:pStyle w:val="22"/>
              <w:ind w:firstLine="0"/>
              <w:rPr>
                <w:rFonts w:eastAsia="仿宋_GB2312"/>
                <w:sz w:val="21"/>
                <w:szCs w:val="21"/>
              </w:rPr>
            </w:pPr>
            <w:r>
              <w:rPr>
                <w:rFonts w:hint="eastAsia" w:eastAsia="仿宋_GB2312"/>
                <w:sz w:val="21"/>
                <w:szCs w:val="21"/>
              </w:rPr>
              <w:t>完成考核得10分，未完成按比例扣分</w:t>
            </w:r>
          </w:p>
        </w:tc>
        <w:tc>
          <w:tcPr>
            <w:tcW w:w="2835" w:type="dxa"/>
            <w:tcBorders>
              <w:tl2br w:val="nil"/>
              <w:tr2bl w:val="nil"/>
            </w:tcBorders>
            <w:noWrap/>
            <w:vAlign w:val="center"/>
          </w:tcPr>
          <w:p>
            <w:pPr>
              <w:pStyle w:val="22"/>
              <w:ind w:firstLine="0"/>
              <w:rPr>
                <w:rFonts w:eastAsia="仿宋_GB2312"/>
                <w:sz w:val="21"/>
                <w:szCs w:val="21"/>
              </w:rPr>
            </w:pPr>
            <w:r>
              <w:rPr>
                <w:rFonts w:hint="eastAsia" w:eastAsia="仿宋_GB2312"/>
                <w:sz w:val="21"/>
                <w:szCs w:val="21"/>
              </w:rPr>
              <w:t>各功能区划分合理性，实用性及窗口工作人员满意度</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w:t>
            </w:r>
          </w:p>
        </w:tc>
        <w:tc>
          <w:tcPr>
            <w:tcW w:w="732" w:type="dxa"/>
            <w:tcBorders>
              <w:tl2br w:val="nil"/>
              <w:tr2bl w:val="nil"/>
            </w:tcBorders>
            <w:vAlign w:val="center"/>
          </w:tcPr>
          <w:p>
            <w:pPr>
              <w:pStyle w:val="22"/>
              <w:rPr>
                <w:rFonts w:eastAsia="仿宋_GB2312"/>
                <w:sz w:val="21"/>
                <w:szCs w:val="21"/>
              </w:rPr>
            </w:pPr>
            <w:r>
              <w:rPr>
                <w:rFonts w:hint="eastAsia" w:eastAsia="仿宋_GB2312"/>
                <w:sz w:val="21"/>
                <w:szCs w:val="21"/>
              </w:rPr>
              <w:t>95</w:t>
            </w:r>
          </w:p>
        </w:tc>
        <w:tc>
          <w:tcPr>
            <w:tcW w:w="708" w:type="dxa"/>
            <w:tcBorders>
              <w:tl2br w:val="nil"/>
              <w:tr2bl w:val="nil"/>
            </w:tcBorders>
            <w:vAlign w:val="center"/>
          </w:tcPr>
          <w:p>
            <w:pPr>
              <w:pStyle w:val="22"/>
              <w:rPr>
                <w:rFonts w:eastAsia="仿宋_GB2312"/>
                <w:sz w:val="21"/>
                <w:szCs w:val="21"/>
              </w:rPr>
            </w:pPr>
            <w:r>
              <w:rPr>
                <w:rFonts w:hint="eastAsia" w:eastAsia="仿宋_GB2312"/>
                <w:sz w:val="21"/>
                <w:szCs w:val="21"/>
              </w:rPr>
              <w:t>%</w:t>
            </w: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问询</w:t>
            </w:r>
          </w:p>
        </w:tc>
      </w:tr>
    </w:tbl>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政务中心运行经费</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1、保障水电费的按时缴纳；2、保障食堂的正常运行；3、保障政务中心院内各单位的正常运转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保障缴纳水电费月数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保障缴纳水电费的月数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12月</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政务中心正常运转率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政务中心正常运转天数与全年天数的比率</w:t>
            </w:r>
          </w:p>
        </w:tc>
        <w:tc>
          <w:tcPr>
            <w:tcW w:w="1843" w:type="dxa"/>
            <w:shd w:val="clear" w:color="auto" w:fill="auto"/>
            <w:vAlign w:val="center"/>
          </w:tcPr>
          <w:p>
            <w:pPr>
              <w:spacing w:line="300" w:lineRule="exact"/>
              <w:jc w:val="left"/>
              <w:rPr>
                <w:rFonts w:ascii="Times New Roman" w:hAnsi="Times New Roman" w:eastAsia="方正书宋_GBK" w:cs="Times New Roman"/>
              </w:rPr>
            </w:pPr>
            <w:r>
              <w:rPr>
                <w:rFonts w:hint="eastAsia" w:ascii="方正书宋_GBK" w:eastAsia="方正书宋_GBK"/>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水电费缴纳及时性</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水电费缴纳及时性</w:t>
            </w:r>
          </w:p>
        </w:tc>
        <w:tc>
          <w:tcPr>
            <w:tcW w:w="1843" w:type="dxa"/>
            <w:shd w:val="clear" w:color="auto" w:fill="auto"/>
            <w:vAlign w:val="center"/>
          </w:tcPr>
          <w:p>
            <w:pPr>
              <w:spacing w:line="300" w:lineRule="exact"/>
              <w:jc w:val="left"/>
              <w:rPr>
                <w:rFonts w:ascii="Times New Roman" w:hAnsi="Times New Roman" w:eastAsia="方正书宋_GBK" w:cs="Times New Roman"/>
              </w:rPr>
            </w:pPr>
            <w:r>
              <w:rPr>
                <w:rFonts w:hint="eastAsia" w:ascii="方正书宋_GBK" w:eastAsia="方正书宋_GBK"/>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保障各单位正常运行</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保障政务中心各单位正常运行率</w:t>
            </w:r>
          </w:p>
        </w:tc>
        <w:tc>
          <w:tcPr>
            <w:tcW w:w="1843" w:type="dxa"/>
            <w:shd w:val="clear" w:color="auto" w:fill="auto"/>
            <w:vAlign w:val="center"/>
          </w:tcPr>
          <w:p>
            <w:pPr>
              <w:spacing w:line="300" w:lineRule="exact"/>
              <w:jc w:val="left"/>
              <w:rPr>
                <w:rFonts w:ascii="Times New Roman" w:hAnsi="Times New Roman" w:eastAsia="方正书宋_GBK" w:cs="Times New Roman"/>
              </w:rPr>
            </w:pPr>
            <w:r>
              <w:rPr>
                <w:rFonts w:hint="eastAsia" w:ascii="方正书宋_GBK" w:eastAsia="方正书宋_GBK"/>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1843" w:type="dxa"/>
            <w:shd w:val="clear" w:color="auto" w:fill="auto"/>
            <w:vAlign w:val="center"/>
          </w:tcPr>
          <w:p>
            <w:pPr>
              <w:spacing w:line="300" w:lineRule="exact"/>
              <w:jc w:val="left"/>
              <w:rPr>
                <w:rFonts w:ascii="Times New Roman" w:hAnsi="Times New Roman" w:eastAsia="方正书宋_GBK" w:cs="Times New Roman"/>
              </w:rPr>
            </w:pPr>
            <w:r>
              <w:rPr>
                <w:rFonts w:hint="eastAsia" w:ascii="方正书宋_GBK" w:eastAsia="方正书宋_GBK"/>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工作要求</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国防动员指挥培训基地物业服务经费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1、为院内各单位营造良好的工作环境；2、加强对公共秩序、车辆、环境等管理工作；3、保障院内各单位正常运转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配备物业服务人员数量</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配备物业服务人员数量不少于</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21人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后勤保障率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后勤保障率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法定时效</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按照合同规定时间</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符合法定时效</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有所降低</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去年同期发生额对比</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有所降低</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社会稳定水平</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通过完善后勤保障使社会水平逐步提高</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有所提高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经济效益指标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促进经济增长水平</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促进经济增长水平</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有所提高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生态效益指标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美化环境</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美化环境能力</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有所提高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可持续影响力</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能够长期较好满足所服务对象</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有所提高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各服务单位满意度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Arial" w:hAnsi="Arial" w:eastAsia="仿宋_GB2312"/>
              </w:rPr>
              <w:t>≥</w:t>
            </w: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满意度调查</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bookmarkEnd w:id="1"/>
      <w:bookmarkStart w:id="2"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jc w:val="center"/>
        <w:outlineLvl w:val="1"/>
        <w:rPr>
          <w:rFonts w:ascii="方正小标宋_GBK" w:eastAsia="方正小标宋_GBK" w:cs="Times New Roman"/>
          <w:sz w:val="32"/>
        </w:rPr>
      </w:pPr>
      <w:r>
        <w:rPr>
          <w:rFonts w:hint="eastAsia"/>
        </w:rPr>
        <w:t>[</w:t>
      </w:r>
      <w:r>
        <w:t>161001]廊坊市</w:t>
      </w:r>
      <w:r>
        <w:rPr>
          <w:rFonts w:hint="eastAsia"/>
        </w:rPr>
        <w:t>广阳区行政审批局</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69"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w:t>
            </w:r>
            <w:r>
              <w:rPr>
                <w:rFonts w:hint="eastAsia"/>
                <w:lang w:eastAsia="zh-CN"/>
              </w:rPr>
              <w:t>单位</w:t>
            </w:r>
            <w:r>
              <w:t>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rPr>
                <w:lang w:eastAsia="zh-CN"/>
              </w:rPr>
            </w:pPr>
            <w:r>
              <w:rPr>
                <w:rFonts w:hint="eastAsia"/>
                <w:lang w:eastAsia="zh-CN"/>
              </w:rPr>
              <w:t>0</w:t>
            </w: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广阳区行政审批局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75.4</w:t>
      </w:r>
      <w:r>
        <w:rPr>
          <w:rFonts w:ascii="Times New Roman" w:hAnsi="Times New Roman" w:eastAsia="仿宋_GB2312" w:cs="Times New Roman"/>
          <w:sz w:val="32"/>
          <w:szCs w:val="32"/>
        </w:rPr>
        <w:t>4万元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t>廊坊市</w:t>
            </w:r>
            <w:r>
              <w:rPr>
                <w:rFonts w:hint="eastAsia"/>
              </w:rPr>
              <w:t xml:space="preserve">广阳区行政审批局 </w:t>
            </w:r>
          </w:p>
        </w:tc>
        <w:tc>
          <w:tcPr>
            <w:tcW w:w="5103" w:type="dxa"/>
            <w:tcBorders>
              <w:top w:val="nil"/>
              <w:left w:val="nil"/>
              <w:bottom w:val="nil"/>
              <w:right w:val="nil"/>
            </w:tcBorders>
            <w:shd w:val="clear" w:color="auto" w:fill="auto"/>
            <w:noWrap/>
            <w:vAlign w:val="center"/>
          </w:tcPr>
          <w:p>
            <w:pPr>
              <w:widowControl/>
              <w:spacing w:line="584" w:lineRule="exact"/>
              <w:ind w:firstLine="1980" w:firstLineChars="9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75.4</w:t>
            </w:r>
            <w:r>
              <w:rPr>
                <w:rFonts w:ascii="Times New Roman" w:hAnsi="Times New Roman" w:eastAsia="仿宋_GB2312" w:cs="Times New Roman"/>
                <w:sz w:val="22"/>
              </w:rPr>
              <w:t>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19.62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ind w:firstLine="1540" w:firstLineChars="700"/>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55.8</w:t>
            </w:r>
            <w:r>
              <w:rPr>
                <w:rFonts w:ascii="Times New Roman" w:hAnsi="Times New Roman" w:eastAsia="仿宋_GB2312" w:cs="Times New Roman"/>
                <w:sz w:val="22"/>
              </w:rPr>
              <w:t>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B94223-62ED-4BD8-AD0F-C4067B5E61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F35F800A-BD81-40D6-95BA-0462616961EB}"/>
  </w:font>
  <w:font w:name="仿宋_GB2312">
    <w:panose1 w:val="02010609030101010101"/>
    <w:charset w:val="86"/>
    <w:family w:val="modern"/>
    <w:pitch w:val="default"/>
    <w:sig w:usb0="00000001" w:usb1="080E0000" w:usb2="00000000" w:usb3="00000000" w:csb0="00040000" w:csb1="00000000"/>
    <w:embedRegular r:id="rId3" w:fontKey="{93392364-81CE-4720-87CF-3B5DA717ED05}"/>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474AC"/>
    <w:rsid w:val="000B12B1"/>
    <w:rsid w:val="000F6018"/>
    <w:rsid w:val="00135FDF"/>
    <w:rsid w:val="0025632D"/>
    <w:rsid w:val="003059E0"/>
    <w:rsid w:val="004838AF"/>
    <w:rsid w:val="004A54AA"/>
    <w:rsid w:val="0055767B"/>
    <w:rsid w:val="00574DC3"/>
    <w:rsid w:val="005E5154"/>
    <w:rsid w:val="0061553F"/>
    <w:rsid w:val="006F2AA5"/>
    <w:rsid w:val="007116F0"/>
    <w:rsid w:val="008E5E3B"/>
    <w:rsid w:val="00903DD0"/>
    <w:rsid w:val="00944233"/>
    <w:rsid w:val="00B40732"/>
    <w:rsid w:val="00B64374"/>
    <w:rsid w:val="00B74CF0"/>
    <w:rsid w:val="00B80935"/>
    <w:rsid w:val="00C30F38"/>
    <w:rsid w:val="00D347CC"/>
    <w:rsid w:val="00DC72B4"/>
    <w:rsid w:val="00E56EE0"/>
    <w:rsid w:val="00EA35B1"/>
    <w:rsid w:val="00EF6EAC"/>
    <w:rsid w:val="00F8795D"/>
    <w:rsid w:val="00F963BF"/>
    <w:rsid w:val="0668634F"/>
    <w:rsid w:val="0CEC1180"/>
    <w:rsid w:val="11790FA9"/>
    <w:rsid w:val="18CF69F4"/>
    <w:rsid w:val="29E4176D"/>
    <w:rsid w:val="2F6C3141"/>
    <w:rsid w:val="36E071ED"/>
    <w:rsid w:val="43457F00"/>
    <w:rsid w:val="54264B2F"/>
    <w:rsid w:val="55683036"/>
    <w:rsid w:val="663A29CD"/>
    <w:rsid w:val="6AE461D0"/>
    <w:rsid w:val="72BB6F62"/>
    <w:rsid w:val="73693C55"/>
    <w:rsid w:val="7661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Normal]"/>
    <w:qFormat/>
    <w:uiPriority w:val="0"/>
    <w:rPr>
      <w:rFonts w:ascii="宋体" w:hAnsi="宋体" w:eastAsia="宋体" w:cs="Times New Roman"/>
      <w:sz w:val="24"/>
      <w:lang w:val="en-US" w:eastAsia="en-US" w:bidi="ar-SA"/>
    </w:r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842</Words>
  <Characters>4805</Characters>
  <Lines>40</Lines>
  <Paragraphs>11</Paragraphs>
  <TotalTime>200</TotalTime>
  <ScaleCrop>false</ScaleCrop>
  <LinksUpToDate>false</LinksUpToDate>
  <CharactersWithSpaces>5636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2023-08-01T09:12:10Z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782FE84D800B4B7F990A3F9A5E43D02C</vt:lpwstr>
  </property>
</Properties>
</file>