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广阳区工业和信息化局2</w:t>
      </w:r>
      <w:r>
        <w:rPr>
          <w:rFonts w:ascii="Times New Roman" w:hAnsi="Times New Roman" w:eastAsia="方正小标宋简体" w:cs="Times New Roman"/>
          <w:sz w:val="44"/>
          <w:szCs w:val="44"/>
        </w:rPr>
        <w:t>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（一）提出全区新型工业化发展战略和政策,协调解决新型工业化进程中的重大问题,拟订并组织实施工业的发展规划,推进产业结构战略性调整和优化升级,推进信息化和工业化融合。</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并组织实施全区工业行业规划、计划和产业政策,提出优化产业布局、结构的政策建议,推进现代产业体系建设,贯彻落实工业和信息化法律法规规章，组织实施行业技术规范和标准,指导行业质量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（三）监测、分析全区工业运行态势,统计并发布相关信息,进行预测预警和信息引导,协调解决行业运行发展中的有关问题并提出政策建议；负责工业用电监测；负责工业应急管理、产业安全有关工作。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（四）负责提出全区工业固定资产投资规模和方向，国家和省、市、区财政性建设资金安排的意见, 按区政府规定权限审批、核准、备案区规划内</w:t>
      </w:r>
      <w:r>
        <w:rPr>
          <w:rFonts w:ascii="Times New Roman" w:hAnsi="Times New Roman" w:eastAsia="仿宋_GB2312" w:cs="Times New Roman"/>
          <w:sz w:val="32"/>
          <w:szCs w:val="32"/>
        </w:rPr>
        <w:t>和年度计划规模内工业固定资产投资项目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负责工业企业技术改造投资项目核准、备案工作，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对上述</w:t>
      </w:r>
      <w:r>
        <w:rPr>
          <w:rFonts w:hint="eastAsia" w:ascii="Times New Roman" w:hAnsi="Times New Roman" w:eastAsia="仿宋_GB2312" w:cs="Times New Roman"/>
          <w:sz w:val="32"/>
          <w:szCs w:val="32"/>
        </w:rPr>
        <w:t>工业固定资产投资</w:t>
      </w:r>
      <w:r>
        <w:rPr>
          <w:rFonts w:ascii="Times New Roman" w:hAnsi="Times New Roman" w:eastAsia="仿宋_GB2312" w:cs="Times New Roman"/>
          <w:sz w:val="32"/>
          <w:szCs w:val="32"/>
        </w:rPr>
        <w:t>项目招标投标活动依法实施监督。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（五）负责对中小企业和民营经济促进工作进行指导、综合协调和监督检查，会同有关</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拟订促进中小企业发展和民营经济发展的相关政策和措施并组织实施，协调解决有关重大问题。</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（八）拟订并组织实施全区工业能源节约和资源综合利用促进政策,参与拟订能源节约和资源综合利用促进规划,组织协调相关重大示范工程和新产品、新技术、新设备、新材料的推广应用。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（九）推进全区工业体制改革和管理创新,提高行业综合素质和核心竞争力,指导工业行业加强安全生产管理，负责民爆行业生产流通的监督管理和安全生产工作。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（十）开展工业、中小企业的对外合作与交流。</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（十一）承担履行《禁止化学武器公约》的组织协调工作。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（十二）承担盐业行业管理工作。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（十三）承办区委、区政府交办的其他任务。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0"/>
        <w:gridCol w:w="1128"/>
        <w:gridCol w:w="1269"/>
        <w:gridCol w:w="2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44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2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6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8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4420" w:type="dxa"/>
            <w:vMerge w:val="continue"/>
            <w:shd w:val="clear" w:color="auto" w:fill="auto"/>
            <w:vAlign w:val="center"/>
          </w:tcPr>
          <w:p/>
        </w:tc>
        <w:tc>
          <w:tcPr>
            <w:tcW w:w="1128" w:type="dxa"/>
            <w:vMerge w:val="continue"/>
            <w:shd w:val="clear" w:color="auto" w:fill="auto"/>
            <w:vAlign w:val="center"/>
          </w:tcPr>
          <w:p/>
        </w:tc>
        <w:tc>
          <w:tcPr>
            <w:tcW w:w="1269" w:type="dxa"/>
            <w:vMerge w:val="continue"/>
            <w:shd w:val="clear" w:color="auto" w:fill="auto"/>
            <w:vAlign w:val="center"/>
          </w:tcPr>
          <w:p/>
        </w:tc>
        <w:tc>
          <w:tcPr>
            <w:tcW w:w="28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442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广阳区工业和信息化局</w:t>
            </w:r>
          </w:p>
        </w:tc>
        <w:tc>
          <w:tcPr>
            <w:tcW w:w="112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机关</w:t>
            </w:r>
          </w:p>
        </w:tc>
        <w:tc>
          <w:tcPr>
            <w:tcW w:w="126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88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4420" w:type="dxa"/>
            <w:shd w:val="clear" w:color="auto" w:fill="auto"/>
            <w:vAlign w:val="center"/>
          </w:tcPr>
          <w:p>
            <w:pPr>
              <w:spacing w:line="584" w:lineRule="exact"/>
              <w:jc w:val="left"/>
              <w:rPr>
                <w:rFonts w:ascii="Times New Roman" w:hAnsi="Times New Roman" w:eastAsia="仿宋_GB2312" w:cs="Times New Roman"/>
              </w:rPr>
            </w:pPr>
          </w:p>
        </w:tc>
        <w:tc>
          <w:tcPr>
            <w:tcW w:w="1128" w:type="dxa"/>
            <w:shd w:val="clear" w:color="auto" w:fill="auto"/>
            <w:vAlign w:val="center"/>
          </w:tcPr>
          <w:p>
            <w:pPr>
              <w:spacing w:line="584" w:lineRule="exact"/>
              <w:jc w:val="center"/>
              <w:rPr>
                <w:rFonts w:ascii="Times New Roman" w:hAnsi="Times New Roman" w:eastAsia="仿宋_GB2312" w:cs="Times New Roman"/>
              </w:rPr>
            </w:pPr>
          </w:p>
        </w:tc>
        <w:tc>
          <w:tcPr>
            <w:tcW w:w="1269" w:type="dxa"/>
            <w:shd w:val="clear" w:color="auto" w:fill="auto"/>
            <w:vAlign w:val="center"/>
          </w:tcPr>
          <w:p>
            <w:pPr>
              <w:spacing w:line="584" w:lineRule="exact"/>
              <w:jc w:val="center"/>
              <w:rPr>
                <w:rFonts w:ascii="Times New Roman" w:hAnsi="Times New Roman" w:eastAsia="仿宋_GB2312" w:cs="Times New Roman"/>
              </w:rPr>
            </w:pPr>
          </w:p>
        </w:tc>
        <w:tc>
          <w:tcPr>
            <w:tcW w:w="2887"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269.69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广阳区工业和信息化局2022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175.92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62.34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人员退休减少支出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万元，主要为规下转规上工业企业奖补资金项目支出。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23.77</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2022年，持续推动经济稳定增长。针对重点规上工业企业，全力做到抓提升、促增长。规上工业增加值增速争取完成6%左右，工业固定资产投资增速争取完成7%左右，工业技改投资增速争取完成7%左右，净增规上工业企业3家。针对冀北电力廊坊公司、廊坊热电厂等重点企业切实加强联系、密切沟通，当好企业的参谋助手、做好企业的后勤保障，全力以赴推动重点企业稳增长、保增速。</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、人员类支出绩效目标主要用于人员工资福利等支出，社会保障缴纳，进一步增强干部职工的归属感，保障办公正常运转。</w:t>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hint="eastAsia" w:ascii="仿宋_GB2312" w:eastAsia="仿宋_GB2312" w:cs="Times New Roman"/>
          <w:sz w:val="32"/>
          <w:szCs w:val="32"/>
        </w:rPr>
        <w:t xml:space="preserve"> </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数量指标</w:t>
      </w:r>
      <w:r>
        <w:rPr>
          <w:rFonts w:ascii="仿宋_GB2312" w:eastAsia="仿宋_GB2312" w:cs="Times New Roman"/>
          <w:sz w:val="32"/>
          <w:szCs w:val="32"/>
        </w:rPr>
        <w:tab/>
      </w:r>
      <w:r>
        <w:rPr>
          <w:rFonts w:ascii="仿宋_GB2312" w:eastAsia="仿宋_GB2312" w:cs="Times New Roman"/>
          <w:sz w:val="32"/>
          <w:szCs w:val="32"/>
        </w:rPr>
        <w:t>保障单位实有人数的各项工资、保险的发放缴纳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质量指标</w:t>
      </w:r>
      <w:r>
        <w:rPr>
          <w:rFonts w:ascii="仿宋_GB2312" w:eastAsia="仿宋_GB2312" w:cs="Times New Roman"/>
          <w:sz w:val="32"/>
          <w:szCs w:val="32"/>
        </w:rPr>
        <w:tab/>
      </w:r>
      <w:r>
        <w:rPr>
          <w:rFonts w:ascii="仿宋_GB2312" w:eastAsia="仿宋_GB2312" w:cs="Times New Roman"/>
          <w:sz w:val="32"/>
          <w:szCs w:val="32"/>
        </w:rPr>
        <w:t>社会保障准确缴纳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时效指标</w:t>
      </w:r>
      <w:r>
        <w:rPr>
          <w:rFonts w:ascii="仿宋_GB2312" w:eastAsia="仿宋_GB2312" w:cs="Times New Roman"/>
          <w:sz w:val="32"/>
          <w:szCs w:val="32"/>
        </w:rPr>
        <w:tab/>
      </w:r>
      <w:r>
        <w:rPr>
          <w:rFonts w:ascii="仿宋_GB2312" w:eastAsia="仿宋_GB2312" w:cs="Times New Roman"/>
          <w:sz w:val="32"/>
          <w:szCs w:val="32"/>
        </w:rPr>
        <w:t>社会保障及时性缴纳</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成本指标</w:t>
      </w:r>
      <w:r>
        <w:rPr>
          <w:rFonts w:ascii="仿宋_GB2312" w:eastAsia="仿宋_GB2312" w:cs="Times New Roman"/>
          <w:sz w:val="32"/>
          <w:szCs w:val="32"/>
        </w:rPr>
        <w:tab/>
      </w:r>
      <w:r>
        <w:rPr>
          <w:rFonts w:ascii="仿宋_GB2312" w:eastAsia="仿宋_GB2312" w:cs="Times New Roman"/>
          <w:sz w:val="32"/>
          <w:szCs w:val="32"/>
        </w:rPr>
        <w:t>严格按照标准缴纳社会保障业务。</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、公用类支出绩效目标主要是经费保障工作，保障办公正常运转。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数量指标</w:t>
      </w:r>
      <w:r>
        <w:rPr>
          <w:rFonts w:ascii="仿宋_GB2312" w:eastAsia="仿宋_GB2312" w:cs="Times New Roman"/>
          <w:sz w:val="32"/>
          <w:szCs w:val="32"/>
        </w:rPr>
        <w:tab/>
      </w:r>
      <w:r>
        <w:rPr>
          <w:rFonts w:ascii="仿宋_GB2312" w:eastAsia="仿宋_GB2312" w:cs="Times New Roman"/>
          <w:sz w:val="32"/>
          <w:szCs w:val="32"/>
        </w:rPr>
        <w:t>保障单位实有人数的办公。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质量指标</w:t>
      </w:r>
      <w:r>
        <w:rPr>
          <w:rFonts w:ascii="仿宋_GB2312" w:eastAsia="仿宋_GB2312" w:cs="Times New Roman"/>
          <w:sz w:val="32"/>
          <w:szCs w:val="32"/>
        </w:rPr>
        <w:tab/>
      </w:r>
      <w:r>
        <w:rPr>
          <w:rFonts w:ascii="仿宋_GB2312" w:eastAsia="仿宋_GB2312" w:cs="Times New Roman"/>
          <w:sz w:val="32"/>
          <w:szCs w:val="32"/>
        </w:rPr>
        <w:t>保障单位的运转保障次第</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时效指标</w:t>
      </w:r>
      <w:r>
        <w:rPr>
          <w:rFonts w:ascii="仿宋_GB2312" w:eastAsia="仿宋_GB2312" w:cs="Times New Roman"/>
          <w:sz w:val="32"/>
          <w:szCs w:val="32"/>
        </w:rPr>
        <w:tab/>
      </w:r>
      <w:r>
        <w:rPr>
          <w:rFonts w:ascii="仿宋_GB2312" w:eastAsia="仿宋_GB2312" w:cs="Times New Roman"/>
          <w:sz w:val="32"/>
          <w:szCs w:val="32"/>
        </w:rPr>
        <w:t>及时保障日常工作经费的支出。</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仿宋_GB2312" w:eastAsia="仿宋_GB2312" w:cs="Times New Roman"/>
          <w:sz w:val="32"/>
          <w:szCs w:val="32"/>
        </w:rPr>
      </w:pPr>
      <w:r>
        <w:rPr>
          <w:rFonts w:ascii="仿宋_GB2312" w:eastAsia="仿宋_GB2312" w:cs="Times New Roman"/>
          <w:sz w:val="32"/>
          <w:szCs w:val="32"/>
        </w:rPr>
        <w:t>成本指标</w:t>
      </w:r>
      <w:r>
        <w:rPr>
          <w:rFonts w:ascii="仿宋_GB2312" w:eastAsia="仿宋_GB2312" w:cs="Times New Roman"/>
          <w:sz w:val="32"/>
          <w:szCs w:val="32"/>
        </w:rPr>
        <w:tab/>
      </w:r>
      <w:r>
        <w:rPr>
          <w:rFonts w:ascii="仿宋_GB2312" w:eastAsia="仿宋_GB2312" w:cs="Times New Roman"/>
          <w:sz w:val="32"/>
          <w:szCs w:val="32"/>
        </w:rPr>
        <w:t>严格按照标准保障单位日常公用经费开支。</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提出全区新型工业化发展战略和政策,协调解决新型工业化进程中的重大问题,拟订并组织实施工业的发展规划,推进产业结构战略性调整和优化升级,推进信息化和工业化融合。</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制定并组织实施全区工业行业规划、计划和产业政策,提出优化产业布局、结构的政策建议,推进现代产业体系建设,贯彻落实工业和信息化法律法规规章，组织实施行业技术规范和标准,指导行业质量管理工作。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监测、分析全区工业运行态势,统计并发布相关信息,进行预测预警和信息引导,协调解决行业运行发展中的有关问题并提出政策建议；负责工业用电监测；负责工业应急管理、产业安全有关工作。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负责提出全区工业固定资产投资规模和方向，国家和省、市、区财政性建设资金安排的意见, 按区政府规定权限审批、核准、备案区规划内和年度计划规模内工业固定资产投资项目；</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负责工业企业技术改造投资项目核准、备案工作，并对上述工业固定资产投资项目招标投标活动依法实施监督。  负责对中小企业和民营经济促进工作进行指导、综合协调和监督检查，会同有关</w:t>
      </w:r>
      <w:r>
        <w:rPr>
          <w:rFonts w:hint="eastAsia" w:ascii="仿宋_GB2312" w:eastAsia="仿宋_GB2312" w:cs="Times New Roman"/>
          <w:sz w:val="32"/>
          <w:szCs w:val="32"/>
          <w:lang w:eastAsia="zh-CN"/>
        </w:rPr>
        <w:t>单位</w:t>
      </w:r>
      <w:r>
        <w:rPr>
          <w:rFonts w:ascii="仿宋_GB2312" w:eastAsia="仿宋_GB2312" w:cs="Times New Roman"/>
          <w:sz w:val="32"/>
          <w:szCs w:val="32"/>
        </w:rPr>
        <w:t>拟订促进中小企业发展和民营经济发展的相关政策和措施并组织实施，协调解决有关重大问题。</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拟订并组织实施全区工业能源节约和资源综合利用促进政策,参与拟订能源节约和资源综合利用促进规划,组织协调相关重大示范工程和新产品、新技术、新设备、新材料的推广应用。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推进全区工业体制改革和管理创新,提高行业综合素质和核心竞争力,指导工业行业加强安全生产管理，负责民爆行业生产流通的监督管理和安全生产工作。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开展工业、中小企业的对外合作与交流。</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承担履行《禁止化学武器公约》的组织协调工作。</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ascii="仿宋_GB2312" w:eastAsia="仿宋_GB2312" w:cs="Times New Roman"/>
          <w:sz w:val="32"/>
          <w:szCs w:val="32"/>
        </w:rPr>
        <w:t>承担盐业行业管理工作。</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7"/>
        <w:gridCol w:w="851"/>
        <w:gridCol w:w="1559"/>
        <w:gridCol w:w="2962"/>
        <w:gridCol w:w="2693"/>
        <w:gridCol w:w="567"/>
        <w:gridCol w:w="709"/>
        <w:gridCol w:w="85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9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9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2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74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vMerge w:val="continue"/>
            <w:tcBorders>
              <w:tl2br w:val="nil"/>
              <w:tr2bl w:val="nil"/>
            </w:tcBorders>
            <w:vAlign w:val="center"/>
          </w:tcPr>
          <w:p/>
        </w:tc>
        <w:tc>
          <w:tcPr>
            <w:tcW w:w="1559" w:type="dxa"/>
            <w:vMerge w:val="continue"/>
            <w:tcBorders>
              <w:tl2br w:val="nil"/>
              <w:tr2bl w:val="nil"/>
            </w:tcBorders>
            <w:vAlign w:val="center"/>
          </w:tcPr>
          <w:p/>
        </w:tc>
        <w:tc>
          <w:tcPr>
            <w:tcW w:w="2962" w:type="dxa"/>
            <w:vMerge w:val="continue"/>
            <w:tcBorders>
              <w:tl2br w:val="nil"/>
              <w:tr2bl w:val="nil"/>
            </w:tcBorders>
            <w:vAlign w:val="center"/>
          </w:tcPr>
          <w:p/>
        </w:tc>
        <w:tc>
          <w:tcPr>
            <w:tcW w:w="2693"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74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 xml:space="preserve"> 保障人数</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完成绩效目标得10分，未完成的同比例扣除。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保障人数</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单位实有人数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社会保障缴纳的准确性</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完成绩效目标得10分，未完成的同比例扣除。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社会保障缴纳的准确性</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社保补贴总额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经费保障及时性</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此项20分，未保障正常运作不得分</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及时保障各项日常办公需要</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及时保障</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及时保障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日常公用经费开支标准</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此项20分，未及时缴纳不得分</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办公费、水电费、交通费、会议费、工会经费、招待费及其他公用经费的开支标准</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按统一规定执行</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按统一规定执行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加强工作人员归属感，保持干部队伍稳定</w:t>
            </w:r>
          </w:p>
        </w:tc>
        <w:tc>
          <w:tcPr>
            <w:tcW w:w="29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完成绩效目标得30分，未完成的同比例扣除。</w:t>
            </w:r>
          </w:p>
        </w:tc>
        <w:tc>
          <w:tcPr>
            <w:tcW w:w="269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加强工作人员归属感，保持干部队伍稳定</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维持单位正常运转</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5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559"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单位人员满意度</w:t>
            </w:r>
          </w:p>
        </w:tc>
        <w:tc>
          <w:tcPr>
            <w:tcW w:w="296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满意度为90%（包含90%）得10分，90%以下酌情扣分。</w:t>
            </w:r>
          </w:p>
        </w:tc>
        <w:tc>
          <w:tcPr>
            <w:tcW w:w="269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单位人员的满意度</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74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问询</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kern w:val="0"/>
          <w:sz w:val="24"/>
          <w:szCs w:val="24"/>
          <w:lang w:eastAsia="uk-UA"/>
        </w:rPr>
        <w:t xml:space="preserve"> </w:t>
      </w:r>
      <w:r>
        <w:rPr>
          <w:rFonts w:hint="eastAsia" w:ascii="仿宋_GB2312" w:hAnsi="仿宋_GB2312" w:eastAsia="仿宋_GB2312" w:cs="仿宋_GB2312"/>
          <w:sz w:val="28"/>
        </w:rPr>
        <w:t>740001廊坊市广阳区工业和信息化局本级（规下转规上工业企业奖补资金）绩效目标表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5"/>
        <w:gridCol w:w="1701"/>
        <w:gridCol w:w="2552"/>
        <w:gridCol w:w="4110"/>
        <w:gridCol w:w="1276"/>
        <w:gridCol w:w="2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167" w:type="dxa"/>
            <w:gridSpan w:val="5"/>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1.通过给与企业补贴，极大鼓励企业工业设计能力和积极性，实现进一步提高了我区企业市场占有率。促进我省电子信息产业快速发展，壮大软件和信息技术服务业，提升产业市场竞争力</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2.通过项目的开展实现企业加快发展， 壮大广阳经济规模，提升经济总量，促进企业智能升级改造步伐，起到示范试点带头作用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55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11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2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89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产业发展带动性</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支持项目个数</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达到相关要求</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资金管理规范，使用合规</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专项资金按时拨付</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专项资金按时拨付率</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项目补助金额</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规下转规上工业企业专项资金</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70万元</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工业企业升规入统积极性</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引导和激励工业企业升规入统积极性提高</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积极性提高</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vMerge w:val="continue"/>
            <w:shd w:val="clear" w:color="auto" w:fill="auto"/>
            <w:vAlign w:val="center"/>
          </w:tcPr>
          <w:p>
            <w:pPr>
              <w:rPr>
                <w:rFonts w:hint="eastAsia" w:ascii="仿宋_GB2312" w:hAnsi="仿宋_GB2312" w:eastAsia="仿宋_GB2312" w:cs="仿宋_GB2312"/>
              </w:rPr>
            </w:pP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促进工业和民营经济发展</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促进和提升工业和民营经济发展</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 办（2021）21号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9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5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1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27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52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广阳区工业和信息化局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广阳区工业和信息化局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36.17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0653B2-B7EA-4E8E-89DB-0D1F39B20A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7AB39A41-D96D-40ED-B816-A9EB43ECA71C}"/>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9265F84-B3B3-474D-A9C2-35E96E22EFC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326AB"/>
    <w:rsid w:val="00046E98"/>
    <w:rsid w:val="00083FA1"/>
    <w:rsid w:val="000E1305"/>
    <w:rsid w:val="000F6018"/>
    <w:rsid w:val="001735CD"/>
    <w:rsid w:val="0025632D"/>
    <w:rsid w:val="003059E0"/>
    <w:rsid w:val="00454A1B"/>
    <w:rsid w:val="004A54AA"/>
    <w:rsid w:val="004A58B2"/>
    <w:rsid w:val="005E63AD"/>
    <w:rsid w:val="00651EFA"/>
    <w:rsid w:val="007427DC"/>
    <w:rsid w:val="00813517"/>
    <w:rsid w:val="00822CD9"/>
    <w:rsid w:val="00836D03"/>
    <w:rsid w:val="00944233"/>
    <w:rsid w:val="00B15F8D"/>
    <w:rsid w:val="00B40732"/>
    <w:rsid w:val="00B80935"/>
    <w:rsid w:val="00D131E8"/>
    <w:rsid w:val="00D347CC"/>
    <w:rsid w:val="00DC72B4"/>
    <w:rsid w:val="00E345A3"/>
    <w:rsid w:val="00E5091F"/>
    <w:rsid w:val="00EB6752"/>
    <w:rsid w:val="00F65C0A"/>
    <w:rsid w:val="00FC2DF5"/>
    <w:rsid w:val="0CEC1180"/>
    <w:rsid w:val="1F1B402C"/>
    <w:rsid w:val="279F1896"/>
    <w:rsid w:val="4F3D4A35"/>
    <w:rsid w:val="5C336B49"/>
    <w:rsid w:val="5E7F21B4"/>
    <w:rsid w:val="73693C55"/>
    <w:rsid w:val="7CA93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3E89-F176-4F44-AF60-1A65D500D58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868</Words>
  <Characters>4952</Characters>
  <Lines>41</Lines>
  <Paragraphs>11</Paragraphs>
  <TotalTime>9059</TotalTime>
  <ScaleCrop>false</ScaleCrop>
  <LinksUpToDate>false</LinksUpToDate>
  <CharactersWithSpaces>5809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2023-08-01T07:33:38Z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1EC3B051D77C45C59D0BAFC66697FC0A</vt:lpwstr>
  </property>
</Properties>
</file>