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广阳区人民法院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广阳区人民法院是国家的审判机关，在区委领导下，依法独立行使审判权，对区人民代表大会及其常务委员会负责并报告工作。主要职责是：</w:t>
      </w:r>
    </w:p>
    <w:p>
      <w:pPr>
        <w:widowControl/>
        <w:ind w:left="48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（一）审判法律规定由基层人民法院管辖的刑事、民事、行政等一审案件。</w:t>
      </w:r>
    </w:p>
    <w:p>
      <w:pPr>
        <w:widowControl/>
        <w:ind w:firstLine="480" w:firstLineChars="150"/>
        <w:jc w:val="left"/>
        <w:rPr>
          <w:rFonts w:ascii="仿宋_GB2312" w:eastAsia="仿宋_GB2312"/>
          <w:kern w:val="0"/>
          <w:sz w:val="32"/>
          <w:szCs w:val="32"/>
        </w:rPr>
      </w:pPr>
      <w:r>
        <w:rPr>
          <w:rFonts w:hint="eastAsia" w:ascii="仿宋_GB2312" w:eastAsia="仿宋_GB2312" w:cs="仿宋_GB2312"/>
          <w:color w:val="000000"/>
          <w:kern w:val="0"/>
          <w:sz w:val="32"/>
          <w:szCs w:val="32"/>
        </w:rPr>
        <w:t>（二）审判上级人民法院指定、同级人民法院移送的刑事、民事、行政等一审案件。</w:t>
      </w:r>
    </w:p>
    <w:p>
      <w:pPr>
        <w:widowControl/>
        <w:spacing w:line="360" w:lineRule="atLeast"/>
        <w:ind w:left="639" w:leftChars="228" w:hanging="160" w:hangingChars="5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（三）审查和受理各类告诉申诉案件，审判各类再审案件，处理来信来访。</w:t>
      </w:r>
    </w:p>
    <w:p>
      <w:pPr>
        <w:widowControl/>
        <w:spacing w:line="360" w:lineRule="atLeast"/>
        <w:ind w:left="639" w:leftChars="228" w:hanging="160" w:hangingChars="5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（四）依法办理发生法律效力的民事、行政案件判决和裁定执行事项及刑事案件判决和裁定中关</w:t>
      </w:r>
    </w:p>
    <w:p>
      <w:pPr>
        <w:widowControl/>
        <w:spacing w:line="360" w:lineRule="atLeast"/>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于财产部分的执行事项；办理法律规定由基层人民法院执行的其他法律文书的执行事项。</w:t>
      </w:r>
    </w:p>
    <w:p>
      <w:pPr>
        <w:widowControl/>
        <w:spacing w:line="360" w:lineRule="atLeast"/>
        <w:ind w:firstLine="640" w:firstLineChars="200"/>
        <w:jc w:val="left"/>
        <w:rPr>
          <w:rFonts w:ascii="仿宋_GB2312" w:eastAsia="仿宋_GB2312"/>
          <w:color w:val="000000"/>
          <w:kern w:val="0"/>
          <w:sz w:val="32"/>
          <w:szCs w:val="32"/>
        </w:rPr>
      </w:pPr>
      <w:r>
        <w:rPr>
          <w:rFonts w:hint="eastAsia" w:ascii="仿宋_GB2312" w:eastAsia="仿宋_GB2312" w:cs="仿宋_GB2312"/>
          <w:color w:val="000000"/>
          <w:kern w:val="0"/>
          <w:sz w:val="32"/>
          <w:szCs w:val="32"/>
        </w:rPr>
        <w:t>（五）负责本院审判工作的调查研究，总结审判工作经验。</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（六）负责本院干警思想政治教育和业务培训工作；按照权限管理法官、执行员、书记员、司法</w:t>
      </w:r>
    </w:p>
    <w:p>
      <w:pPr>
        <w:widowControl/>
        <w:spacing w:line="360" w:lineRule="atLeast"/>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警察、司法鉴定人员及司法行政人员；协同上级法院及区主管</w:t>
      </w:r>
      <w:r>
        <w:rPr>
          <w:rFonts w:hint="eastAsia" w:ascii="仿宋_GB2312" w:eastAsia="仿宋_GB2312" w:cs="仿宋_GB2312"/>
          <w:color w:val="000000"/>
          <w:kern w:val="0"/>
          <w:sz w:val="32"/>
          <w:szCs w:val="32"/>
          <w:lang w:eastAsia="zh-CN"/>
        </w:rPr>
        <w:t>单位</w:t>
      </w:r>
      <w:r>
        <w:rPr>
          <w:rFonts w:hint="eastAsia" w:ascii="仿宋_GB2312" w:eastAsia="仿宋_GB2312" w:cs="仿宋_GB2312"/>
          <w:color w:val="000000"/>
          <w:kern w:val="0"/>
          <w:sz w:val="32"/>
          <w:szCs w:val="32"/>
        </w:rPr>
        <w:t>管理全院的机构设置、人员编制工作。</w:t>
      </w:r>
    </w:p>
    <w:p>
      <w:pPr>
        <w:widowControl/>
        <w:spacing w:line="360" w:lineRule="atLeast"/>
        <w:ind w:left="638" w:leftChars="304"/>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（七）负责本院的法医工作。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（八）领导本院的监察工作。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（九）管理本院的有关经费及物资装备。</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（十）在审判工作中宣传法制，教育公民忠于社会主义祖国，自觉遵守宪法、法律和社会公德。</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（十一）负责本院的党群工作。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（十二）完成上级法院和区委、区人大交办的其他工作。</w:t>
      </w:r>
      <w:r>
        <w:rPr>
          <w:rFonts w:ascii="仿宋_GB2312" w:eastAsia="仿宋_GB2312" w:cs="Times New Roman"/>
          <w:color w:val="000000"/>
          <w:kern w:val="0"/>
          <w:sz w:val="32"/>
          <w:szCs w:val="32"/>
        </w:rPr>
        <w:br w:type="textWrapping"/>
      </w:r>
      <w:r>
        <w:rPr>
          <w:rFonts w:hint="eastAsia" w:ascii="仿宋_GB2312" w:eastAsia="仿宋_GB2312" w:cs="仿宋_GB2312"/>
          <w:color w:val="000000"/>
          <w:kern w:val="0"/>
          <w:sz w:val="32"/>
          <w:szCs w:val="32"/>
        </w:rPr>
        <w:t>（十三）承办其他应由基层人民法院负责的工作。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廊坊市广阳区人民法院</w:t>
            </w:r>
          </w:p>
        </w:tc>
        <w:tc>
          <w:tcPr>
            <w:tcW w:w="1134" w:type="dxa"/>
            <w:shd w:val="clear" w:color="auto" w:fill="auto"/>
            <w:vAlign w:val="center"/>
          </w:tcPr>
          <w:p>
            <w:pPr>
              <w:spacing w:line="584" w:lineRule="exact"/>
              <w:jc w:val="center"/>
              <w:rPr>
                <w:rFonts w:ascii="Times New Roman" w:hAnsi="Times New Roman" w:eastAsia="仿宋_GB2312" w:cs="Times New Roman"/>
                <w:bCs/>
                <w:color w:val="FF0000"/>
              </w:rPr>
            </w:pPr>
            <w:r>
              <w:rPr>
                <w:rFonts w:hint="eastAsia"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副处级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4172.2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9.21万元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广阳区人民法院2022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2302.54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2036.88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265.66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1878.87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4181.41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660.17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减少579.48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2022年基本支出较上年减少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1239.65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2022年项目支出较上年增加</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265.66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廊坊市广阳区人民法院办公区的</w:t>
      </w:r>
      <w:r>
        <w:rPr>
          <w:rFonts w:ascii="Times New Roman" w:hAnsi="Times New Roman" w:eastAsia="仿宋_GB2312" w:cs="Times New Roman"/>
          <w:sz w:val="32"/>
          <w:szCs w:val="32"/>
        </w:rPr>
        <w:t>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ascii="仿宋_GB2312" w:hAnsi="Calibri" w:eastAsia="仿宋_GB2312"/>
          <w:sz w:val="32"/>
          <w:szCs w:val="32"/>
        </w:rPr>
      </w:pPr>
      <w:r>
        <w:rPr>
          <w:rFonts w:hint="eastAsia" w:ascii="仿宋_GB2312" w:hAnsi="Calibri" w:eastAsia="仿宋_GB2312"/>
          <w:sz w:val="32"/>
          <w:szCs w:val="32"/>
        </w:rPr>
        <w:t>1、审判刑事案件、民事案件和行政案件；</w:t>
      </w:r>
    </w:p>
    <w:p>
      <w:pPr>
        <w:pStyle w:val="19"/>
        <w:rPr>
          <w:rFonts w:ascii="仿宋_GB2312" w:hAnsi="Calibri" w:eastAsia="仿宋_GB2312"/>
          <w:sz w:val="32"/>
          <w:szCs w:val="32"/>
        </w:rPr>
      </w:pPr>
      <w:r>
        <w:rPr>
          <w:rFonts w:hint="eastAsia" w:ascii="仿宋_GB2312" w:hAnsi="Calibri" w:eastAsia="仿宋_GB2312"/>
          <w:sz w:val="32"/>
          <w:szCs w:val="32"/>
        </w:rPr>
        <w:t>2、通过审判活动，惩办一切犯罪分子，解决民事纠纷和行政纠纷；</w:t>
      </w:r>
    </w:p>
    <w:p>
      <w:pPr>
        <w:pStyle w:val="19"/>
        <w:rPr>
          <w:rFonts w:ascii="楷体_GB2312" w:eastAsia="楷体_GB2312"/>
          <w:b/>
          <w:sz w:val="32"/>
          <w:szCs w:val="32"/>
        </w:rPr>
      </w:pPr>
      <w:r>
        <w:rPr>
          <w:rFonts w:hint="eastAsia" w:ascii="仿宋_GB2312" w:hAnsi="Calibri" w:eastAsia="仿宋_GB2312"/>
          <w:sz w:val="32"/>
          <w:szCs w:val="32"/>
        </w:rPr>
        <w:t>3、保卫人民民主专政制度，维护社会主义法制和社会秩序，保护社会主义的全民所有的财产、劳动群众集体所有的财产，保护公民私人所有的合法财产，保护公民的人身权利、民主权利和其他权利，保障社会主义革命和社会主义建设事业的顺利进行，通过全部审判活动，教育公民忠于社会主义祖国，自觉地遵守宪法和法律。</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rPr>
          <w:rFonts w:ascii="仿宋_GB2312" w:hAnsi="Calibri" w:eastAsia="仿宋_GB2312"/>
          <w:sz w:val="32"/>
          <w:szCs w:val="32"/>
        </w:rPr>
      </w:pPr>
      <w:r>
        <w:rPr>
          <w:rFonts w:hint="eastAsia" w:ascii="仿宋_GB2312" w:hAnsi="Calibri" w:eastAsia="仿宋_GB2312"/>
          <w:sz w:val="32"/>
          <w:szCs w:val="32"/>
        </w:rPr>
        <w:t>2022</w:t>
      </w:r>
      <w:r>
        <w:rPr>
          <w:rFonts w:hint="eastAsia" w:ascii="仿宋_GB2312" w:hAnsi="Calibri" w:eastAsia="仿宋_GB2312"/>
          <w:sz w:val="32"/>
          <w:szCs w:val="32"/>
          <w:lang w:eastAsia="zh-CN"/>
        </w:rPr>
        <w:t>单位</w:t>
      </w:r>
      <w:r>
        <w:rPr>
          <w:rFonts w:hint="eastAsia" w:ascii="仿宋_GB2312" w:hAnsi="Calibri" w:eastAsia="仿宋_GB2312"/>
          <w:sz w:val="32"/>
          <w:szCs w:val="32"/>
        </w:rPr>
        <w:t>发展规划目标</w:t>
      </w:r>
    </w:p>
    <w:p>
      <w:pPr>
        <w:pStyle w:val="20"/>
        <w:rPr>
          <w:rFonts w:ascii="仿宋_GB2312" w:hAnsi="Calibri" w:eastAsia="仿宋_GB2312"/>
          <w:sz w:val="32"/>
          <w:szCs w:val="32"/>
        </w:rPr>
      </w:pPr>
      <w:r>
        <w:rPr>
          <w:rFonts w:hint="eastAsia" w:ascii="仿宋_GB2312" w:hAnsi="Calibri" w:eastAsia="仿宋_GB2312"/>
          <w:sz w:val="32"/>
          <w:szCs w:val="32"/>
        </w:rPr>
        <w:t>案件审判管理和执行，依法审判法律规定由县高级人民法院管辖的刑事、民事、行政等第一、二审案件，依法完成死刑案件复核工作，依法办理发生法律效力判决、其他法律文书的执行，做好审判管理工作。妥善审理经济转型过程中引发的各类矛盾纠纷，依法维护国家安全和社会稳定，严惩各类严重刑事犯罪，积极推进平安我县建设，营造良好的法治环境。案件审判，依法审判刑事、民事、行政案件和上级人民法院交由审判的案件；依法审理刑事、民事、行政再审案件，人民检察院提出抗诉的案件。依法惩治刑事犯罪，监督行政机关依法行政，促进社会和谐，维护社会稳定，服务全县工作大局，发挥服务保障职能。案件调解率，依法惩治刑事犯罪增加调解减少上诉。</w:t>
      </w:r>
    </w:p>
    <w:p>
      <w:pPr>
        <w:pStyle w:val="20"/>
        <w:rPr>
          <w:rFonts w:ascii="仿宋_GB2312" w:hAnsi="Calibri" w:eastAsia="仿宋_GB2312"/>
          <w:sz w:val="32"/>
          <w:szCs w:val="32"/>
        </w:rPr>
      </w:pPr>
      <w:r>
        <w:rPr>
          <w:rFonts w:hint="eastAsia" w:ascii="仿宋_GB2312" w:hAnsi="Calibri" w:eastAsia="仿宋_GB2312"/>
          <w:sz w:val="32"/>
          <w:szCs w:val="32"/>
        </w:rPr>
        <w:t>案件判决执行，执行本院已经发生法律效力的法律文书和法律规定由本院执行的其他生效法律文书及委托执行案件。积极推进执行工作，切实保障群众合法权益，维护社会公平正义。执行案件执结时间，提前执结时间。执行案件执结率，执行本院已经发生法律效力的法律文书和法律规定数量与应执行数量比例。</w:t>
      </w:r>
    </w:p>
    <w:p>
      <w:pPr>
        <w:pStyle w:val="20"/>
        <w:rPr>
          <w:rFonts w:ascii="仿宋_GB2312" w:hAnsi="Calibri" w:eastAsia="仿宋_GB2312"/>
          <w:sz w:val="32"/>
          <w:szCs w:val="32"/>
        </w:rPr>
      </w:pPr>
      <w:r>
        <w:rPr>
          <w:rFonts w:hint="eastAsia" w:ascii="仿宋_GB2312" w:hAnsi="Calibri" w:eastAsia="仿宋_GB2312"/>
          <w:sz w:val="32"/>
          <w:szCs w:val="32"/>
        </w:rPr>
        <w:t>审判管理，规范、保障、促进审判执行工作，包括：案件信息管理、案件质量评估、案件质量评查、审判流程管理、审判运势分析等。完善审判质效评估体系，促进审判质效、健全司法权力运行机制，提升司法公信力。审判程序合规率，规范执行审判管理流程案件与全部案件的比例。</w:t>
      </w:r>
    </w:p>
    <w:p>
      <w:pPr>
        <w:pStyle w:val="20"/>
        <w:rPr>
          <w:rFonts w:ascii="仿宋_GB2312" w:hAnsi="Calibri" w:eastAsia="仿宋_GB2312"/>
          <w:sz w:val="32"/>
          <w:szCs w:val="32"/>
        </w:rPr>
      </w:pPr>
      <w:r>
        <w:rPr>
          <w:rFonts w:hint="eastAsia" w:ascii="仿宋_GB2312" w:hAnsi="Calibri" w:eastAsia="仿宋_GB2312"/>
          <w:sz w:val="32"/>
          <w:szCs w:val="32"/>
        </w:rPr>
        <w:t>司法技术辅助，开展司法技术辅助工作。对审判工作技术咨询、技术审核服务，主要工作包括：对外委托鉴定、评估、审计、拍卖、组织专家审核等。为案件审判提供技术支撑，提高办案质量。工作完成率，开展司法技术辅助工作数量与申请开展司法技术辅助工作的比例。</w:t>
      </w:r>
    </w:p>
    <w:p>
      <w:pPr>
        <w:pStyle w:val="20"/>
        <w:rPr>
          <w:rFonts w:ascii="仿宋_GB2312" w:hAnsi="Calibri" w:eastAsia="仿宋_GB2312"/>
          <w:sz w:val="32"/>
          <w:szCs w:val="32"/>
        </w:rPr>
      </w:pPr>
      <w:r>
        <w:rPr>
          <w:rFonts w:hint="eastAsia" w:ascii="仿宋_GB2312" w:hAnsi="Calibri" w:eastAsia="仿宋_GB2312"/>
          <w:sz w:val="32"/>
          <w:szCs w:val="32"/>
        </w:rPr>
        <w:t>司法救助和国家赔偿，完成涉法涉诉类案件的息诉罢访工作，依法办理国家赔偿案件。改革涉诉信访工作，推动涉诉信访问题在法治轨道内解决；落实司法为民措施，保护被侵权人合法利益，促进国家机关依法行使职权。完成涉法涉诉类上访案件的息诉罢访工作，做好“两会”、重大活动期间的维稳工作，接待分流越级上访人员、协助处理到上级法院的集体访和闹访人员的稳控遣返工作。保障信访工作正常进行，提高信访案件结案率、信访受理满意度，维护国家机关的正常工作秩序，做好稳控工作。信访案件结案率已按程序处理信访案件与全年受理信访案件比例。</w:t>
      </w:r>
    </w:p>
    <w:p>
      <w:pPr>
        <w:pStyle w:val="20"/>
        <w:rPr>
          <w:rFonts w:ascii="仿宋_GB2312" w:hAnsi="Calibri" w:eastAsia="仿宋_GB2312"/>
          <w:sz w:val="32"/>
          <w:szCs w:val="32"/>
        </w:rPr>
      </w:pPr>
      <w:r>
        <w:rPr>
          <w:rFonts w:hint="eastAsia" w:ascii="仿宋_GB2312" w:hAnsi="Calibri" w:eastAsia="仿宋_GB2312"/>
          <w:sz w:val="32"/>
          <w:szCs w:val="32"/>
        </w:rPr>
        <w:t>司法救助，对受到侵害但无法获得有效赔偿的当事人给予资助。不断完善司法救助，切实保护民生，让人民群众感受到司法以人为本，享受到司法人文关怀。司法救助数量，公正办理司法救助案件，尽可能提高司法救助数量。</w:t>
      </w:r>
    </w:p>
    <w:p>
      <w:pPr>
        <w:pStyle w:val="20"/>
        <w:rPr>
          <w:rFonts w:ascii="仿宋_GB2312" w:hAnsi="Calibri" w:eastAsia="仿宋_GB2312"/>
          <w:sz w:val="32"/>
          <w:szCs w:val="32"/>
        </w:rPr>
      </w:pPr>
      <w:r>
        <w:rPr>
          <w:rFonts w:hint="eastAsia" w:ascii="仿宋_GB2312" w:hAnsi="Calibri" w:eastAsia="仿宋_GB2312"/>
          <w:sz w:val="32"/>
          <w:szCs w:val="32"/>
        </w:rPr>
        <w:t>国家赔偿，依法办理国家赔偿案件，执行赔偿委员会决定事项，审查处理赔偿告诉申诉案件。主要工作包括调查、取证，审理。保护被侵害人的合法权益，促进行政机关依法行政。国家赔偿案件结案率，已按程序处理国家赔偿案件与全年受理国家赔偿案件比例。</w:t>
      </w:r>
    </w:p>
    <w:p>
      <w:pPr>
        <w:pStyle w:val="20"/>
        <w:rPr>
          <w:rFonts w:ascii="仿宋_GB2312" w:hAnsi="Calibri" w:eastAsia="仿宋_GB2312"/>
          <w:sz w:val="32"/>
          <w:szCs w:val="32"/>
        </w:rPr>
      </w:pPr>
      <w:r>
        <w:rPr>
          <w:rFonts w:hint="eastAsia" w:ascii="仿宋_GB2312" w:hAnsi="Calibri" w:eastAsia="仿宋_GB2312"/>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w:t>
      </w:r>
    </w:p>
    <w:p>
      <w:pPr>
        <w:pStyle w:val="20"/>
        <w:rPr>
          <w:rFonts w:ascii="仿宋_GB2312" w:hAnsi="Calibri" w:eastAsia="仿宋_GB2312"/>
          <w:sz w:val="32"/>
          <w:szCs w:val="32"/>
        </w:rPr>
      </w:pPr>
      <w:r>
        <w:rPr>
          <w:rFonts w:hint="eastAsia" w:ascii="仿宋_GB2312" w:hAnsi="Calibri" w:eastAsia="仿宋_GB2312"/>
          <w:sz w:val="32"/>
          <w:szCs w:val="32"/>
        </w:rPr>
        <w:t>法院事务管理，系统综合业务管理和综合事务管理。提高队伍素质和执法能力，高质高效完成各项工作。</w:t>
      </w:r>
    </w:p>
    <w:p>
      <w:pPr>
        <w:pStyle w:val="20"/>
        <w:rPr>
          <w:rFonts w:ascii="仿宋_GB2312" w:hAnsi="Calibri" w:eastAsia="仿宋_GB2312"/>
          <w:sz w:val="32"/>
          <w:szCs w:val="32"/>
        </w:rPr>
      </w:pPr>
      <w:r>
        <w:rPr>
          <w:rFonts w:hint="eastAsia" w:ascii="仿宋_GB2312" w:hAnsi="Calibri" w:eastAsia="仿宋_GB2312"/>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综合事务管理，领导县人民法院的监察工作；管理法院司法行政工作；承办其它应由县人民法院负责的工作。高质高效完成年度各项工作。各项保障工作完成率各项后勤保障工作完成情况。</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ascii="仿宋_GB2312" w:hAnsi="Calibri" w:eastAsia="仿宋_GB2312"/>
          <w:sz w:val="32"/>
          <w:szCs w:val="32"/>
        </w:rPr>
      </w:pPr>
      <w:r>
        <w:rPr>
          <w:rFonts w:hint="eastAsia" w:ascii="仿宋_GB2312" w:hAnsi="Calibri" w:eastAsia="仿宋_GB2312"/>
          <w:sz w:val="32"/>
          <w:szCs w:val="32"/>
        </w:rPr>
        <w:t>广阳区人民法院实现本年度发展规划目标保障措施</w:t>
      </w:r>
    </w:p>
    <w:p>
      <w:pPr>
        <w:pStyle w:val="21"/>
        <w:rPr>
          <w:rFonts w:ascii="仿宋_GB2312" w:hAnsi="Calibri" w:eastAsia="仿宋_GB2312"/>
          <w:sz w:val="32"/>
          <w:szCs w:val="32"/>
        </w:rPr>
      </w:pPr>
      <w:r>
        <w:rPr>
          <w:rFonts w:hint="eastAsia" w:ascii="仿宋_GB2312" w:hAnsi="Calibri" w:eastAsia="仿宋_GB2312"/>
          <w:sz w:val="32"/>
          <w:szCs w:val="32"/>
        </w:rPr>
        <w:t>1、紧贴聚力创新，充分发挥司法引领保障作用</w:t>
      </w:r>
    </w:p>
    <w:p>
      <w:pPr>
        <w:pStyle w:val="21"/>
        <w:rPr>
          <w:rFonts w:ascii="仿宋_GB2312" w:hAnsi="Calibri" w:eastAsia="仿宋_GB2312"/>
          <w:sz w:val="32"/>
          <w:szCs w:val="32"/>
        </w:rPr>
      </w:pPr>
      <w:r>
        <w:rPr>
          <w:rFonts w:hint="eastAsia" w:ascii="仿宋_GB2312" w:hAnsi="Calibri" w:eastAsia="仿宋_GB2312"/>
          <w:sz w:val="32"/>
          <w:szCs w:val="32"/>
        </w:rPr>
        <w:t>营造有利创新的浓厚法治氛围。要坚持和落实专题调研制度，按照省法院统一部署要求，针对改革发展中的法律问题，定期组织专题调研，完善司法应对措施。建立新类型案件统筹指导机制，主动应对立法供给滞后的实际，着力培养法官运用法律原则、法治思维和立法精神处理新问题的能力。</w:t>
      </w:r>
    </w:p>
    <w:p>
      <w:pPr>
        <w:pStyle w:val="21"/>
        <w:rPr>
          <w:rFonts w:ascii="仿宋_GB2312" w:hAnsi="Calibri" w:eastAsia="仿宋_GB2312"/>
          <w:sz w:val="32"/>
          <w:szCs w:val="32"/>
        </w:rPr>
      </w:pPr>
      <w:r>
        <w:rPr>
          <w:rFonts w:hint="eastAsia" w:ascii="仿宋_GB2312" w:hAnsi="Calibri" w:eastAsia="仿宋_GB2312"/>
          <w:sz w:val="32"/>
          <w:szCs w:val="32"/>
        </w:rPr>
        <w:t>2、围绕聚焦富民，忠实践行为民司法根本宗旨</w:t>
      </w:r>
    </w:p>
    <w:p>
      <w:pPr>
        <w:pStyle w:val="21"/>
        <w:rPr>
          <w:rFonts w:ascii="仿宋_GB2312" w:hAnsi="Calibri" w:eastAsia="仿宋_GB2312"/>
          <w:sz w:val="32"/>
          <w:szCs w:val="32"/>
        </w:rPr>
      </w:pPr>
      <w:r>
        <w:rPr>
          <w:rFonts w:hint="eastAsia" w:ascii="仿宋_GB2312" w:hAnsi="Calibri" w:eastAsia="仿宋_GB2312"/>
          <w:sz w:val="32"/>
          <w:szCs w:val="32"/>
        </w:rPr>
        <w:t>一是深化诉讼服务中心标准化和规范化建设。进一步整合诉讼服务中心职能，完善诉讼服务、诉讼引导、立案登记、案件速裁、诉调对接、涉诉信访、司法辅助“七位一体”的服务平台建设。完善基础建设、职能配置、工作流程、人员配备、岗位职责、行为规范、管理考核等方面的制度机制，发挥诉讼服务网和诉讼服务热线的功能，拓宽网上立案、自助立案、跨域立案范围。精心打造集信访办理、信访监控、网络信访、视频接访为一体的多功能涉诉信访管理平台，切实解决好人民群众合理合法诉求。</w:t>
      </w:r>
    </w:p>
    <w:p>
      <w:pPr>
        <w:pStyle w:val="21"/>
        <w:rPr>
          <w:rFonts w:ascii="仿宋_GB2312" w:hAnsi="Calibri" w:eastAsia="仿宋_GB2312"/>
          <w:sz w:val="32"/>
          <w:szCs w:val="32"/>
        </w:rPr>
      </w:pPr>
      <w:r>
        <w:rPr>
          <w:rFonts w:hint="eastAsia" w:ascii="仿宋_GB2312" w:hAnsi="Calibri" w:eastAsia="仿宋_GB2312"/>
          <w:sz w:val="32"/>
          <w:szCs w:val="32"/>
        </w:rPr>
        <w:t>二是推动纠纷多元化解和案件繁简分流机制建设。把多元化纠纷解决和繁简分流作为缓解人案矛盾的重点，构建诉前调解、诉讼调解、人民调解、行政调解等多层次、宽领域的诉调对接新机制。积极研究和探索劳动争议、道赔、物业纠纷化解模式，推动建立纠纷化解前置程序，有效分流社会矛盾纠纷。发挥小额速裁的制度优势，简化送达、开庭程序，探索表单式、要素式裁判模式，提升审判质量和效率。</w:t>
      </w:r>
    </w:p>
    <w:p>
      <w:pPr>
        <w:pStyle w:val="21"/>
        <w:rPr>
          <w:rFonts w:ascii="仿宋_GB2312" w:hAnsi="Calibri" w:eastAsia="仿宋_GB2312"/>
          <w:sz w:val="32"/>
          <w:szCs w:val="32"/>
        </w:rPr>
      </w:pPr>
      <w:r>
        <w:rPr>
          <w:rFonts w:hint="eastAsia" w:ascii="仿宋_GB2312" w:hAnsi="Calibri" w:eastAsia="仿宋_GB2312"/>
          <w:sz w:val="32"/>
          <w:szCs w:val="32"/>
        </w:rPr>
        <w:t>三是做好涉群众现实利益案件审判工作。发挥劳动争议审判庭专业优势，合理平衡企业与劳动者的合法权益，妥善审理劳动争议纠纷案件。完善建设工程、交通事故损害赔偿、民间借贷等类案综合调处、联动化解机制，快捷有效化解矛盾纠纷。</w:t>
      </w:r>
    </w:p>
    <w:p>
      <w:pPr>
        <w:pStyle w:val="21"/>
        <w:rPr>
          <w:rFonts w:ascii="仿宋_GB2312" w:hAnsi="Calibri" w:eastAsia="仿宋_GB2312"/>
          <w:sz w:val="32"/>
          <w:szCs w:val="32"/>
        </w:rPr>
      </w:pPr>
      <w:r>
        <w:rPr>
          <w:rFonts w:hint="eastAsia" w:ascii="仿宋_GB2312" w:hAnsi="Calibri" w:eastAsia="仿宋_GB2312"/>
          <w:sz w:val="32"/>
          <w:szCs w:val="32"/>
        </w:rPr>
        <w:t>四是强势推进“基本解决执行难”工作。全面推动执行指挥中心实体化运行，发挥指挥中心统揽执行工作全局，协调各方力量破解执行难的工作合力。完善诉讼保全与执行网络查控系统有效对接机制，充分利用现代信息技术手段，提高查控效率效果。继续推进审执分离体制改革，加强执行裁判庭和执行局协调配合，保证执行工作高效顺利开展。把执行宣传贯穿于执行工作全过程，引导全社会对“执行不能”形成科学理性认识，凝聚理解、尊重、协助执行的广泛社会共识。</w:t>
      </w:r>
    </w:p>
    <w:p>
      <w:pPr>
        <w:pStyle w:val="21"/>
        <w:rPr>
          <w:rFonts w:ascii="仿宋_GB2312" w:hAnsi="Calibri" w:eastAsia="仿宋_GB2312"/>
          <w:sz w:val="32"/>
          <w:szCs w:val="32"/>
        </w:rPr>
      </w:pPr>
      <w:r>
        <w:rPr>
          <w:rFonts w:hint="eastAsia" w:ascii="仿宋_GB2312" w:hAnsi="Calibri" w:eastAsia="仿宋_GB2312"/>
          <w:sz w:val="32"/>
          <w:szCs w:val="32"/>
        </w:rPr>
        <w:t>3、突出司法责任制，纵深推进司法体制机制改革</w:t>
      </w:r>
    </w:p>
    <w:p>
      <w:pPr>
        <w:pStyle w:val="21"/>
        <w:rPr>
          <w:rFonts w:ascii="仿宋_GB2312" w:hAnsi="Calibri" w:eastAsia="仿宋_GB2312"/>
          <w:sz w:val="32"/>
          <w:szCs w:val="32"/>
        </w:rPr>
      </w:pPr>
      <w:r>
        <w:rPr>
          <w:rFonts w:hint="eastAsia" w:ascii="仿宋_GB2312" w:hAnsi="Calibri" w:eastAsia="仿宋_GB2312"/>
          <w:sz w:val="32"/>
          <w:szCs w:val="32"/>
        </w:rPr>
        <w:t>一是全面落实司法责任制改革要求。把该放的权力放下去。院庭长要充分尊重独任法官和合议庭的独立审判和定案权，在监督管理、发表意见、审签文书等方面做到依法依规，杜绝“越位指导”、“任意干涉”等现象。把该担的责任担来。独任法官对独任审理案件承担全部责任；合议庭成员对案件共同承担责任；审判委员会讨论案件，合议庭对其汇报的事实负责，审判委员会委员对本人发表的意见及最终表决负责。把审判团队的功能发挥起来。系统总结审判权运行机制改革试点中的经验，结合本院、本</w:t>
      </w:r>
      <w:r>
        <w:rPr>
          <w:rFonts w:hint="eastAsia" w:ascii="仿宋_GB2312" w:hAnsi="Calibri" w:eastAsia="仿宋_GB2312"/>
          <w:sz w:val="32"/>
          <w:szCs w:val="32"/>
          <w:lang w:eastAsia="zh-CN"/>
        </w:rPr>
        <w:t>单位</w:t>
      </w:r>
      <w:r>
        <w:rPr>
          <w:rFonts w:hint="eastAsia" w:ascii="仿宋_GB2312" w:hAnsi="Calibri" w:eastAsia="仿宋_GB2312"/>
          <w:sz w:val="32"/>
          <w:szCs w:val="32"/>
        </w:rPr>
        <w:t>乃至本合议庭实际，探索建立不同方式的审判团队组织，理清法官、法官助理、书记员等不同角色的职责，推进扁平化管理，提升办案质量和效率。</w:t>
      </w:r>
    </w:p>
    <w:p>
      <w:pPr>
        <w:pStyle w:val="21"/>
        <w:rPr>
          <w:rFonts w:ascii="仿宋_GB2312" w:hAnsi="Calibri" w:eastAsia="仿宋_GB2312"/>
          <w:sz w:val="32"/>
          <w:szCs w:val="32"/>
        </w:rPr>
      </w:pPr>
      <w:r>
        <w:rPr>
          <w:rFonts w:hint="eastAsia" w:ascii="仿宋_GB2312" w:hAnsi="Calibri" w:eastAsia="仿宋_GB2312"/>
          <w:sz w:val="32"/>
          <w:szCs w:val="32"/>
        </w:rPr>
        <w:t>二是一体化推进配套改革措施。要根据省法院统一部署要求，扎实做好第二批员额法官的选任工作，完善法官业绩考评机制。落实法官职业保障各项待遇，尤其在法官等级、工资制度改革等方面要加快进度，按照规定落实到位。</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45"/>
        <w:gridCol w:w="1270"/>
        <w:gridCol w:w="1388"/>
        <w:gridCol w:w="3736"/>
        <w:gridCol w:w="2314"/>
        <w:gridCol w:w="825"/>
        <w:gridCol w:w="929"/>
        <w:gridCol w:w="683"/>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0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5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9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33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2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7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1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02" w:type="pct"/>
            <w:vMerge w:val="continue"/>
            <w:tcBorders>
              <w:tl2br w:val="nil"/>
              <w:tr2bl w:val="nil"/>
            </w:tcBorders>
            <w:vAlign w:val="center"/>
          </w:tcPr>
          <w:p/>
        </w:tc>
        <w:tc>
          <w:tcPr>
            <w:tcW w:w="454" w:type="pct"/>
            <w:vMerge w:val="continue"/>
            <w:tcBorders>
              <w:tl2br w:val="nil"/>
              <w:tr2bl w:val="nil"/>
            </w:tcBorders>
            <w:vAlign w:val="center"/>
          </w:tcPr>
          <w:p/>
        </w:tc>
        <w:tc>
          <w:tcPr>
            <w:tcW w:w="496" w:type="pct"/>
            <w:vMerge w:val="continue"/>
            <w:tcBorders>
              <w:tl2br w:val="nil"/>
              <w:tr2bl w:val="nil"/>
            </w:tcBorders>
            <w:vAlign w:val="center"/>
          </w:tcPr>
          <w:p/>
        </w:tc>
        <w:tc>
          <w:tcPr>
            <w:tcW w:w="1335" w:type="pct"/>
            <w:vMerge w:val="continue"/>
            <w:tcBorders>
              <w:tl2br w:val="nil"/>
              <w:tr2bl w:val="nil"/>
            </w:tcBorders>
            <w:vAlign w:val="center"/>
          </w:tcPr>
          <w:p/>
        </w:tc>
        <w:tc>
          <w:tcPr>
            <w:tcW w:w="827" w:type="pct"/>
            <w:vMerge w:val="continue"/>
            <w:tcBorders>
              <w:tl2br w:val="nil"/>
              <w:tr2bl w:val="nil"/>
            </w:tcBorders>
            <w:vAlign w:val="center"/>
          </w:tcPr>
          <w:p/>
        </w:tc>
        <w:tc>
          <w:tcPr>
            <w:tcW w:w="29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3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4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11"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02"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保障办理案件数量</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保障办理案件数量</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20000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业务装备顺畅运行率</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业务装备顺畅运行率</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资金下拨及时性</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资金下拨及时性</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1869.66</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02"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9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法院公信力</w:t>
            </w:r>
          </w:p>
        </w:tc>
        <w:tc>
          <w:tcPr>
            <w:tcW w:w="133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法院公信力</w:t>
            </w:r>
          </w:p>
        </w:tc>
        <w:tc>
          <w:tcPr>
            <w:tcW w:w="29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有效提升</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02" w:type="pct"/>
            <w:vMerge w:val="continue"/>
            <w:tcBorders>
              <w:tl2br w:val="nil"/>
              <w:tr2bl w:val="nil"/>
            </w:tcBorders>
            <w:vAlign w:val="center"/>
          </w:tcPr>
          <w:p/>
        </w:tc>
        <w:tc>
          <w:tcPr>
            <w:tcW w:w="454"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9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干警满意度</w:t>
            </w:r>
          </w:p>
        </w:tc>
        <w:tc>
          <w:tcPr>
            <w:tcW w:w="133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达到标准得15分，否则按相应标准扣分</w:t>
            </w:r>
          </w:p>
        </w:tc>
        <w:tc>
          <w:tcPr>
            <w:tcW w:w="827"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干警满意度</w:t>
            </w:r>
          </w:p>
        </w:tc>
        <w:tc>
          <w:tcPr>
            <w:tcW w:w="29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71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问询</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机关事务管理经费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jc w:val="left"/>
              <w:rPr>
                <w:rFonts w:ascii="Times New Roman" w:hAnsi="Times New Roman" w:eastAsia="仿宋_GB2312" w:cs="Times New Roman"/>
              </w:rPr>
            </w:pPr>
            <w:r>
              <w:rPr>
                <w:rFonts w:hint="eastAsia" w:ascii="Times New Roman" w:hAnsi="Times New Roman" w:eastAsia="仿宋_GB2312" w:cs="Times New Roman"/>
              </w:rPr>
              <w:t>保障我院日常业务顺利进行，实现工作高效规范开展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保障日常办公人员数量</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保障日常办公人员数量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278人</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保障日常运转率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保障日常运转率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资金用款及时性</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资金用款及时性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资金成本</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保障机关正常运转率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保障机关正常运转率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干警满意度</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2.2021年省级基层公检法司转移支付资金绩效目标表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Times New Roman" w:hAnsi="Times New Roman" w:eastAsia="仿宋_GB2312" w:cs="Times New Roman"/>
              </w:rPr>
              <w:t>满足审判工作需要，做到专款专用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数量指标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业务装备购置验收合格率</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业务装备购置验收合格率</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≥90%</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成本指标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资金成本</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资金成本</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2.3万元</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时效指标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资金下拨及时性</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资金下拨及时性</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及时</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业务保障能力</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提升法院业务保障能力</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有效提升</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干警满意度</w:t>
            </w:r>
          </w:p>
        </w:tc>
        <w:tc>
          <w:tcPr>
            <w:tcW w:w="3402"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干警满意度</w:t>
            </w:r>
          </w:p>
        </w:tc>
        <w:tc>
          <w:tcPr>
            <w:tcW w:w="1843"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≥90%</w:t>
            </w:r>
          </w:p>
        </w:tc>
        <w:tc>
          <w:tcPr>
            <w:tcW w:w="2155"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工作安排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.2021年中央政法纪检监察转移支付资金绩效目标表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rPr>
              <w:t>满足审判工作需要，做到专款专用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业务装备购置验收合格率</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业务装备购置验收合格率</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资金结转及时性</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资金结转及时性</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0.6万元</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法院公信力</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办案工作经费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保障审判业务顺利进行，实现执行工作高效规范开展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提升诉讼服务质量</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提升诉讼服务质量</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500万元</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法院公信力</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偿还政府隐性债务经费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038"/>
        <w:gridCol w:w="2215"/>
        <w:gridCol w:w="3738"/>
        <w:gridCol w:w="1507"/>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按计划偿还并缓解2022年政府隐性债务，保证偿债及时性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03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1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738"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07"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偿债数量完成率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实际偿还债务的金额与应偿还债务金额的比例</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偿债质量达标率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偿债质量达标的数量与应偿债数量的比值。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偿债及时率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按照计划时间偿还债务金额与应偿还债务金额的比值。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pP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成本控制率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实际偿债金额与项目预算金额的比值。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法院偿债信用提升率</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法院偿债信用提升率</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038"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21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偿债对象满意度</w:t>
            </w:r>
          </w:p>
        </w:tc>
        <w:tc>
          <w:tcPr>
            <w:tcW w:w="373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对偿还债务满意的对象数量占全部偿债对象总数的比值。</w:t>
            </w:r>
          </w:p>
        </w:tc>
        <w:tc>
          <w:tcPr>
            <w:tcW w:w="1507"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28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.法院建设补助资金[省级]绩效目标表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1.补助办案业务经费，满足审判及执行工作所需开支</w:t>
            </w:r>
          </w:p>
          <w:p>
            <w:pPr>
              <w:pStyle w:val="14"/>
              <w:spacing w:line="440" w:lineRule="exact"/>
              <w:rPr>
                <w:rFonts w:ascii="Times New Roman" w:hAnsi="Times New Roman" w:eastAsia="仿宋_GB2312" w:cs="Times New Roman"/>
              </w:rPr>
            </w:pPr>
            <w:r>
              <w:rPr>
                <w:rFonts w:hint="eastAsia" w:ascii="Times New Roman" w:hAnsi="Times New Roman" w:eastAsia="仿宋_GB2312" w:cs="Times New Roman"/>
                <w:kern w:val="2"/>
                <w:szCs w:val="22"/>
                <w:lang w:eastAsia="zh-CN"/>
              </w:rPr>
              <w:t>2.购置执法执勤车辆及多功能打印机设备，保障外出审判执行业务顺利进行，提高日常工作效率。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2个</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业务装备购置项目验收合格率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通过验收业务装备购置项目数量占业务购置项目的比例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业务装备采购及时性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及时采购业务装备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下达资金总额</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法院建设补助资金经费总额</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150万元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业务保障能力提升情况</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提升保障法院业务保障能力提升情况</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提升法院公信力</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问卷调查</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1.支付办理各类案件所需的经费开支，严格执行国家规定的办案经费开支范围</w:t>
            </w:r>
          </w:p>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2.业务装备经费用于庭审网络直播扩容，促进审判工作的公正、公开、现代化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w:t>
            </w:r>
          </w:p>
        </w:tc>
        <w:tc>
          <w:tcPr>
            <w:tcW w:w="215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业务装备顺畅运行率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业务装备顺畅运行的次数与使用次数的比例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业务装备采购及时性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及时采购业务装备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84万元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诉讼服务质量较去年提升的比例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对业务装备使用效果满意的人数占抽查到干警的比例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对诉讼服务质量占抽查总人数的比例</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.机关修缮</w:t>
      </w:r>
      <w:r>
        <w:rPr>
          <w:rFonts w:hint="eastAsia" w:ascii="Times New Roman" w:hAnsi="Times New Roman" w:eastAsia="仿宋_GB2312" w:cs="Times New Roman"/>
          <w:sz w:val="28"/>
        </w:rPr>
        <w:t>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jc w:val="left"/>
              <w:rPr>
                <w:rFonts w:ascii="Times New Roman" w:hAnsi="Times New Roman" w:eastAsia="仿宋_GB2312" w:cs="Times New Roman"/>
              </w:rPr>
            </w:pPr>
            <w:r>
              <w:rPr>
                <w:rFonts w:hint="eastAsia" w:ascii="Times New Roman" w:hAnsi="Times New Roman" w:eastAsia="仿宋_GB2312" w:cs="Times New Roman"/>
              </w:rPr>
              <w:t>通过修缮我院基础设施建设，加强法院文化建设，凝聚法治精神力量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工程修缮覆盖率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工程修缮覆盖率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修缮项目合格率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修缮项目合格率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修缮及时率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修缮及时率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230万元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社会影响力</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社会影响力</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440" w:lineRule="exact"/>
              <w:jc w:val="center"/>
              <w:rPr>
                <w:rFonts w:ascii="Times New Roman" w:hAnsi="Times New Roman" w:eastAsia="仿宋_GB2312" w:cs="Times New Roman"/>
                <w:lang w:eastAsia="uk-UA"/>
              </w:rPr>
            </w:pPr>
            <w:r>
              <w:rPr>
                <w:rFonts w:hint="eastAsia" w:ascii="Times New Roman" w:hAnsi="Times New Roman" w:eastAsia="仿宋_GB2312" w:cs="Times New Roma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干警满意度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.聘任制司法辅助人员</w:t>
      </w:r>
      <w:r>
        <w:rPr>
          <w:rFonts w:hint="eastAsia" w:ascii="Times New Roman" w:hAnsi="Times New Roman" w:eastAsia="仿宋_GB2312" w:cs="Times New Roman"/>
          <w:sz w:val="28"/>
        </w:rPr>
        <w:t>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612"/>
        <w:gridCol w:w="2410"/>
        <w:gridCol w:w="3260"/>
        <w:gridCol w:w="993"/>
        <w:gridCol w:w="3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exact"/>
              <w:jc w:val="left"/>
              <w:rPr>
                <w:rFonts w:ascii="Times New Roman" w:hAnsi="Times New Roman" w:eastAsia="仿宋_GB2312" w:cs="Times New Roman"/>
              </w:rPr>
            </w:pPr>
            <w:r>
              <w:rPr>
                <w:rFonts w:hint="eastAsia" w:ascii="Times New Roman" w:hAnsi="Times New Roman" w:eastAsia="仿宋_GB2312" w:cs="Times New Roman"/>
              </w:rPr>
              <w:t>每月及时支付聘任制司法辅助人员及保险费用，为解决好每一位司法辅助人员的待遇问题做好充分保障。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612"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410"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60"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993"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378" w:type="dxa"/>
            <w:shd w:val="clear" w:color="auto" w:fill="auto"/>
            <w:vAlign w:val="center"/>
          </w:tcPr>
          <w:p>
            <w:pPr>
              <w:spacing w:line="2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经费发放人数</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按照聘任制司法辅助人员发放经费的人数</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120人</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经费发放金额达标率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实际发放聘任制司法辅助人员条件人数占应发放人数的比例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质量指标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经费发放人员合格率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实际发放经费金额占应发放经费总额的比例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经费发放及时率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按时发放经费次数占全年发放经费次数的比例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廊坊市广阳区人民法院《关于招录4名聘任制司法辅助人员的请示》广法发[2019]30号等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成本控制率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实际发放聘任制司法辅助人员经费金额占预算金额的比例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案件矛盾化解提升率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案件矛盾化解提升情况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执行标的到位率提升率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执行标的到位率提升情况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经济效益指标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案件审结率提升率</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案件审结率提升情况</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有效提升</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法官满意度</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对辅助人员工作满意的法官占所有法官人数的比例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问卷调差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jc w:val="center"/>
              <w:rPr>
                <w:rFonts w:ascii="Times New Roman" w:hAnsi="Times New Roman" w:eastAsia="仿宋_GB2312" w:cs="Times New Roman"/>
              </w:rPr>
            </w:pPr>
          </w:p>
        </w:tc>
        <w:tc>
          <w:tcPr>
            <w:tcW w:w="1612" w:type="dxa"/>
            <w:shd w:val="clear" w:color="auto" w:fill="auto"/>
            <w:vAlign w:val="center"/>
          </w:tcPr>
          <w:p>
            <w:pPr>
              <w:pStyle w:val="14"/>
              <w:spacing w:line="2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241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260"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对案件审理过程中法院人员工作满意的人数占抽查到服务对象总人数的比例</w:t>
            </w:r>
          </w:p>
        </w:tc>
        <w:tc>
          <w:tcPr>
            <w:tcW w:w="993"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3378" w:type="dxa"/>
            <w:shd w:val="clear" w:color="auto" w:fill="auto"/>
            <w:vAlign w:val="center"/>
          </w:tcPr>
          <w:p>
            <w:pPr>
              <w:pStyle w:val="14"/>
              <w:spacing w:line="2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问卷调差</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w:t>
      </w:r>
      <w:r>
        <w:rPr>
          <w:rFonts w:ascii="Times New Roman" w:hAnsi="Times New Roman" w:eastAsia="仿宋_GB2312" w:cs="Times New Roman"/>
          <w:sz w:val="28"/>
        </w:rPr>
        <w:t>.政法纪检监察转移支付资金[中央]绩效目标表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1.支付办理各类案件所需的经费开支，严格执行国家规定的经费开支范围</w:t>
            </w:r>
          </w:p>
          <w:p>
            <w:pPr>
              <w:pStyle w:val="14"/>
              <w:spacing w:line="440" w:lineRule="exact"/>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2.我院计划升级改造监控系统设备，为管理和值班人员有效掌握信息，有效提升法院庭审规范水平。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w:t>
            </w:r>
          </w:p>
        </w:tc>
        <w:tc>
          <w:tcPr>
            <w:tcW w:w="2155" w:type="dxa"/>
            <w:shd w:val="clear" w:color="auto" w:fill="auto"/>
            <w:vAlign w:val="center"/>
          </w:tcPr>
          <w:p>
            <w:pPr>
              <w:spacing w:line="440" w:lineRule="exact"/>
              <w:jc w:val="center"/>
              <w:rPr>
                <w:rFonts w:ascii="Times New Roman" w:hAnsi="Times New Roman" w:eastAsia="仿宋_GB2312" w:cs="Times New Roman"/>
              </w:rPr>
            </w:pPr>
            <w:r>
              <w:rPr>
                <w:rFonts w:hint="eastAsia"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保障办理案件数量</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≥20000件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庭审直播平台顺畅运行率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庭审直播平台顺畅运行率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资金下拨及时性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上级资金下拨及时性</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业务装备购置及时性</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及时购置业务装备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190万元</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诉讼服务质量提升率</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工作实际</w:t>
            </w:r>
          </w:p>
          <w:p>
            <w:pPr>
              <w:pStyle w:val="14"/>
              <w:spacing w:line="440" w:lineRule="exact"/>
              <w:rPr>
                <w:rFonts w:ascii="Times New Roman" w:hAnsi="Times New Roman" w:eastAsia="仿宋_GB2312" w:cs="Times New Roman"/>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工作人员对庭审直播平台效果满意度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rPr>
            </w:pPr>
            <w:r>
              <w:rPr>
                <w:rFonts w:hint="eastAsia" w:ascii="Times New Roman" w:hAnsi="Times New Roman" w:eastAsia="仿宋_GB2312" w:cs="Times New Roman"/>
                <w:kern w:val="2"/>
                <w:szCs w:val="22"/>
                <w:lang w:eastAsia="zh-CN"/>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ascii="Times New Roman" w:hAnsi="Times New Roman" w:eastAsia="仿宋_GB2312" w:cs="Times New Roman"/>
              </w:rPr>
            </w:pPr>
          </w:p>
        </w:tc>
        <w:tc>
          <w:tcPr>
            <w:tcW w:w="2268"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服务对象对诉讼服务质量满意度</w:t>
            </w:r>
          </w:p>
        </w:tc>
        <w:tc>
          <w:tcPr>
            <w:tcW w:w="1843"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spacing w:line="44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问询</w:t>
            </w:r>
          </w:p>
        </w:tc>
      </w:tr>
    </w:tbl>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p>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296.12</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center"/>
        <w:outlineLvl w:val="1"/>
        <w:rPr>
          <w:rFonts w:ascii="方正小标宋_GBK" w:eastAsia="方正小标宋_GBK" w:cs="Times New Roman"/>
          <w:sz w:val="32"/>
        </w:rPr>
      </w:pPr>
      <w:r>
        <w:rPr>
          <w:rFonts w:hint="eastAsia"/>
        </w:rPr>
        <w:t>[368001]</w:t>
      </w:r>
      <w:r>
        <w:t>廊坊市</w:t>
      </w:r>
      <w:r>
        <w:rPr>
          <w:rFonts w:hint="eastAsia"/>
        </w:rPr>
        <w:t>广阳区人民法院</w:t>
      </w:r>
      <w:r>
        <w:t xml:space="preserve">                                                                                               单位：万元</w:t>
      </w:r>
    </w:p>
    <w:tbl>
      <w:tblPr>
        <w:tblStyle w:val="8"/>
        <w:tblW w:w="503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755"/>
        <w:gridCol w:w="991"/>
        <w:gridCol w:w="851"/>
        <w:gridCol w:w="991"/>
        <w:gridCol w:w="417"/>
        <w:gridCol w:w="951"/>
        <w:gridCol w:w="1031"/>
        <w:gridCol w:w="994"/>
        <w:gridCol w:w="851"/>
        <w:gridCol w:w="1134"/>
        <w:gridCol w:w="851"/>
        <w:gridCol w:w="708"/>
        <w:gridCol w:w="851"/>
        <w:gridCol w:w="991"/>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8" w:type="pct"/>
            <w:gridSpan w:val="2"/>
            <w:vAlign w:val="center"/>
          </w:tcPr>
          <w:p>
            <w:pPr>
              <w:pStyle w:val="12"/>
              <w:spacing w:line="240" w:lineRule="exact"/>
            </w:pPr>
            <w:r>
              <w:t>政府采购项目来源</w:t>
            </w:r>
          </w:p>
        </w:tc>
        <w:tc>
          <w:tcPr>
            <w:tcW w:w="347" w:type="pct"/>
            <w:vMerge w:val="restart"/>
            <w:vAlign w:val="center"/>
          </w:tcPr>
          <w:p>
            <w:pPr>
              <w:pStyle w:val="12"/>
              <w:spacing w:line="240" w:lineRule="exact"/>
            </w:pPr>
            <w:r>
              <w:t>采购物品名称</w:t>
            </w:r>
          </w:p>
        </w:tc>
        <w:tc>
          <w:tcPr>
            <w:tcW w:w="298" w:type="pct"/>
            <w:vMerge w:val="restart"/>
            <w:vAlign w:val="center"/>
          </w:tcPr>
          <w:p>
            <w:pPr>
              <w:pStyle w:val="12"/>
              <w:spacing w:line="240" w:lineRule="exact"/>
            </w:pPr>
            <w:r>
              <w:t>政府采购目录序号</w:t>
            </w:r>
          </w:p>
        </w:tc>
        <w:tc>
          <w:tcPr>
            <w:tcW w:w="347" w:type="pct"/>
            <w:vMerge w:val="restart"/>
            <w:vAlign w:val="center"/>
          </w:tcPr>
          <w:p>
            <w:pPr>
              <w:pStyle w:val="12"/>
              <w:spacing w:line="240" w:lineRule="exact"/>
            </w:pPr>
            <w:r>
              <w:t>计量  单位</w:t>
            </w:r>
          </w:p>
        </w:tc>
        <w:tc>
          <w:tcPr>
            <w:tcW w:w="146" w:type="pct"/>
            <w:vMerge w:val="restart"/>
            <w:vAlign w:val="center"/>
          </w:tcPr>
          <w:p>
            <w:pPr>
              <w:pStyle w:val="12"/>
              <w:spacing w:line="240" w:lineRule="exact"/>
            </w:pPr>
            <w:r>
              <w:t>数量</w:t>
            </w:r>
          </w:p>
        </w:tc>
        <w:tc>
          <w:tcPr>
            <w:tcW w:w="333" w:type="pct"/>
            <w:vMerge w:val="restart"/>
            <w:vAlign w:val="center"/>
          </w:tcPr>
          <w:p>
            <w:pPr>
              <w:pStyle w:val="12"/>
              <w:spacing w:line="240" w:lineRule="exact"/>
            </w:pPr>
            <w:r>
              <w:t>单价</w:t>
            </w:r>
          </w:p>
        </w:tc>
        <w:tc>
          <w:tcPr>
            <w:tcW w:w="2595" w:type="pct"/>
            <w:gridSpan w:val="8"/>
            <w:vAlign w:val="center"/>
          </w:tcPr>
          <w:p>
            <w:pPr>
              <w:pStyle w:val="12"/>
              <w:spacing w:line="240" w:lineRule="exact"/>
            </w:pPr>
            <w:r>
              <w:t>政府采购金额（当年</w:t>
            </w:r>
            <w:r>
              <w:rPr>
                <w:rFonts w:hint="eastAsia"/>
                <w:lang w:eastAsia="zh-CN"/>
              </w:rPr>
              <w:t>单位</w:t>
            </w:r>
            <w:r>
              <w:t>预算安排资金）</w:t>
            </w:r>
          </w:p>
        </w:tc>
        <w:tc>
          <w:tcPr>
            <w:tcW w:w="377" w:type="pct"/>
            <w:vMerge w:val="restart"/>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 w:type="pct"/>
            <w:vAlign w:val="center"/>
          </w:tcPr>
          <w:p>
            <w:pPr>
              <w:pStyle w:val="12"/>
              <w:spacing w:line="240" w:lineRule="exact"/>
            </w:pPr>
            <w:r>
              <w:t>项目名称</w:t>
            </w:r>
          </w:p>
        </w:tc>
        <w:tc>
          <w:tcPr>
            <w:tcW w:w="263" w:type="pct"/>
            <w:vAlign w:val="center"/>
          </w:tcPr>
          <w:p>
            <w:pPr>
              <w:pStyle w:val="12"/>
              <w:spacing w:line="240" w:lineRule="exact"/>
            </w:pPr>
            <w:r>
              <w:t>预算    资金</w:t>
            </w:r>
          </w:p>
        </w:tc>
        <w:tc>
          <w:tcPr>
            <w:tcW w:w="347" w:type="pct"/>
            <w:vMerge w:val="continue"/>
          </w:tcPr>
          <w:p>
            <w:pPr>
              <w:spacing w:line="240" w:lineRule="exact"/>
            </w:pPr>
          </w:p>
        </w:tc>
        <w:tc>
          <w:tcPr>
            <w:tcW w:w="298" w:type="pct"/>
            <w:vMerge w:val="continue"/>
          </w:tcPr>
          <w:p>
            <w:pPr>
              <w:spacing w:line="240" w:lineRule="exact"/>
            </w:pPr>
          </w:p>
        </w:tc>
        <w:tc>
          <w:tcPr>
            <w:tcW w:w="347" w:type="pct"/>
            <w:vMerge w:val="continue"/>
          </w:tcPr>
          <w:p>
            <w:pPr>
              <w:spacing w:line="240" w:lineRule="exact"/>
            </w:pPr>
          </w:p>
        </w:tc>
        <w:tc>
          <w:tcPr>
            <w:tcW w:w="146" w:type="pct"/>
            <w:vMerge w:val="continue"/>
          </w:tcPr>
          <w:p>
            <w:pPr>
              <w:spacing w:line="240" w:lineRule="exact"/>
            </w:pPr>
          </w:p>
        </w:tc>
        <w:tc>
          <w:tcPr>
            <w:tcW w:w="333" w:type="pct"/>
            <w:vMerge w:val="continue"/>
          </w:tcPr>
          <w:p>
            <w:pPr>
              <w:spacing w:line="240" w:lineRule="exact"/>
            </w:pPr>
          </w:p>
        </w:tc>
        <w:tc>
          <w:tcPr>
            <w:tcW w:w="361" w:type="pct"/>
            <w:vAlign w:val="center"/>
          </w:tcPr>
          <w:p>
            <w:pPr>
              <w:pStyle w:val="12"/>
              <w:spacing w:line="240" w:lineRule="exact"/>
            </w:pPr>
            <w:r>
              <w:t>合计</w:t>
            </w:r>
          </w:p>
        </w:tc>
        <w:tc>
          <w:tcPr>
            <w:tcW w:w="348" w:type="pct"/>
            <w:vAlign w:val="center"/>
          </w:tcPr>
          <w:p>
            <w:pPr>
              <w:pStyle w:val="12"/>
              <w:spacing w:line="240" w:lineRule="exact"/>
            </w:pPr>
            <w:r>
              <w:t>一般公共预算拨款</w:t>
            </w:r>
          </w:p>
        </w:tc>
        <w:tc>
          <w:tcPr>
            <w:tcW w:w="298" w:type="pct"/>
            <w:vAlign w:val="center"/>
          </w:tcPr>
          <w:p>
            <w:pPr>
              <w:pStyle w:val="12"/>
              <w:spacing w:line="240" w:lineRule="exact"/>
            </w:pPr>
            <w:r>
              <w:t>基金预算拨款</w:t>
            </w:r>
          </w:p>
        </w:tc>
        <w:tc>
          <w:tcPr>
            <w:tcW w:w="397" w:type="pct"/>
            <w:vAlign w:val="center"/>
          </w:tcPr>
          <w:p>
            <w:pPr>
              <w:pStyle w:val="12"/>
              <w:spacing w:line="240" w:lineRule="exact"/>
            </w:pPr>
            <w:r>
              <w:t>国有资本经营预算拨款</w:t>
            </w:r>
          </w:p>
        </w:tc>
        <w:tc>
          <w:tcPr>
            <w:tcW w:w="298" w:type="pct"/>
            <w:vAlign w:val="center"/>
          </w:tcPr>
          <w:p>
            <w:pPr>
              <w:pStyle w:val="12"/>
              <w:spacing w:line="240" w:lineRule="exact"/>
            </w:pPr>
            <w:r>
              <w:t>财政专户核拨</w:t>
            </w:r>
          </w:p>
        </w:tc>
        <w:tc>
          <w:tcPr>
            <w:tcW w:w="248" w:type="pct"/>
            <w:vAlign w:val="center"/>
          </w:tcPr>
          <w:p>
            <w:pPr>
              <w:pStyle w:val="12"/>
              <w:spacing w:line="240" w:lineRule="exact"/>
            </w:pPr>
            <w:r>
              <w:t>单位    资金</w:t>
            </w:r>
          </w:p>
        </w:tc>
        <w:tc>
          <w:tcPr>
            <w:tcW w:w="298" w:type="pct"/>
            <w:vAlign w:val="center"/>
          </w:tcPr>
          <w:p>
            <w:pPr>
              <w:pStyle w:val="12"/>
              <w:spacing w:line="240" w:lineRule="exact"/>
            </w:pPr>
            <w:r>
              <w:t>财政拨    款结转</w:t>
            </w:r>
          </w:p>
        </w:tc>
        <w:tc>
          <w:tcPr>
            <w:tcW w:w="347" w:type="pct"/>
            <w:vAlign w:val="center"/>
          </w:tcPr>
          <w:p>
            <w:pPr>
              <w:pStyle w:val="12"/>
              <w:spacing w:line="240" w:lineRule="exact"/>
            </w:pPr>
            <w:r>
              <w:t>非财政    拨款结    转结余</w:t>
            </w:r>
          </w:p>
        </w:tc>
        <w:tc>
          <w:tcPr>
            <w:tcW w:w="377" w:type="pct"/>
            <w:vMerge w:val="continue"/>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4" w:hRule="atLeast"/>
          <w:jc w:val="center"/>
        </w:trPr>
        <w:tc>
          <w:tcPr>
            <w:tcW w:w="294" w:type="pct"/>
            <w:vAlign w:val="center"/>
          </w:tcPr>
          <w:p>
            <w:pPr>
              <w:pStyle w:val="16"/>
              <w:spacing w:line="240" w:lineRule="exact"/>
            </w:pPr>
            <w:r>
              <w:t>合  计</w:t>
            </w:r>
          </w:p>
        </w:tc>
        <w:tc>
          <w:tcPr>
            <w:tcW w:w="263" w:type="pct"/>
            <w:vAlign w:val="center"/>
          </w:tcPr>
          <w:p>
            <w:pPr>
              <w:pStyle w:val="17"/>
              <w:spacing w:line="240" w:lineRule="exact"/>
            </w:pPr>
          </w:p>
        </w:tc>
        <w:tc>
          <w:tcPr>
            <w:tcW w:w="347" w:type="pct"/>
            <w:vAlign w:val="center"/>
          </w:tcPr>
          <w:p>
            <w:pPr>
              <w:pStyle w:val="18"/>
              <w:spacing w:line="240" w:lineRule="exact"/>
            </w:pPr>
          </w:p>
        </w:tc>
        <w:tc>
          <w:tcPr>
            <w:tcW w:w="298" w:type="pct"/>
            <w:vAlign w:val="center"/>
          </w:tcPr>
          <w:p>
            <w:pPr>
              <w:pStyle w:val="18"/>
              <w:spacing w:line="240" w:lineRule="exact"/>
            </w:pPr>
          </w:p>
        </w:tc>
        <w:tc>
          <w:tcPr>
            <w:tcW w:w="347" w:type="pct"/>
            <w:vAlign w:val="center"/>
          </w:tcPr>
          <w:p>
            <w:pPr>
              <w:pStyle w:val="16"/>
              <w:spacing w:line="240" w:lineRule="exact"/>
            </w:pPr>
          </w:p>
        </w:tc>
        <w:tc>
          <w:tcPr>
            <w:tcW w:w="146" w:type="pct"/>
            <w:vAlign w:val="center"/>
          </w:tcPr>
          <w:p>
            <w:pPr>
              <w:pStyle w:val="17"/>
              <w:spacing w:line="240" w:lineRule="exact"/>
            </w:pPr>
          </w:p>
        </w:tc>
        <w:tc>
          <w:tcPr>
            <w:tcW w:w="333" w:type="pct"/>
            <w:vAlign w:val="center"/>
          </w:tcPr>
          <w:p>
            <w:pPr>
              <w:pStyle w:val="17"/>
              <w:spacing w:line="240" w:lineRule="exact"/>
            </w:pPr>
          </w:p>
        </w:tc>
        <w:tc>
          <w:tcPr>
            <w:tcW w:w="361" w:type="pct"/>
            <w:vAlign w:val="center"/>
          </w:tcPr>
          <w:p>
            <w:pPr>
              <w:pStyle w:val="17"/>
              <w:spacing w:line="240" w:lineRule="exact"/>
            </w:pPr>
            <w:r>
              <w:t>296.12</w:t>
            </w:r>
          </w:p>
        </w:tc>
        <w:tc>
          <w:tcPr>
            <w:tcW w:w="348" w:type="pct"/>
            <w:vAlign w:val="center"/>
          </w:tcPr>
          <w:p>
            <w:pPr>
              <w:pStyle w:val="17"/>
              <w:spacing w:line="240" w:lineRule="exact"/>
            </w:pPr>
            <w:r>
              <w:t>296.12</w:t>
            </w:r>
          </w:p>
        </w:tc>
        <w:tc>
          <w:tcPr>
            <w:tcW w:w="298" w:type="pct"/>
            <w:vAlign w:val="center"/>
          </w:tcPr>
          <w:p>
            <w:pPr>
              <w:pStyle w:val="17"/>
              <w:spacing w:line="240" w:lineRule="exact"/>
            </w:pPr>
          </w:p>
        </w:tc>
        <w:tc>
          <w:tcPr>
            <w:tcW w:w="397" w:type="pct"/>
            <w:vAlign w:val="center"/>
          </w:tcPr>
          <w:p>
            <w:pPr>
              <w:pStyle w:val="17"/>
              <w:spacing w:line="240" w:lineRule="exact"/>
            </w:pPr>
          </w:p>
        </w:tc>
        <w:tc>
          <w:tcPr>
            <w:tcW w:w="298" w:type="pct"/>
            <w:vAlign w:val="center"/>
          </w:tcPr>
          <w:p>
            <w:pPr>
              <w:pStyle w:val="17"/>
              <w:spacing w:line="240" w:lineRule="exact"/>
            </w:pPr>
          </w:p>
        </w:tc>
        <w:tc>
          <w:tcPr>
            <w:tcW w:w="248" w:type="pct"/>
            <w:vAlign w:val="center"/>
          </w:tcPr>
          <w:p>
            <w:pPr>
              <w:pStyle w:val="17"/>
              <w:spacing w:line="240" w:lineRule="exact"/>
            </w:pPr>
          </w:p>
        </w:tc>
        <w:tc>
          <w:tcPr>
            <w:tcW w:w="298" w:type="pct"/>
            <w:vAlign w:val="center"/>
          </w:tcPr>
          <w:p>
            <w:pPr>
              <w:pStyle w:val="17"/>
              <w:spacing w:line="240" w:lineRule="exact"/>
            </w:pPr>
          </w:p>
        </w:tc>
        <w:tc>
          <w:tcPr>
            <w:tcW w:w="347" w:type="pct"/>
            <w:vAlign w:val="center"/>
          </w:tcPr>
          <w:p>
            <w:pPr>
              <w:pStyle w:val="17"/>
              <w:spacing w:line="240" w:lineRule="exact"/>
            </w:pPr>
          </w:p>
        </w:tc>
        <w:tc>
          <w:tcPr>
            <w:tcW w:w="377" w:type="pct"/>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rPr>
                <w:lang w:eastAsia="zh-CN"/>
              </w:rPr>
            </w:pPr>
            <w:r>
              <w:t>法院建设补助资金[省级]</w:t>
            </w:r>
          </w:p>
        </w:tc>
        <w:tc>
          <w:tcPr>
            <w:tcW w:w="263" w:type="pct"/>
            <w:vAlign w:val="center"/>
          </w:tcPr>
          <w:p>
            <w:pPr>
              <w:pStyle w:val="13"/>
              <w:spacing w:line="240" w:lineRule="exact"/>
            </w:pPr>
            <w:r>
              <w:t>150.00</w:t>
            </w:r>
          </w:p>
        </w:tc>
        <w:tc>
          <w:tcPr>
            <w:tcW w:w="347" w:type="pct"/>
            <w:vAlign w:val="center"/>
          </w:tcPr>
          <w:p>
            <w:pPr>
              <w:pStyle w:val="14"/>
              <w:spacing w:line="240" w:lineRule="exact"/>
            </w:pPr>
            <w:r>
              <w:t>其他打印设备</w:t>
            </w:r>
          </w:p>
        </w:tc>
        <w:tc>
          <w:tcPr>
            <w:tcW w:w="298" w:type="pct"/>
            <w:vAlign w:val="center"/>
          </w:tcPr>
          <w:p>
            <w:pPr>
              <w:pStyle w:val="14"/>
              <w:spacing w:line="240" w:lineRule="exact"/>
            </w:pPr>
            <w:r>
              <w:t>A0201060199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70.00</w:t>
            </w:r>
          </w:p>
        </w:tc>
        <w:tc>
          <w:tcPr>
            <w:tcW w:w="361" w:type="pct"/>
            <w:vAlign w:val="center"/>
          </w:tcPr>
          <w:p>
            <w:pPr>
              <w:pStyle w:val="13"/>
              <w:spacing w:line="240" w:lineRule="exact"/>
            </w:pPr>
            <w:r>
              <w:t>70.00</w:t>
            </w:r>
          </w:p>
        </w:tc>
        <w:tc>
          <w:tcPr>
            <w:tcW w:w="348" w:type="pct"/>
            <w:vAlign w:val="center"/>
          </w:tcPr>
          <w:p>
            <w:pPr>
              <w:pStyle w:val="13"/>
              <w:spacing w:line="240" w:lineRule="exact"/>
            </w:pPr>
            <w:r>
              <w:t>70.00</w:t>
            </w:r>
          </w:p>
        </w:tc>
        <w:tc>
          <w:tcPr>
            <w:tcW w:w="298" w:type="pct"/>
            <w:vAlign w:val="center"/>
          </w:tcPr>
          <w:p>
            <w:pPr>
              <w:pStyle w:val="17"/>
              <w:spacing w:line="240" w:lineRule="exact"/>
            </w:pPr>
          </w:p>
        </w:tc>
        <w:tc>
          <w:tcPr>
            <w:tcW w:w="397" w:type="pct"/>
            <w:vAlign w:val="center"/>
          </w:tcPr>
          <w:p>
            <w:pPr>
              <w:pStyle w:val="17"/>
              <w:spacing w:line="240" w:lineRule="exact"/>
            </w:pPr>
          </w:p>
        </w:tc>
        <w:tc>
          <w:tcPr>
            <w:tcW w:w="298" w:type="pct"/>
            <w:vAlign w:val="center"/>
          </w:tcPr>
          <w:p>
            <w:pPr>
              <w:pStyle w:val="17"/>
              <w:spacing w:line="240" w:lineRule="exact"/>
            </w:pPr>
          </w:p>
        </w:tc>
        <w:tc>
          <w:tcPr>
            <w:tcW w:w="248" w:type="pct"/>
            <w:vAlign w:val="center"/>
          </w:tcPr>
          <w:p>
            <w:pPr>
              <w:pStyle w:val="17"/>
              <w:spacing w:line="240" w:lineRule="exact"/>
            </w:pPr>
          </w:p>
        </w:tc>
        <w:tc>
          <w:tcPr>
            <w:tcW w:w="298" w:type="pct"/>
            <w:vAlign w:val="center"/>
          </w:tcPr>
          <w:p>
            <w:pPr>
              <w:pStyle w:val="17"/>
              <w:spacing w:line="240" w:lineRule="exact"/>
            </w:pPr>
          </w:p>
        </w:tc>
        <w:tc>
          <w:tcPr>
            <w:tcW w:w="347" w:type="pct"/>
            <w:vAlign w:val="center"/>
          </w:tcPr>
          <w:p>
            <w:pPr>
              <w:pStyle w:val="17"/>
              <w:spacing w:line="240" w:lineRule="exact"/>
            </w:pPr>
          </w:p>
        </w:tc>
        <w:tc>
          <w:tcPr>
            <w:tcW w:w="377" w:type="pct"/>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法院建设补助资金[省级]</w:t>
            </w:r>
          </w:p>
        </w:tc>
        <w:tc>
          <w:tcPr>
            <w:tcW w:w="263" w:type="pct"/>
            <w:vAlign w:val="center"/>
          </w:tcPr>
          <w:p>
            <w:pPr>
              <w:pStyle w:val="13"/>
              <w:spacing w:line="240" w:lineRule="exact"/>
            </w:pPr>
            <w:r>
              <w:t>150.00</w:t>
            </w:r>
          </w:p>
        </w:tc>
        <w:tc>
          <w:tcPr>
            <w:tcW w:w="347" w:type="pct"/>
            <w:vAlign w:val="center"/>
          </w:tcPr>
          <w:p>
            <w:pPr>
              <w:pStyle w:val="14"/>
              <w:spacing w:line="240" w:lineRule="exact"/>
            </w:pPr>
            <w:r>
              <w:t>其他办公设备</w:t>
            </w:r>
          </w:p>
        </w:tc>
        <w:tc>
          <w:tcPr>
            <w:tcW w:w="298" w:type="pct"/>
            <w:vAlign w:val="center"/>
          </w:tcPr>
          <w:p>
            <w:pPr>
              <w:pStyle w:val="14"/>
              <w:spacing w:line="240" w:lineRule="exact"/>
            </w:pPr>
            <w:r>
              <w:t>A020299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30.00</w:t>
            </w:r>
          </w:p>
        </w:tc>
        <w:tc>
          <w:tcPr>
            <w:tcW w:w="361" w:type="pct"/>
            <w:vAlign w:val="center"/>
          </w:tcPr>
          <w:p>
            <w:pPr>
              <w:pStyle w:val="13"/>
              <w:spacing w:line="240" w:lineRule="exact"/>
            </w:pPr>
            <w:r>
              <w:t>30.00</w:t>
            </w:r>
          </w:p>
        </w:tc>
        <w:tc>
          <w:tcPr>
            <w:tcW w:w="348" w:type="pct"/>
            <w:vAlign w:val="center"/>
          </w:tcPr>
          <w:p>
            <w:pPr>
              <w:pStyle w:val="13"/>
              <w:spacing w:line="240" w:lineRule="exact"/>
            </w:pPr>
            <w:r>
              <w:t>30.00</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机关修缮经费</w:t>
            </w:r>
          </w:p>
        </w:tc>
        <w:tc>
          <w:tcPr>
            <w:tcW w:w="263" w:type="pct"/>
            <w:vAlign w:val="center"/>
          </w:tcPr>
          <w:p>
            <w:pPr>
              <w:pStyle w:val="13"/>
              <w:spacing w:line="240" w:lineRule="exact"/>
            </w:pPr>
            <w:r>
              <w:t>230.00</w:t>
            </w:r>
          </w:p>
        </w:tc>
        <w:tc>
          <w:tcPr>
            <w:tcW w:w="347" w:type="pct"/>
            <w:vAlign w:val="center"/>
          </w:tcPr>
          <w:p>
            <w:pPr>
              <w:pStyle w:val="14"/>
              <w:spacing w:line="240" w:lineRule="exact"/>
            </w:pPr>
            <w:r>
              <w:t>房屋修缮</w:t>
            </w:r>
          </w:p>
        </w:tc>
        <w:tc>
          <w:tcPr>
            <w:tcW w:w="298" w:type="pct"/>
            <w:vAlign w:val="center"/>
          </w:tcPr>
          <w:p>
            <w:pPr>
              <w:pStyle w:val="14"/>
              <w:spacing w:line="240" w:lineRule="exact"/>
            </w:pPr>
            <w:r>
              <w:t>B0801</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119.32</w:t>
            </w:r>
          </w:p>
        </w:tc>
        <w:tc>
          <w:tcPr>
            <w:tcW w:w="361" w:type="pct"/>
            <w:vAlign w:val="center"/>
          </w:tcPr>
          <w:p>
            <w:pPr>
              <w:pStyle w:val="13"/>
              <w:spacing w:line="240" w:lineRule="exact"/>
            </w:pPr>
            <w:r>
              <w:t>119.32</w:t>
            </w:r>
          </w:p>
        </w:tc>
        <w:tc>
          <w:tcPr>
            <w:tcW w:w="348" w:type="pct"/>
            <w:vAlign w:val="center"/>
          </w:tcPr>
          <w:p>
            <w:pPr>
              <w:pStyle w:val="13"/>
              <w:spacing w:line="240" w:lineRule="exact"/>
            </w:pPr>
            <w:r>
              <w:t>119.32</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 w:type="pct"/>
            <w:vAlign w:val="center"/>
          </w:tcPr>
          <w:p>
            <w:pPr>
              <w:pStyle w:val="14"/>
              <w:spacing w:line="240" w:lineRule="exact"/>
            </w:pPr>
            <w:r>
              <w:t>机关修缮经费</w:t>
            </w:r>
          </w:p>
        </w:tc>
        <w:tc>
          <w:tcPr>
            <w:tcW w:w="263" w:type="pct"/>
            <w:vAlign w:val="center"/>
          </w:tcPr>
          <w:p>
            <w:pPr>
              <w:pStyle w:val="13"/>
              <w:spacing w:line="240" w:lineRule="exact"/>
            </w:pPr>
            <w:r>
              <w:t>230.00</w:t>
            </w:r>
          </w:p>
        </w:tc>
        <w:tc>
          <w:tcPr>
            <w:tcW w:w="347" w:type="pct"/>
            <w:vAlign w:val="center"/>
          </w:tcPr>
          <w:p>
            <w:pPr>
              <w:pStyle w:val="14"/>
              <w:spacing w:line="240" w:lineRule="exact"/>
            </w:pPr>
            <w:r>
              <w:t>其他建筑工程</w:t>
            </w:r>
          </w:p>
        </w:tc>
        <w:tc>
          <w:tcPr>
            <w:tcW w:w="298" w:type="pct"/>
            <w:vAlign w:val="center"/>
          </w:tcPr>
          <w:p>
            <w:pPr>
              <w:pStyle w:val="14"/>
              <w:spacing w:line="240" w:lineRule="exact"/>
            </w:pPr>
            <w:r>
              <w:t>B99</w:t>
            </w:r>
          </w:p>
        </w:tc>
        <w:tc>
          <w:tcPr>
            <w:tcW w:w="347" w:type="pct"/>
            <w:vAlign w:val="center"/>
          </w:tcPr>
          <w:p>
            <w:pPr>
              <w:pStyle w:val="15"/>
              <w:spacing w:line="240" w:lineRule="exact"/>
            </w:pPr>
            <w:r>
              <w:t>个</w:t>
            </w:r>
          </w:p>
        </w:tc>
        <w:tc>
          <w:tcPr>
            <w:tcW w:w="146" w:type="pct"/>
            <w:vAlign w:val="center"/>
          </w:tcPr>
          <w:p>
            <w:pPr>
              <w:pStyle w:val="13"/>
              <w:spacing w:line="240" w:lineRule="exact"/>
            </w:pPr>
            <w:r>
              <w:t>1</w:t>
            </w:r>
          </w:p>
        </w:tc>
        <w:tc>
          <w:tcPr>
            <w:tcW w:w="333" w:type="pct"/>
            <w:vAlign w:val="center"/>
          </w:tcPr>
          <w:p>
            <w:pPr>
              <w:pStyle w:val="13"/>
              <w:spacing w:line="240" w:lineRule="exact"/>
            </w:pPr>
            <w:r>
              <w:t>76.80</w:t>
            </w:r>
          </w:p>
        </w:tc>
        <w:tc>
          <w:tcPr>
            <w:tcW w:w="361" w:type="pct"/>
            <w:vAlign w:val="center"/>
          </w:tcPr>
          <w:p>
            <w:pPr>
              <w:pStyle w:val="13"/>
              <w:spacing w:line="240" w:lineRule="exact"/>
            </w:pPr>
            <w:r>
              <w:t>76.80</w:t>
            </w:r>
          </w:p>
        </w:tc>
        <w:tc>
          <w:tcPr>
            <w:tcW w:w="348" w:type="pct"/>
            <w:vAlign w:val="center"/>
          </w:tcPr>
          <w:p>
            <w:pPr>
              <w:pStyle w:val="13"/>
              <w:spacing w:line="240" w:lineRule="exact"/>
            </w:pPr>
            <w:r>
              <w:t>76.80</w:t>
            </w:r>
          </w:p>
        </w:tc>
        <w:tc>
          <w:tcPr>
            <w:tcW w:w="298" w:type="pct"/>
            <w:vAlign w:val="center"/>
          </w:tcPr>
          <w:p>
            <w:pPr>
              <w:pStyle w:val="13"/>
              <w:spacing w:line="240" w:lineRule="exact"/>
            </w:pPr>
          </w:p>
        </w:tc>
        <w:tc>
          <w:tcPr>
            <w:tcW w:w="397" w:type="pct"/>
            <w:vAlign w:val="center"/>
          </w:tcPr>
          <w:p>
            <w:pPr>
              <w:pStyle w:val="13"/>
              <w:spacing w:line="240" w:lineRule="exact"/>
            </w:pPr>
          </w:p>
        </w:tc>
        <w:tc>
          <w:tcPr>
            <w:tcW w:w="298" w:type="pct"/>
            <w:vAlign w:val="center"/>
          </w:tcPr>
          <w:p>
            <w:pPr>
              <w:pStyle w:val="13"/>
              <w:spacing w:line="240" w:lineRule="exact"/>
            </w:pPr>
          </w:p>
        </w:tc>
        <w:tc>
          <w:tcPr>
            <w:tcW w:w="248" w:type="pct"/>
            <w:vAlign w:val="center"/>
          </w:tcPr>
          <w:p>
            <w:pPr>
              <w:pStyle w:val="13"/>
              <w:spacing w:line="240" w:lineRule="exact"/>
            </w:pPr>
          </w:p>
        </w:tc>
        <w:tc>
          <w:tcPr>
            <w:tcW w:w="298" w:type="pct"/>
            <w:vAlign w:val="center"/>
          </w:tcPr>
          <w:p>
            <w:pPr>
              <w:pStyle w:val="13"/>
              <w:spacing w:line="240" w:lineRule="exact"/>
            </w:pPr>
          </w:p>
        </w:tc>
        <w:tc>
          <w:tcPr>
            <w:tcW w:w="347" w:type="pct"/>
            <w:vAlign w:val="center"/>
          </w:tcPr>
          <w:p>
            <w:pPr>
              <w:pStyle w:val="13"/>
              <w:spacing w:line="240" w:lineRule="exact"/>
            </w:pPr>
          </w:p>
        </w:tc>
        <w:tc>
          <w:tcPr>
            <w:tcW w:w="377" w:type="pct"/>
            <w:vAlign w:val="center"/>
          </w:tcPr>
          <w:p>
            <w:pPr>
              <w:pStyle w:val="13"/>
              <w:spacing w:line="240" w:lineRule="exact"/>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广阳区人民法院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950.948532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总额为100万元，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w:t>
      </w:r>
      <w:r>
        <w:rPr>
          <w:rFonts w:ascii="Times New Roman" w:hAnsi="Times New Roman" w:eastAsia="仿宋_GB2312" w:cs="Times New Roman"/>
          <w:sz w:val="32"/>
          <w:szCs w:val="32"/>
        </w:rPr>
        <w:t>设备、打印设备等，已列入政府采购预算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sz w:val="32"/>
                <w:szCs w:val="32"/>
              </w:rPr>
              <w:t>人民法院</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广阳区人民法院</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950.948532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140.766072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603.388492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w:t>
            </w:r>
          </w:p>
        </w:tc>
        <w:tc>
          <w:tcPr>
            <w:tcW w:w="510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206.793968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E4FD0A-FBFF-4F12-9D09-39CE9E788E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9FE19EB5-F5EE-40B3-BB2D-E817EAB364A3}"/>
  </w:font>
  <w:font w:name="仿宋_GB2312">
    <w:panose1 w:val="02010609030101010101"/>
    <w:charset w:val="86"/>
    <w:family w:val="modern"/>
    <w:pitch w:val="default"/>
    <w:sig w:usb0="00000001" w:usb1="080E0000" w:usb2="00000000" w:usb3="00000000" w:csb0="00040000" w:csb1="00000000"/>
    <w:embedRegular r:id="rId3" w:fontKey="{6D1E2164-D4EC-4F2F-AC4E-17356314413E}"/>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4FE3"/>
    <w:rsid w:val="000F6018"/>
    <w:rsid w:val="001E6890"/>
    <w:rsid w:val="0025632D"/>
    <w:rsid w:val="003059E0"/>
    <w:rsid w:val="00345781"/>
    <w:rsid w:val="003870F0"/>
    <w:rsid w:val="004A54AA"/>
    <w:rsid w:val="005A59A3"/>
    <w:rsid w:val="008779B5"/>
    <w:rsid w:val="00926AF8"/>
    <w:rsid w:val="00944233"/>
    <w:rsid w:val="009E5148"/>
    <w:rsid w:val="00B40732"/>
    <w:rsid w:val="00B80935"/>
    <w:rsid w:val="00D20A3E"/>
    <w:rsid w:val="00D347CC"/>
    <w:rsid w:val="00D7142E"/>
    <w:rsid w:val="00DC72B4"/>
    <w:rsid w:val="00EC698A"/>
    <w:rsid w:val="00F9559E"/>
    <w:rsid w:val="094C49B6"/>
    <w:rsid w:val="096E0595"/>
    <w:rsid w:val="0CB10458"/>
    <w:rsid w:val="0CEC1180"/>
    <w:rsid w:val="1B235F7A"/>
    <w:rsid w:val="229D65D4"/>
    <w:rsid w:val="22DC30C2"/>
    <w:rsid w:val="2B541722"/>
    <w:rsid w:val="2C2C6D82"/>
    <w:rsid w:val="2EBD72F5"/>
    <w:rsid w:val="352C64C1"/>
    <w:rsid w:val="3603734E"/>
    <w:rsid w:val="3BF409B2"/>
    <w:rsid w:val="3DD47A7A"/>
    <w:rsid w:val="422F6EA6"/>
    <w:rsid w:val="43AB3164"/>
    <w:rsid w:val="45A95588"/>
    <w:rsid w:val="4AB05CD7"/>
    <w:rsid w:val="4CB859A0"/>
    <w:rsid w:val="52CF5973"/>
    <w:rsid w:val="52F125F0"/>
    <w:rsid w:val="57990655"/>
    <w:rsid w:val="62B52DB6"/>
    <w:rsid w:val="6C965E71"/>
    <w:rsid w:val="73693C55"/>
    <w:rsid w:val="7BC41DA7"/>
    <w:rsid w:val="7C09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1603</Words>
  <Characters>9143</Characters>
  <Lines>76</Lines>
  <Paragraphs>21</Paragraphs>
  <TotalTime>35</TotalTime>
  <ScaleCrop>false</ScaleCrop>
  <LinksUpToDate>false</LinksUpToDate>
  <CharactersWithSpaces>10725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2023-08-01T06:51:54Z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5465395901AC4B2B8E4CAE3C4D7BEE4C</vt:lpwstr>
  </property>
</Properties>
</file>