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十一中</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highlight w:val="none"/>
              </w:rPr>
            </w:pPr>
            <w:r>
              <w:rPr>
                <w:rFonts w:ascii="Times New Roman" w:hAnsi="Times New Roman" w:eastAsia="仿宋_GB2312" w:cs="Times New Roman"/>
                <w:b/>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pPr>
              <w:rPr>
                <w:highlight w:val="none"/>
              </w:rPr>
            </w:pPr>
          </w:p>
        </w:tc>
        <w:tc>
          <w:tcPr>
            <w:tcW w:w="1559" w:type="dxa"/>
            <w:vMerge w:val="continue"/>
            <w:shd w:val="clear" w:color="auto" w:fill="auto"/>
            <w:vAlign w:val="center"/>
          </w:tcPr>
          <w:p>
            <w:pPr>
              <w:rPr>
                <w:highlight w:val="none"/>
              </w:rPr>
            </w:pPr>
          </w:p>
        </w:tc>
        <w:tc>
          <w:tcPr>
            <w:tcW w:w="1417" w:type="dxa"/>
            <w:vMerge w:val="continue"/>
            <w:shd w:val="clear" w:color="auto" w:fill="auto"/>
            <w:vAlign w:val="center"/>
          </w:tcPr>
          <w:p>
            <w:pPr>
              <w:rPr>
                <w:highlight w:val="none"/>
              </w:rPr>
            </w:pPr>
          </w:p>
        </w:tc>
        <w:tc>
          <w:tcPr>
            <w:tcW w:w="3448" w:type="dxa"/>
            <w:vMerge w:val="continue"/>
            <w:shd w:val="clear" w:color="auto" w:fill="auto"/>
            <w:vAlign w:val="center"/>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highlight w:val="none"/>
              </w:rPr>
            </w:pPr>
            <w:r>
              <w:rPr>
                <w:rFonts w:hint="eastAsia" w:ascii="Times New Roman" w:hAnsi="Times New Roman" w:eastAsia="仿宋_GB2312" w:cs="Times New Roman"/>
                <w:b/>
                <w:highlight w:val="none"/>
              </w:rPr>
              <w:t>廊坊市第十一中学</w:t>
            </w:r>
          </w:p>
        </w:tc>
        <w:tc>
          <w:tcPr>
            <w:tcW w:w="1559" w:type="dxa"/>
            <w:shd w:val="clear" w:color="auto" w:fill="auto"/>
            <w:vAlign w:val="center"/>
          </w:tcPr>
          <w:p>
            <w:pPr>
              <w:spacing w:line="584" w:lineRule="exact"/>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highlight w:val="none"/>
                <w:lang w:val="en-US" w:eastAsia="zh-CN"/>
              </w:rPr>
            </w:pPr>
            <w:r>
              <w:rPr>
                <w:rFonts w:hint="eastAsia" w:ascii="Times New Roman" w:hAnsi="Times New Roman" w:eastAsia="仿宋_GB2312" w:cs="Times New Roman"/>
                <w:b/>
                <w:highlight w:val="none"/>
                <w:lang w:val="en-US" w:eastAsia="zh-CN"/>
              </w:rPr>
              <w:t>科级以下</w:t>
            </w:r>
          </w:p>
        </w:tc>
        <w:tc>
          <w:tcPr>
            <w:tcW w:w="3448" w:type="dxa"/>
            <w:shd w:val="clear" w:color="auto" w:fill="auto"/>
            <w:vAlign w:val="center"/>
          </w:tcPr>
          <w:p>
            <w:pPr>
              <w:spacing w:line="584" w:lineRule="exact"/>
              <w:jc w:val="center"/>
              <w:rPr>
                <w:rFonts w:ascii="仿宋_GB2312" w:hAnsi="Times New Roman" w:eastAsia="仿宋_GB2312" w:cs="Times New Roman"/>
                <w:b/>
                <w:szCs w:val="21"/>
                <w:highlight w:val="none"/>
              </w:rPr>
            </w:pPr>
            <w:r>
              <w:rPr>
                <w:rFonts w:hint="eastAsia" w:ascii="仿宋_GB2312" w:hAnsi="Times New Roman" w:eastAsia="仿宋_GB2312" w:cs="Times New Roman"/>
                <w:b/>
                <w:szCs w:val="21"/>
                <w:highlight w:val="none"/>
              </w:rPr>
              <w:t>财政性资金基本保证（全额事业）</w:t>
            </w:r>
          </w:p>
        </w:tc>
      </w:tr>
    </w:tbl>
    <w:p>
      <w:pPr>
        <w:spacing w:line="584"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w:t>
      </w:r>
      <w:r>
        <w:rPr>
          <w:rFonts w:hint="eastAsia" w:ascii="Times New Roman" w:hAnsi="Times New Roman" w:eastAsia="黑体" w:cs="Times New Roman"/>
          <w:sz w:val="32"/>
          <w:szCs w:val="32"/>
          <w:highlight w:val="none"/>
          <w:lang w:eastAsia="zh-CN"/>
        </w:rPr>
        <w:t>单位</w:t>
      </w:r>
      <w:r>
        <w:rPr>
          <w:rFonts w:ascii="Times New Roman" w:hAnsi="Times New Roman" w:eastAsia="黑体" w:cs="Times New Roman"/>
          <w:sz w:val="32"/>
          <w:szCs w:val="32"/>
          <w:highlight w:val="none"/>
        </w:rPr>
        <w:t>预算安排的总体情况</w:t>
      </w:r>
    </w:p>
    <w:p>
      <w:pPr>
        <w:spacing w:line="58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按照预算管理有关规定，目前我</w:t>
      </w:r>
      <w:r>
        <w:rPr>
          <w:rFonts w:hint="eastAsia" w:ascii="Times New Roman" w:hAnsi="Times New Roman" w:eastAsia="仿宋_GB2312" w:cs="Times New Roman"/>
          <w:sz w:val="32"/>
          <w:szCs w:val="32"/>
          <w:highlight w:val="none"/>
        </w:rPr>
        <w:t>区</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预算的编制实行综合预算制度，即全部收入和支出都反映在预算中。廊坊市第</w:t>
      </w:r>
      <w:r>
        <w:rPr>
          <w:rFonts w:hint="eastAsia" w:ascii="Times New Roman" w:hAnsi="Times New Roman" w:eastAsia="仿宋_GB2312" w:cs="Times New Roman"/>
          <w:sz w:val="32"/>
          <w:szCs w:val="32"/>
          <w:highlight w:val="none"/>
        </w:rPr>
        <w:t>十一中</w:t>
      </w:r>
      <w:r>
        <w:rPr>
          <w:rFonts w:ascii="Times New Roman" w:hAnsi="Times New Roman" w:eastAsia="仿宋_GB2312" w:cs="Times New Roman"/>
          <w:sz w:val="32"/>
          <w:szCs w:val="32"/>
          <w:highlight w:val="none"/>
        </w:rPr>
        <w:t>学的收支包含在</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预算中。</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1、收入说明</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反映本</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当年全部收入。20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2年预算收入</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万元，其中：一般公共预算收入</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万元，基金预算收入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万元，财政专户核拨收入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万元，其他来源收入</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上年结转</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2、支出说明</w:t>
      </w:r>
    </w:p>
    <w:p>
      <w:pPr>
        <w:spacing w:line="584"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sz w:val="32"/>
          <w:szCs w:val="32"/>
          <w:highlight w:val="none"/>
        </w:rPr>
        <w:t>收支预算总表支出栏、基本支出表、项目支出表按经济分类和支出功能分类科目编制，反映廊坊市第</w:t>
      </w:r>
      <w:r>
        <w:rPr>
          <w:rFonts w:hint="eastAsia" w:ascii="Times New Roman" w:hAnsi="Times New Roman" w:eastAsia="仿宋_GB2312" w:cs="Times New Roman"/>
          <w:sz w:val="32"/>
          <w:szCs w:val="32"/>
          <w:highlight w:val="none"/>
        </w:rPr>
        <w:t>十一中</w:t>
      </w:r>
      <w:r>
        <w:rPr>
          <w:rFonts w:ascii="Times New Roman" w:hAnsi="Times New Roman" w:eastAsia="仿宋_GB2312" w:cs="Times New Roman"/>
          <w:sz w:val="32"/>
          <w:szCs w:val="32"/>
          <w:highlight w:val="none"/>
        </w:rPr>
        <w:t>学</w:t>
      </w:r>
      <w:r>
        <w:rPr>
          <w:rFonts w:hint="eastAsia" w:ascii="Times New Roman" w:hAnsi="Times New Roman" w:eastAsia="仿宋_GB2312" w:cs="Times New Roman"/>
          <w:sz w:val="32"/>
          <w:szCs w:val="32"/>
          <w:highlight w:val="none"/>
        </w:rPr>
        <w:t>2022</w:t>
      </w:r>
      <w:r>
        <w:rPr>
          <w:rFonts w:ascii="Times New Roman" w:hAnsi="Times New Roman" w:eastAsia="仿宋_GB2312" w:cs="Times New Roman"/>
          <w:sz w:val="32"/>
          <w:szCs w:val="32"/>
          <w:highlight w:val="none"/>
        </w:rPr>
        <w:t>年度</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预算中支出预算的总体情况。20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2年支出预算</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rPr>
        <w:t>2258.38</w:t>
      </w:r>
      <w:r>
        <w:rPr>
          <w:rFonts w:ascii="Times New Roman" w:hAnsi="Times New Roman" w:eastAsia="仿宋_GB2312" w:cs="Times New Roman"/>
          <w:sz w:val="32"/>
          <w:szCs w:val="32"/>
          <w:highlight w:val="none"/>
        </w:rPr>
        <w:t>万元，包括人员类项目经费</w:t>
      </w:r>
      <w:r>
        <w:rPr>
          <w:rFonts w:hint="eastAsia" w:ascii="Times New Roman" w:hAnsi="Times New Roman" w:eastAsia="仿宋_GB2312" w:cs="Times New Roman"/>
          <w:sz w:val="32"/>
          <w:szCs w:val="32"/>
          <w:highlight w:val="none"/>
        </w:rPr>
        <w:t>2229.28</w:t>
      </w:r>
      <w:r>
        <w:rPr>
          <w:rFonts w:ascii="Times New Roman" w:hAnsi="Times New Roman" w:eastAsia="仿宋_GB2312" w:cs="Times New Roman"/>
          <w:sz w:val="32"/>
          <w:szCs w:val="32"/>
          <w:highlight w:val="none"/>
        </w:rPr>
        <w:t>万元和</w:t>
      </w:r>
      <w:r>
        <w:rPr>
          <w:rFonts w:hint="eastAsia" w:ascii="Times New Roman" w:hAnsi="Times New Roman" w:eastAsia="仿宋_GB2312" w:cs="Times New Roman"/>
          <w:sz w:val="32"/>
          <w:szCs w:val="32"/>
          <w:highlight w:val="none"/>
        </w:rPr>
        <w:t>运转类</w:t>
      </w:r>
      <w:r>
        <w:rPr>
          <w:rFonts w:ascii="Times New Roman" w:hAnsi="Times New Roman" w:eastAsia="仿宋_GB2312" w:cs="Times New Roman"/>
          <w:sz w:val="32"/>
          <w:szCs w:val="32"/>
          <w:highlight w:val="none"/>
        </w:rPr>
        <w:t>公用项目经费</w:t>
      </w:r>
      <w:r>
        <w:rPr>
          <w:rFonts w:hint="eastAsia" w:ascii="Times New Roman" w:hAnsi="Times New Roman" w:eastAsia="仿宋_GB2312" w:cs="Times New Roman"/>
          <w:sz w:val="32"/>
          <w:szCs w:val="32"/>
          <w:highlight w:val="none"/>
        </w:rPr>
        <w:t>29.1</w:t>
      </w:r>
      <w:r>
        <w:rPr>
          <w:rFonts w:ascii="Times New Roman" w:hAnsi="Times New Roman" w:eastAsia="仿宋_GB2312" w:cs="Times New Roman"/>
          <w:sz w:val="32"/>
          <w:szCs w:val="32"/>
          <w:highlight w:val="none"/>
        </w:rPr>
        <w:t>万元；运转类其他及特定目标类项目支出</w:t>
      </w:r>
      <w:r>
        <w:rPr>
          <w:rFonts w:hint="eastAsia" w:ascii="Times New Roman" w:hAnsi="Times New Roman" w:eastAsia="仿宋_GB2312" w:cs="Times New Roman"/>
          <w:sz w:val="32"/>
          <w:szCs w:val="32"/>
          <w:highlight w:val="none"/>
          <w:lang w:val="en-US" w:eastAsia="zh-CN"/>
        </w:rPr>
        <w:t>1017.14</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为</w:t>
      </w:r>
      <w:r>
        <w:rPr>
          <w:rFonts w:ascii="Times New Roman" w:hAnsi="Times New Roman" w:eastAsia="仿宋_GB2312" w:cs="Times New Roman"/>
          <w:sz w:val="32"/>
          <w:szCs w:val="32"/>
          <w:highlight w:val="none"/>
        </w:rPr>
        <w:t>本级支出，主要为</w:t>
      </w:r>
      <w:r>
        <w:rPr>
          <w:rFonts w:hint="eastAsia" w:ascii="Times New Roman" w:hAnsi="Times New Roman" w:eastAsia="仿宋_GB2312" w:cs="Times New Roman"/>
          <w:sz w:val="32"/>
          <w:szCs w:val="32"/>
          <w:highlight w:val="none"/>
        </w:rPr>
        <w:t>城乡义务教育生均公</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用经费</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教育经费、合同制教师人员经费、建设智慧校园资金等</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lang w:val="en-US" w:eastAsia="zh-CN"/>
        </w:rPr>
        <w:t>3275.52</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w:t>
      </w:r>
      <w:r>
        <w:rPr>
          <w:rFonts w:hint="eastAsia"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val="en-US" w:eastAsia="zh-CN"/>
        </w:rPr>
        <w:t>848.86</w:t>
      </w:r>
      <w:r>
        <w:rPr>
          <w:rFonts w:ascii="Times New Roman" w:hAnsi="Times New Roman" w:eastAsia="仿宋_GB2312" w:cs="Times New Roman"/>
          <w:sz w:val="32"/>
          <w:szCs w:val="32"/>
          <w:highlight w:val="none"/>
        </w:rPr>
        <w:t>万元，其中：基本支出减</w:t>
      </w:r>
      <w:r>
        <w:rPr>
          <w:rFonts w:ascii="Times New Roman" w:hAnsi="Times New Roman" w:eastAsia="仿宋_GB2312" w:cs="Times New Roman"/>
          <w:sz w:val="32"/>
          <w:szCs w:val="32"/>
        </w:rPr>
        <w:t>少</w:t>
      </w:r>
      <w:r>
        <w:rPr>
          <w:rFonts w:hint="eastAsia" w:ascii="Times New Roman" w:hAnsi="Times New Roman" w:eastAsia="仿宋_GB2312" w:cs="Times New Roman"/>
          <w:sz w:val="32"/>
          <w:szCs w:val="32"/>
        </w:rPr>
        <w:t>168.28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1017.14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教育经费、合同制教师人员经费、建设智慧校园</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widowControl w:val="0"/>
        <w:kinsoku/>
        <w:wordWrap/>
        <w:overflowPunct/>
        <w:topLinePunct w:val="0"/>
        <w:autoSpaceDE/>
        <w:autoSpaceDN/>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topLinePunct w:val="0"/>
        <w:autoSpaceDE/>
        <w:autoSpaceDN/>
        <w:bidi w:val="0"/>
        <w:spacing w:line="584" w:lineRule="exact"/>
        <w:ind w:firstLine="480" w:firstLineChars="15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topLinePunct w:val="0"/>
        <w:autoSpaceDE/>
        <w:autoSpaceDN/>
        <w:bidi w:val="0"/>
        <w:spacing w:line="584" w:lineRule="exact"/>
        <w:ind w:firstLine="480" w:firstLineChars="15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kinsoku/>
        <w:wordWrap/>
        <w:topLinePunct w:val="0"/>
        <w:autoSpaceDE/>
        <w:autoSpaceDN/>
        <w:bidi w:val="0"/>
        <w:spacing w:line="584" w:lineRule="exact"/>
        <w:ind w:firstLine="320" w:firstLineChars="1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topLinePunct w:val="0"/>
        <w:autoSpaceDE/>
        <w:autoSpaceDN/>
        <w:bidi w:val="0"/>
        <w:spacing w:line="584" w:lineRule="exact"/>
        <w:ind w:firstLine="320" w:firstLineChars="1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topLinePunct w:val="0"/>
        <w:autoSpaceDE/>
        <w:autoSpaceDN/>
        <w:bidi w:val="0"/>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keepNext w:val="0"/>
        <w:keepLines w:val="0"/>
        <w:pageBreakBefore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单位</w:t>
            </w:r>
            <w:r>
              <w:rPr>
                <w:rFonts w:hint="eastAsia" w:asciiTheme="minorEastAsia" w:hAnsiTheme="minorEastAsia" w:eastAsiaTheme="minorEastAsia"/>
                <w:szCs w:val="21"/>
              </w:rPr>
              <w:t>产出</w:t>
            </w: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初中生毕业生合格率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初中生毕业生合格率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质量</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时效</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及时</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成本</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单位</w:t>
            </w:r>
            <w:r>
              <w:rPr>
                <w:rFonts w:hint="eastAsia" w:asciiTheme="minorEastAsia" w:hAnsiTheme="minorEastAsia" w:eastAsiaTheme="minorEastAsia"/>
                <w:szCs w:val="21"/>
              </w:rPr>
              <w:t>效果</w:t>
            </w: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社会</w:t>
            </w:r>
          </w:p>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效益</w:t>
            </w:r>
          </w:p>
        </w:tc>
        <w:tc>
          <w:tcPr>
            <w:tcW w:w="2126"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单位</w:t>
            </w:r>
            <w:r>
              <w:rPr>
                <w:rFonts w:hint="eastAsia" w:ascii="仿宋_GB2312" w:hAnsi="仿宋_GB2312" w:eastAsia="仿宋_GB2312" w:cs="仿宋_GB2312"/>
                <w:color w:val="00000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pPr>
              <w:rPr>
                <w:rFonts w:hint="eastAsia" w:asciiTheme="minorEastAsia" w:hAnsiTheme="minorEastAsia" w:eastAsiaTheme="minorEastAsia"/>
                <w:szCs w:val="21"/>
              </w:rPr>
            </w:pPr>
          </w:p>
        </w:tc>
        <w:tc>
          <w:tcPr>
            <w:tcW w:w="992" w:type="dxa"/>
            <w:tcBorders>
              <w:tl2br w:val="nil"/>
              <w:tr2bl w:val="nil"/>
            </w:tcBorders>
            <w:vAlign w:val="center"/>
          </w:tcPr>
          <w:p>
            <w:pPr>
              <w:widowControl/>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581"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350" w:type="dxa"/>
            <w:tcBorders>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仿宋_GB2312" w:hAnsi="仿宋_GB2312" w:eastAsia="仿宋_GB2312" w:cs="仿宋_GB2312"/>
          <w:sz w:val="32"/>
          <w:szCs w:val="32"/>
        </w:rPr>
      </w:pPr>
    </w:p>
    <w:p>
      <w:pPr>
        <w:spacing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1.廊坊市第十一中学对2022年在校学生1013人，按照义务教育生均公用经费标准申请财政预算资金，通过合理、合规使用资金达到保证学校正常运转。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1"/>
        <w:gridCol w:w="1337"/>
        <w:gridCol w:w="1446"/>
        <w:gridCol w:w="2014"/>
        <w:gridCol w:w="824"/>
        <w:gridCol w:w="2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5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1910人</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1135元/人</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2.城乡义务教育生均公用经费[省级]绩效目标表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5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1.促进义务教育发展及学生素质提高。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8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8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1910人</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1135元</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冀财教【2021】61号文件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8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43"/>
        <w:gridCol w:w="1638"/>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48人工资福利</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6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4.建设智慧校园资金绩效目标表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1.我校需要建设智慧校园工</w:t>
            </w:r>
          </w:p>
          <w:p>
            <w:pPr>
              <w:pStyle w:val="14"/>
              <w:rPr>
                <w:rFonts w:hint="eastAsia" w:ascii="仿宋_GB2312" w:hAnsi="仿宋_GB2312" w:eastAsia="仿宋_GB2312" w:cs="仿宋_GB2312"/>
              </w:rPr>
            </w:pPr>
            <w:r>
              <w:rPr>
                <w:rFonts w:hint="eastAsia" w:ascii="仿宋_GB2312" w:hAnsi="仿宋_GB2312" w:eastAsia="仿宋_GB2312" w:cs="仿宋_GB2312"/>
              </w:rPr>
              <w:t>程。智慧校园工程含：数学基础、应用系统、场景终端、无线覆盖、校</w:t>
            </w:r>
          </w:p>
          <w:p>
            <w:pPr>
              <w:pStyle w:val="14"/>
              <w:rPr>
                <w:rFonts w:hint="eastAsia" w:ascii="仿宋_GB2312" w:hAnsi="仿宋_GB2312" w:eastAsia="仿宋_GB2312" w:cs="仿宋_GB2312"/>
              </w:rPr>
            </w:pPr>
            <w:r>
              <w:rPr>
                <w:rFonts w:hint="eastAsia" w:ascii="仿宋_GB2312" w:hAnsi="仿宋_GB2312" w:eastAsia="仿宋_GB2312" w:cs="仿宋_GB2312"/>
              </w:rPr>
              <w:t>园监控等设备设施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≤234万元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7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84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1315"/>
        <w:gridCol w:w="1743"/>
        <w:gridCol w:w="2974"/>
        <w:gridCol w:w="1287"/>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9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≤108.89万元</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Merge w:val="continue"/>
            <w:vAlign w:val="center"/>
          </w:tcPr>
          <w:p>
            <w:pPr>
              <w:rPr>
                <w:rFonts w:hint="eastAsia" w:ascii="仿宋_GB2312" w:hAnsi="仿宋_GB2312" w:eastAsia="仿宋_GB2312" w:cs="仿宋_GB2312"/>
              </w:rPr>
            </w:pPr>
          </w:p>
        </w:tc>
        <w:tc>
          <w:tcPr>
            <w:tcW w:w="13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b/>
          <w:bCs/>
          <w:sz w:val="32"/>
        </w:rPr>
      </w:pPr>
      <w:bookmarkStart w:id="6" w:name="_Toc64920910"/>
      <w:r>
        <w:rPr>
          <w:rFonts w:hint="eastAsia" w:ascii="方正小标宋_GBK" w:eastAsia="方正小标宋_GBK" w:cs="Times New Roman"/>
          <w:b/>
          <w:bCs/>
          <w:sz w:val="32"/>
          <w:lang w:eastAsia="zh-CN"/>
        </w:rPr>
        <w:t>单位</w:t>
      </w:r>
      <w:r>
        <w:rPr>
          <w:rFonts w:hint="eastAsia" w:ascii="方正小标宋_GBK" w:eastAsia="方正小标宋_GBK" w:cs="Times New Roman"/>
          <w:b/>
          <w:bCs/>
          <w:sz w:val="32"/>
        </w:rPr>
        <w:t>政府采购预算</w:t>
      </w:r>
      <w:bookmarkEnd w:id="6"/>
    </w:p>
    <w:p>
      <w:pPr>
        <w:outlineLvl w:val="1"/>
        <w:rPr>
          <w:rFonts w:ascii="方正小标宋_GBK" w:eastAsia="方正小标宋_GBK" w:cs="Times New Roman"/>
          <w:sz w:val="32"/>
        </w:rPr>
      </w:pPr>
      <w:r>
        <w:rPr>
          <w:rFonts w:hint="eastAsia"/>
        </w:rPr>
        <w:t>廊坊市第十一中学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十一中</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406.86916万元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十一中</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：廊坊市第</w:t>
            </w:r>
            <w:r>
              <w:rPr>
                <w:rFonts w:hint="eastAsia" w:ascii="Times New Roman" w:hAnsi="Times New Roman" w:eastAsia="仿宋_GB2312" w:cs="Times New Roman"/>
                <w:kern w:val="0"/>
                <w:sz w:val="22"/>
                <w:lang w:val="en-US" w:eastAsia="zh-CN"/>
              </w:rPr>
              <w:t>十一中</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406.86916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140.2633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140.2633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266.60586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F8D759-65B3-44CC-B986-FFA7730B4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468738E3-DD80-4CA9-A997-CB8FEF9BC995}"/>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04B39340-F464-4964-BFB2-45F6FA27AFCB}"/>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1091"/>
    <w:rsid w:val="00070736"/>
    <w:rsid w:val="000F51F8"/>
    <w:rsid w:val="000F6018"/>
    <w:rsid w:val="001527C0"/>
    <w:rsid w:val="001A1291"/>
    <w:rsid w:val="00216DA5"/>
    <w:rsid w:val="0024206B"/>
    <w:rsid w:val="0025632D"/>
    <w:rsid w:val="00262708"/>
    <w:rsid w:val="00270695"/>
    <w:rsid w:val="00284AA6"/>
    <w:rsid w:val="002E2F87"/>
    <w:rsid w:val="002F36BA"/>
    <w:rsid w:val="003059E0"/>
    <w:rsid w:val="003156F9"/>
    <w:rsid w:val="0033484C"/>
    <w:rsid w:val="00336AFA"/>
    <w:rsid w:val="003809B0"/>
    <w:rsid w:val="003C0A5C"/>
    <w:rsid w:val="00437FE7"/>
    <w:rsid w:val="0044245E"/>
    <w:rsid w:val="00472D17"/>
    <w:rsid w:val="00485298"/>
    <w:rsid w:val="004A44DA"/>
    <w:rsid w:val="004A54AA"/>
    <w:rsid w:val="004C0827"/>
    <w:rsid w:val="00501DC2"/>
    <w:rsid w:val="00510B54"/>
    <w:rsid w:val="00523A3A"/>
    <w:rsid w:val="00583342"/>
    <w:rsid w:val="005A7B81"/>
    <w:rsid w:val="00613847"/>
    <w:rsid w:val="0065176D"/>
    <w:rsid w:val="00660389"/>
    <w:rsid w:val="0068194A"/>
    <w:rsid w:val="00692AEE"/>
    <w:rsid w:val="006B619C"/>
    <w:rsid w:val="00766767"/>
    <w:rsid w:val="007C7590"/>
    <w:rsid w:val="007C7867"/>
    <w:rsid w:val="007D521B"/>
    <w:rsid w:val="007D6A12"/>
    <w:rsid w:val="0081323A"/>
    <w:rsid w:val="00814C0C"/>
    <w:rsid w:val="00832A82"/>
    <w:rsid w:val="00832CE5"/>
    <w:rsid w:val="00843C30"/>
    <w:rsid w:val="008442D8"/>
    <w:rsid w:val="0089079C"/>
    <w:rsid w:val="00944233"/>
    <w:rsid w:val="00961F07"/>
    <w:rsid w:val="009735EC"/>
    <w:rsid w:val="009A45F5"/>
    <w:rsid w:val="009B5858"/>
    <w:rsid w:val="00A35BC4"/>
    <w:rsid w:val="00A401C9"/>
    <w:rsid w:val="00A44534"/>
    <w:rsid w:val="00A505F1"/>
    <w:rsid w:val="00A57985"/>
    <w:rsid w:val="00A6203D"/>
    <w:rsid w:val="00A760FA"/>
    <w:rsid w:val="00A90D8D"/>
    <w:rsid w:val="00AC569C"/>
    <w:rsid w:val="00B03564"/>
    <w:rsid w:val="00B40732"/>
    <w:rsid w:val="00B45ED6"/>
    <w:rsid w:val="00B474DB"/>
    <w:rsid w:val="00B80935"/>
    <w:rsid w:val="00B977F9"/>
    <w:rsid w:val="00BC0970"/>
    <w:rsid w:val="00BD4C85"/>
    <w:rsid w:val="00C24378"/>
    <w:rsid w:val="00C463C3"/>
    <w:rsid w:val="00CC2F9B"/>
    <w:rsid w:val="00D107D0"/>
    <w:rsid w:val="00D24536"/>
    <w:rsid w:val="00D33460"/>
    <w:rsid w:val="00D347CC"/>
    <w:rsid w:val="00D409D5"/>
    <w:rsid w:val="00DA729A"/>
    <w:rsid w:val="00DC72B4"/>
    <w:rsid w:val="00E4262E"/>
    <w:rsid w:val="00E63B13"/>
    <w:rsid w:val="00E72308"/>
    <w:rsid w:val="00E91492"/>
    <w:rsid w:val="00EC6D76"/>
    <w:rsid w:val="00F175C3"/>
    <w:rsid w:val="00F231BC"/>
    <w:rsid w:val="00F706FD"/>
    <w:rsid w:val="00FA5065"/>
    <w:rsid w:val="00FC2E3B"/>
    <w:rsid w:val="00FE7AFD"/>
    <w:rsid w:val="0CEC1180"/>
    <w:rsid w:val="0E36582D"/>
    <w:rsid w:val="2F9918A3"/>
    <w:rsid w:val="38A629DA"/>
    <w:rsid w:val="3D681C69"/>
    <w:rsid w:val="46C73B51"/>
    <w:rsid w:val="4F59280A"/>
    <w:rsid w:val="541D4328"/>
    <w:rsid w:val="55925BA0"/>
    <w:rsid w:val="5ACC1836"/>
    <w:rsid w:val="5E3256D2"/>
    <w:rsid w:val="639A35BA"/>
    <w:rsid w:val="69EE52AE"/>
    <w:rsid w:val="6BE6464B"/>
    <w:rsid w:val="6F4978CF"/>
    <w:rsid w:val="70E92FA2"/>
    <w:rsid w:val="717F44EB"/>
    <w:rsid w:val="73693C55"/>
    <w:rsid w:val="76102598"/>
    <w:rsid w:val="78D3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665C09-DE89-47CE-936F-E3526E2A0C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1239</Words>
  <Characters>7064</Characters>
  <Lines>58</Lines>
  <Paragraphs>16</Paragraphs>
  <TotalTime>3</TotalTime>
  <ScaleCrop>false</ScaleCrop>
  <LinksUpToDate>false</LinksUpToDate>
  <CharactersWithSpaces>8287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2023-08-01T08:45:23Z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CD7F7C41CDE44AB6ABF0FFCD1E1E8C60</vt:lpwstr>
  </property>
</Properties>
</file>