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8" w:name="_GoBack"/>
      <w:bookmarkEnd w:id="8"/>
    </w:p>
    <w:p>
      <w:pPr>
        <w:spacing w:line="584" w:lineRule="exact"/>
        <w:ind w:firstLine="880" w:firstLineChars="200"/>
        <w:jc w:val="center"/>
        <w:rPr>
          <w:rFonts w:ascii="Times New Roman" w:hAnsi="Times New Roman" w:eastAsia="仿宋_GB2312" w:cs="Times New Roman"/>
          <w:sz w:val="44"/>
          <w:szCs w:val="44"/>
        </w:rPr>
      </w:pPr>
    </w:p>
    <w:p>
      <w:pPr>
        <w:spacing w:line="579"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第十五小学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79" w:lineRule="exact"/>
        <w:ind w:firstLine="880" w:firstLineChars="200"/>
        <w:jc w:val="center"/>
        <w:rPr>
          <w:rFonts w:ascii="Times New Roman" w:hAnsi="Times New Roman" w:eastAsia="仿宋_GB2312" w:cs="Times New Roman"/>
          <w:sz w:val="44"/>
          <w:szCs w:val="44"/>
        </w:rPr>
      </w:pP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第十五小学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79"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79"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sz w:val="32"/>
          <w:szCs w:val="32"/>
        </w:rPr>
        <w:t xml:space="preserve">1. </w:t>
      </w:r>
      <w:r>
        <w:rPr>
          <w:rFonts w:hint="eastAsia" w:ascii="Times New Roman" w:hAnsi="Times New Roman" w:eastAsia="仿宋_GB2312" w:cs="Times New Roman"/>
          <w:sz w:val="32"/>
          <w:szCs w:val="32"/>
        </w:rPr>
        <w:t>全面贯彻党和国家的教育方针，实施小学义务教育；</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 大力实施素质教育，更新教育观念，提高教学水平；</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 大力抓好德育教育，培养德智体美全面发展的社会主义建设和接班人；</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 加强校园文化建设，构建良好的教育教学氛围；</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 加强安全管理，杜绝各类安全事故发生；</w:t>
      </w:r>
    </w:p>
    <w:p>
      <w:pPr>
        <w:spacing w:line="579" w:lineRule="exact"/>
        <w:ind w:firstLine="640" w:firstLineChars="200"/>
        <w:rPr>
          <w:rFonts w:ascii="仿宋_GB2312" w:hAnsi="Times New Roman" w:eastAsia="仿宋_GB2312"/>
          <w:sz w:val="32"/>
          <w:szCs w:val="32"/>
        </w:rPr>
      </w:pPr>
      <w:r>
        <w:rPr>
          <w:rFonts w:hint="eastAsia" w:ascii="Times New Roman" w:hAnsi="Times New Roman" w:eastAsia="仿宋_GB2312" w:cs="Times New Roman"/>
          <w:sz w:val="32"/>
          <w:szCs w:val="32"/>
        </w:rPr>
        <w:t>6. 完成区委、区政府及上级主管</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交办的其他事项</w:t>
      </w:r>
      <w:r>
        <w:rPr>
          <w:rFonts w:hint="eastAsia" w:ascii="仿宋_GB2312" w:hAnsi="Times New Roman" w:eastAsia="仿宋_GB2312"/>
          <w:sz w:val="32"/>
          <w:szCs w:val="32"/>
        </w:rPr>
        <w:t>。</w:t>
      </w:r>
    </w:p>
    <w:p>
      <w:pPr>
        <w:autoSpaceDE w:val="0"/>
        <w:autoSpaceDN w:val="0"/>
        <w:adjustRightInd w:val="0"/>
        <w:spacing w:line="579" w:lineRule="exact"/>
        <w:ind w:firstLine="643" w:firstLineChars="200"/>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79"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104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3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575"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79" w:lineRule="exact"/>
            </w:pPr>
          </w:p>
        </w:tc>
        <w:tc>
          <w:tcPr>
            <w:tcW w:w="1134" w:type="dxa"/>
            <w:vMerge w:val="continue"/>
            <w:shd w:val="clear" w:color="auto" w:fill="auto"/>
            <w:vAlign w:val="center"/>
          </w:tcPr>
          <w:p>
            <w:pPr>
              <w:spacing w:line="579" w:lineRule="exact"/>
            </w:pPr>
          </w:p>
        </w:tc>
        <w:tc>
          <w:tcPr>
            <w:tcW w:w="1276" w:type="dxa"/>
            <w:vMerge w:val="continue"/>
            <w:shd w:val="clear" w:color="auto" w:fill="auto"/>
            <w:vAlign w:val="center"/>
          </w:tcPr>
          <w:p>
            <w:pPr>
              <w:spacing w:line="579" w:lineRule="exact"/>
            </w:pPr>
          </w:p>
        </w:tc>
        <w:tc>
          <w:tcPr>
            <w:tcW w:w="3575" w:type="dxa"/>
            <w:vMerge w:val="continue"/>
            <w:shd w:val="clear" w:color="auto" w:fill="auto"/>
            <w:vAlign w:val="center"/>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79" w:lineRule="exact"/>
              <w:jc w:val="center"/>
              <w:rPr>
                <w:rFonts w:ascii="Times New Roman" w:hAnsi="Times New Roman" w:eastAsia="仿宋_GB2312" w:cs="Times New Roman"/>
                <w:b/>
              </w:rPr>
            </w:pPr>
            <w:r>
              <w:rPr>
                <w:rFonts w:hint="eastAsia" w:ascii="Times New Roman" w:hAnsi="Times New Roman" w:eastAsia="仿宋_GB2312" w:cs="Times New Roman"/>
                <w:b/>
              </w:rPr>
              <w:t>廊坊市第十五小学</w:t>
            </w:r>
          </w:p>
        </w:tc>
        <w:tc>
          <w:tcPr>
            <w:tcW w:w="1134" w:type="dxa"/>
            <w:shd w:val="clear" w:color="auto" w:fill="auto"/>
            <w:vAlign w:val="center"/>
          </w:tcPr>
          <w:p>
            <w:pPr>
              <w:spacing w:line="579"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shd w:val="clear" w:color="auto" w:fill="auto"/>
            <w:vAlign w:val="center"/>
          </w:tcPr>
          <w:p>
            <w:pPr>
              <w:spacing w:line="579" w:lineRule="exact"/>
              <w:jc w:val="center"/>
              <w:rPr>
                <w:rFonts w:ascii="Times New Roman" w:hAnsi="Times New Roman" w:eastAsia="仿宋_GB2312" w:cs="Times New Roman"/>
                <w:b/>
              </w:rPr>
            </w:pPr>
            <w:r>
              <w:rPr>
                <w:rFonts w:hint="eastAsia" w:ascii="Times New Roman" w:hAnsi="Times New Roman" w:eastAsia="仿宋_GB2312" w:cs="Times New Roman"/>
                <w:b/>
              </w:rPr>
              <w:t>副科级</w:t>
            </w:r>
          </w:p>
        </w:tc>
        <w:tc>
          <w:tcPr>
            <w:tcW w:w="3575" w:type="dxa"/>
            <w:shd w:val="clear" w:color="auto" w:fill="auto"/>
            <w:vAlign w:val="center"/>
          </w:tcPr>
          <w:p>
            <w:pPr>
              <w:spacing w:line="579" w:lineRule="exact"/>
              <w:jc w:val="center"/>
              <w:rPr>
                <w:rFonts w:ascii="Times New Roman" w:hAnsi="Times New Roman" w:eastAsia="仿宋_GB2312" w:cs="Times New Roman"/>
                <w:b/>
              </w:rPr>
            </w:pPr>
            <w:r>
              <w:rPr>
                <w:rFonts w:hint="eastAsia" w:ascii="仿宋_GB2312" w:hAnsi="Times New Roman" w:eastAsia="仿宋_GB2312" w:cs="Times New Roman"/>
                <w:b/>
                <w:szCs w:val="21"/>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79" w:lineRule="exact"/>
              <w:jc w:val="left"/>
              <w:rPr>
                <w:rFonts w:ascii="Times New Roman" w:hAnsi="Times New Roman" w:eastAsia="仿宋_GB2312" w:cs="Times New Roman"/>
              </w:rPr>
            </w:pPr>
          </w:p>
        </w:tc>
        <w:tc>
          <w:tcPr>
            <w:tcW w:w="1134" w:type="dxa"/>
            <w:shd w:val="clear" w:color="auto" w:fill="auto"/>
            <w:vAlign w:val="center"/>
          </w:tcPr>
          <w:p>
            <w:pPr>
              <w:spacing w:line="579" w:lineRule="exact"/>
              <w:jc w:val="center"/>
              <w:rPr>
                <w:rFonts w:ascii="Times New Roman" w:hAnsi="Times New Roman" w:eastAsia="仿宋_GB2312" w:cs="Times New Roman"/>
              </w:rPr>
            </w:pPr>
          </w:p>
        </w:tc>
        <w:tc>
          <w:tcPr>
            <w:tcW w:w="1276" w:type="dxa"/>
            <w:shd w:val="clear" w:color="auto" w:fill="auto"/>
            <w:vAlign w:val="center"/>
          </w:tcPr>
          <w:p>
            <w:pPr>
              <w:spacing w:line="579" w:lineRule="exact"/>
              <w:jc w:val="center"/>
              <w:rPr>
                <w:rFonts w:ascii="Times New Roman" w:hAnsi="Times New Roman" w:eastAsia="仿宋_GB2312" w:cs="Times New Roman"/>
              </w:rPr>
            </w:pPr>
          </w:p>
        </w:tc>
        <w:tc>
          <w:tcPr>
            <w:tcW w:w="3575" w:type="dxa"/>
            <w:shd w:val="clear" w:color="auto" w:fill="auto"/>
            <w:vAlign w:val="center"/>
          </w:tcPr>
          <w:p>
            <w:pPr>
              <w:spacing w:line="579"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79" w:lineRule="exact"/>
              <w:jc w:val="left"/>
              <w:rPr>
                <w:rFonts w:ascii="Times New Roman" w:hAnsi="Times New Roman" w:eastAsia="仿宋_GB2312" w:cs="Times New Roman"/>
              </w:rPr>
            </w:pPr>
          </w:p>
        </w:tc>
        <w:tc>
          <w:tcPr>
            <w:tcW w:w="1134" w:type="dxa"/>
            <w:shd w:val="clear" w:color="auto" w:fill="auto"/>
            <w:vAlign w:val="center"/>
          </w:tcPr>
          <w:p>
            <w:pPr>
              <w:spacing w:line="579" w:lineRule="exact"/>
              <w:jc w:val="center"/>
              <w:rPr>
                <w:rFonts w:ascii="Times New Roman" w:hAnsi="Times New Roman" w:eastAsia="仿宋_GB2312" w:cs="Times New Roman"/>
              </w:rPr>
            </w:pPr>
          </w:p>
        </w:tc>
        <w:tc>
          <w:tcPr>
            <w:tcW w:w="1276" w:type="dxa"/>
            <w:shd w:val="clear" w:color="auto" w:fill="auto"/>
            <w:vAlign w:val="center"/>
          </w:tcPr>
          <w:p>
            <w:pPr>
              <w:spacing w:line="579" w:lineRule="exact"/>
              <w:jc w:val="center"/>
              <w:rPr>
                <w:rFonts w:ascii="Times New Roman" w:hAnsi="Times New Roman" w:eastAsia="仿宋_GB2312" w:cs="Times New Roman"/>
              </w:rPr>
            </w:pPr>
          </w:p>
        </w:tc>
        <w:tc>
          <w:tcPr>
            <w:tcW w:w="3575" w:type="dxa"/>
            <w:shd w:val="clear" w:color="auto" w:fill="auto"/>
            <w:vAlign w:val="center"/>
          </w:tcPr>
          <w:p>
            <w:pPr>
              <w:spacing w:line="579" w:lineRule="exact"/>
              <w:jc w:val="center"/>
              <w:rPr>
                <w:rFonts w:ascii="Times New Roman" w:hAnsi="Times New Roman" w:eastAsia="仿宋_GB2312" w:cs="Times New Roman"/>
              </w:rPr>
            </w:pPr>
          </w:p>
        </w:tc>
      </w:tr>
    </w:tbl>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第十五小学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4326.65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4326.13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0.52万元</w:t>
      </w:r>
      <w:r>
        <w:rPr>
          <w:rFonts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第十五小学2022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4326.65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1278.29</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1262.32</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15.97</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3048.36</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rPr>
        <w:t>生均经费支出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教育经费支出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合同制教师工资福利支出、装配式校舍支出及相应的教室装备支出</w:t>
      </w:r>
      <w:r>
        <w:rPr>
          <w:rFonts w:ascii="Times New Roman" w:hAnsi="Times New Roman" w:eastAsia="仿宋_GB2312" w:cs="Times New Roman"/>
          <w:sz w:val="32"/>
          <w:szCs w:val="32"/>
        </w:rPr>
        <w:t>等。</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4326.65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2687.27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减少76.24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人员经费减少</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2763.51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生均经费支出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教育经费支出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合同制教师工资福利支出、装配式校舍支出及相应的教室装备</w:t>
      </w:r>
      <w:r>
        <w:rPr>
          <w:rFonts w:ascii="Times New Roman" w:hAnsi="Times New Roman" w:eastAsia="仿宋_GB2312" w:cs="Times New Roman"/>
          <w:sz w:val="32"/>
          <w:szCs w:val="32"/>
        </w:rPr>
        <w:t>项目支出。</w:t>
      </w:r>
    </w:p>
    <w:p>
      <w:pPr>
        <w:autoSpaceDE w:val="0"/>
        <w:autoSpaceDN w:val="0"/>
        <w:adjustRightInd w:val="0"/>
        <w:spacing w:line="579"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79"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79"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79"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没有公车</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color w:val="000000" w:themeColor="text1"/>
          <w:sz w:val="32"/>
          <w:szCs w:val="32"/>
          <w14:textFill>
            <w14:solidFill>
              <w14:schemeClr w14:val="tx1"/>
            </w14:solidFill>
          </w14:textFill>
        </w:rPr>
        <w:t>与20</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1年相比持平，无增减变化</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autoSpaceDE w:val="0"/>
        <w:autoSpaceDN w:val="0"/>
        <w:adjustRightInd w:val="0"/>
        <w:spacing w:line="579" w:lineRule="exact"/>
        <w:ind w:left="197" w:leftChars="94" w:firstLine="640" w:firstLineChars="200"/>
        <w:jc w:val="left"/>
        <w:rPr>
          <w:rFonts w:ascii="仿宋_GB2312" w:eastAsia="仿宋_GB2312" w:cs="Times New Roman"/>
          <w:sz w:val="32"/>
          <w:szCs w:val="32"/>
        </w:rPr>
      </w:pPr>
      <w:r>
        <w:rPr>
          <w:rFonts w:ascii="Times New Roman" w:hAnsi="Times New Roman" w:eastAsia="仿宋_GB2312" w:cs="Times New Roman"/>
          <w:sz w:val="32"/>
          <w:szCs w:val="32"/>
        </w:rP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19"/>
        <w:spacing w:line="579" w:lineRule="exact"/>
        <w:rPr>
          <w:rFonts w:eastAsia="仿宋_GB2312"/>
          <w:sz w:val="32"/>
          <w:szCs w:val="32"/>
        </w:rPr>
      </w:pPr>
      <w:r>
        <w:rPr>
          <w:rFonts w:eastAsia="仿宋_GB2312"/>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pStyle w:val="19"/>
        <w:spacing w:line="579" w:lineRule="exact"/>
        <w:rPr>
          <w:rFonts w:eastAsia="仿宋_GB2312"/>
          <w:sz w:val="32"/>
          <w:szCs w:val="32"/>
        </w:rPr>
      </w:pPr>
      <w:r>
        <w:rPr>
          <w:rFonts w:eastAsia="仿宋_GB2312"/>
          <w:sz w:val="32"/>
          <w:szCs w:val="32"/>
        </w:rPr>
        <w:t>1、提高义务教育水平，免除城市区中小学生学杂费，提供免费教科书，解决大班额问题及入学难问题。对贫困中小学生进行补助。</w:t>
      </w:r>
    </w:p>
    <w:p>
      <w:pPr>
        <w:pStyle w:val="19"/>
        <w:spacing w:line="579" w:lineRule="exact"/>
        <w:rPr>
          <w:rFonts w:eastAsia="仿宋_GB2312"/>
          <w:sz w:val="32"/>
          <w:szCs w:val="32"/>
        </w:rPr>
      </w:pPr>
      <w:r>
        <w:rPr>
          <w:rFonts w:eastAsia="仿宋_GB2312"/>
          <w:sz w:val="32"/>
          <w:szCs w:val="32"/>
        </w:rPr>
        <w:t>2、按质按量完成教育教学方面的各项任务，稳步提升学校的教育教学质量，学生综合素质评价优秀率达到85%,合格率达到100%。</w:t>
      </w:r>
    </w:p>
    <w:p>
      <w:pPr>
        <w:pStyle w:val="19"/>
        <w:spacing w:line="579" w:lineRule="exact"/>
        <w:rPr>
          <w:rFonts w:eastAsia="仿宋_GB2312"/>
          <w:sz w:val="32"/>
          <w:szCs w:val="32"/>
        </w:rPr>
      </w:pPr>
      <w:r>
        <w:rPr>
          <w:rFonts w:eastAsia="仿宋_GB2312"/>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19"/>
        <w:spacing w:line="579" w:lineRule="exact"/>
        <w:rPr>
          <w:rFonts w:eastAsia="仿宋_GB2312"/>
          <w:sz w:val="32"/>
          <w:szCs w:val="32"/>
        </w:rPr>
      </w:pPr>
      <w:r>
        <w:rPr>
          <w:rFonts w:eastAsia="仿宋_GB2312"/>
          <w:sz w:val="32"/>
          <w:szCs w:val="32"/>
        </w:rPr>
        <w:t>4、提升学校基础设施设备的整体水平。加强学校基础设施设备的维护,确保校园安全,落实校园防火及其他安全隐患的预防工作。确保校园各设施设备的正常运行。</w:t>
      </w:r>
    </w:p>
    <w:p>
      <w:pPr>
        <w:pStyle w:val="19"/>
        <w:spacing w:line="579" w:lineRule="exact"/>
        <w:rPr>
          <w:rFonts w:eastAsia="仿宋_GB2312"/>
          <w:sz w:val="32"/>
          <w:szCs w:val="32"/>
        </w:rPr>
      </w:pPr>
      <w:r>
        <w:rPr>
          <w:rFonts w:eastAsia="仿宋_GB2312"/>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pStyle w:val="19"/>
        <w:spacing w:line="579" w:lineRule="exact"/>
        <w:rPr>
          <w:rFonts w:eastAsia="仿宋_GB2312"/>
          <w:sz w:val="32"/>
          <w:szCs w:val="32"/>
        </w:rPr>
      </w:pPr>
      <w:r>
        <w:rPr>
          <w:rFonts w:eastAsia="仿宋_GB2312"/>
          <w:sz w:val="32"/>
          <w:szCs w:val="32"/>
        </w:rPr>
        <w:t>6、学校的文化宣传整体布局,建成学校校史馆,完成各班级、各科室及教师办公室的文化宣传布置。加大学校办学理念、目标的宣传,形成具有特色的校园文化氛围。</w:t>
      </w:r>
    </w:p>
    <w:p>
      <w:pPr>
        <w:pStyle w:val="19"/>
        <w:spacing w:line="579" w:lineRule="exact"/>
        <w:rPr>
          <w:rFonts w:ascii="仿宋_GB2312" w:eastAsia="仿宋_GB2312"/>
          <w:sz w:val="32"/>
          <w:szCs w:val="32"/>
        </w:rPr>
      </w:pPr>
      <w:r>
        <w:rPr>
          <w:rFonts w:eastAsia="仿宋_GB2312"/>
          <w:sz w:val="32"/>
          <w:szCs w:val="32"/>
        </w:rPr>
        <w:t>7、办人民满意的学校,教师、学生、家长整体满意度达到90%以上。</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0"/>
        <w:spacing w:line="579" w:lineRule="exact"/>
        <w:rPr>
          <w:rFonts w:eastAsia="仿宋_GB2312"/>
          <w:sz w:val="32"/>
          <w:szCs w:val="32"/>
        </w:rPr>
      </w:pPr>
      <w:r>
        <w:rPr>
          <w:rFonts w:eastAsia="仿宋_GB2312"/>
          <w:sz w:val="32"/>
          <w:szCs w:val="32"/>
        </w:rPr>
        <w:t>1、成立学校监督小组，监督学校工作，强化工作落实。</w:t>
      </w:r>
    </w:p>
    <w:p>
      <w:pPr>
        <w:pStyle w:val="20"/>
        <w:spacing w:line="579" w:lineRule="exact"/>
        <w:rPr>
          <w:rFonts w:eastAsia="仿宋_GB2312"/>
          <w:sz w:val="32"/>
          <w:szCs w:val="32"/>
        </w:rPr>
      </w:pPr>
      <w:r>
        <w:rPr>
          <w:rFonts w:eastAsia="仿宋_GB2312"/>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0"/>
        <w:spacing w:line="579" w:lineRule="exact"/>
        <w:rPr>
          <w:rFonts w:eastAsia="仿宋_GB2312"/>
          <w:sz w:val="32"/>
          <w:szCs w:val="32"/>
        </w:rPr>
      </w:pPr>
      <w:r>
        <w:rPr>
          <w:rFonts w:eastAsia="仿宋_GB2312"/>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0"/>
        <w:spacing w:line="579" w:lineRule="exact"/>
        <w:rPr>
          <w:rFonts w:eastAsia="仿宋_GB2312"/>
          <w:sz w:val="32"/>
          <w:szCs w:val="32"/>
        </w:rPr>
      </w:pPr>
      <w:r>
        <w:rPr>
          <w:rFonts w:eastAsia="仿宋_GB2312"/>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0"/>
        <w:spacing w:line="579" w:lineRule="exact"/>
        <w:rPr>
          <w:rFonts w:eastAsia="仿宋_GB2312"/>
          <w:sz w:val="32"/>
          <w:szCs w:val="32"/>
        </w:rPr>
      </w:pPr>
      <w:r>
        <w:rPr>
          <w:rFonts w:eastAsia="仿宋_GB2312"/>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0"/>
        <w:spacing w:line="579" w:lineRule="exact"/>
        <w:rPr>
          <w:rFonts w:eastAsia="仿宋_GB2312"/>
          <w:sz w:val="32"/>
          <w:szCs w:val="32"/>
        </w:rPr>
      </w:pPr>
      <w:r>
        <w:rPr>
          <w:rFonts w:hint="eastAsia" w:eastAsia="仿宋_GB2312"/>
          <w:sz w:val="32"/>
          <w:szCs w:val="32"/>
        </w:rPr>
        <w:t>6</w:t>
      </w:r>
      <w:r>
        <w:rPr>
          <w:rFonts w:eastAsia="仿宋_GB2312"/>
          <w:sz w:val="32"/>
          <w:szCs w:val="32"/>
        </w:rPr>
        <w:t>、加强政治理论学习，强化党风廉政建设。做好师德传承活动，落实老中青传帮带。弘扬办学精神。加强师德宣传与学习活动。开展形式多样、扎实有效的师德教育活动。</w:t>
      </w:r>
    </w:p>
    <w:p>
      <w:pPr>
        <w:pStyle w:val="20"/>
        <w:spacing w:line="579" w:lineRule="exact"/>
      </w:pPr>
      <w:r>
        <w:rPr>
          <w:rFonts w:eastAsia="仿宋_GB2312"/>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Lines="50" w:line="579"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1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498"/>
        <w:gridCol w:w="635"/>
        <w:gridCol w:w="2111"/>
        <w:gridCol w:w="3321"/>
        <w:gridCol w:w="2089"/>
        <w:gridCol w:w="542"/>
        <w:gridCol w:w="450"/>
        <w:gridCol w:w="773"/>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498"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一级指标</w:t>
            </w:r>
          </w:p>
        </w:tc>
        <w:tc>
          <w:tcPr>
            <w:tcW w:w="635"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二级</w:t>
            </w:r>
          </w:p>
          <w:p>
            <w:pPr>
              <w:widowControl/>
              <w:adjustRightInd w:val="0"/>
              <w:snapToGrid w:val="0"/>
              <w:spacing w:line="240" w:lineRule="auto"/>
              <w:jc w:val="center"/>
              <w:rPr>
                <w:rFonts w:ascii="方正书宋_GBK" w:eastAsia="方正书宋_GBK"/>
                <w:b/>
              </w:rPr>
            </w:pPr>
            <w:r>
              <w:rPr>
                <w:rFonts w:ascii="方正书宋_GBK" w:eastAsia="方正书宋_GBK"/>
                <w:b/>
              </w:rPr>
              <w:t>指标</w:t>
            </w:r>
          </w:p>
        </w:tc>
        <w:tc>
          <w:tcPr>
            <w:tcW w:w="2111"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三级</w:t>
            </w:r>
          </w:p>
          <w:p>
            <w:pPr>
              <w:widowControl/>
              <w:adjustRightInd w:val="0"/>
              <w:snapToGrid w:val="0"/>
              <w:spacing w:line="240" w:lineRule="auto"/>
              <w:jc w:val="center"/>
              <w:rPr>
                <w:rFonts w:ascii="方正书宋_GBK" w:eastAsia="方正书宋_GBK"/>
                <w:b/>
              </w:rPr>
            </w:pPr>
            <w:r>
              <w:rPr>
                <w:rFonts w:ascii="方正书宋_GBK" w:eastAsia="方正书宋_GBK"/>
                <w:b/>
              </w:rPr>
              <w:t>指标</w:t>
            </w:r>
          </w:p>
        </w:tc>
        <w:tc>
          <w:tcPr>
            <w:tcW w:w="3321"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评（扣）分标准</w:t>
            </w:r>
          </w:p>
        </w:tc>
        <w:tc>
          <w:tcPr>
            <w:tcW w:w="2089"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绩效指标</w:t>
            </w:r>
          </w:p>
          <w:p>
            <w:pPr>
              <w:widowControl/>
              <w:adjustRightInd w:val="0"/>
              <w:snapToGrid w:val="0"/>
              <w:spacing w:line="240" w:lineRule="auto"/>
              <w:jc w:val="center"/>
              <w:rPr>
                <w:rFonts w:ascii="方正书宋_GBK" w:eastAsia="方正书宋_GBK"/>
                <w:b/>
              </w:rPr>
            </w:pPr>
            <w:r>
              <w:rPr>
                <w:rFonts w:ascii="方正书宋_GBK" w:eastAsia="方正书宋_GBK"/>
                <w:b/>
              </w:rPr>
              <w:t>描述</w:t>
            </w:r>
          </w:p>
        </w:tc>
        <w:tc>
          <w:tcPr>
            <w:tcW w:w="1765" w:type="dxa"/>
            <w:gridSpan w:val="3"/>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指标值</w:t>
            </w:r>
          </w:p>
        </w:tc>
        <w:tc>
          <w:tcPr>
            <w:tcW w:w="1456"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指标值</w:t>
            </w:r>
          </w:p>
          <w:p>
            <w:pPr>
              <w:widowControl/>
              <w:adjustRightInd w:val="0"/>
              <w:snapToGrid w:val="0"/>
              <w:spacing w:line="240" w:lineRule="auto"/>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498" w:type="dxa"/>
            <w:vMerge w:val="continue"/>
            <w:tcBorders>
              <w:tl2br w:val="nil"/>
              <w:tr2bl w:val="nil"/>
            </w:tcBorders>
            <w:vAlign w:val="center"/>
          </w:tcPr>
          <w:p>
            <w:pPr>
              <w:spacing w:line="240" w:lineRule="auto"/>
            </w:pPr>
          </w:p>
        </w:tc>
        <w:tc>
          <w:tcPr>
            <w:tcW w:w="635" w:type="dxa"/>
            <w:vMerge w:val="continue"/>
            <w:tcBorders>
              <w:tl2br w:val="nil"/>
              <w:tr2bl w:val="nil"/>
            </w:tcBorders>
            <w:vAlign w:val="center"/>
          </w:tcPr>
          <w:p>
            <w:pPr>
              <w:spacing w:line="240" w:lineRule="auto"/>
            </w:pPr>
          </w:p>
        </w:tc>
        <w:tc>
          <w:tcPr>
            <w:tcW w:w="2111" w:type="dxa"/>
            <w:vMerge w:val="continue"/>
            <w:tcBorders>
              <w:tl2br w:val="nil"/>
              <w:tr2bl w:val="nil"/>
            </w:tcBorders>
            <w:vAlign w:val="center"/>
          </w:tcPr>
          <w:p>
            <w:pPr>
              <w:spacing w:line="240" w:lineRule="auto"/>
            </w:pPr>
          </w:p>
        </w:tc>
        <w:tc>
          <w:tcPr>
            <w:tcW w:w="3321" w:type="dxa"/>
            <w:vMerge w:val="continue"/>
            <w:tcBorders>
              <w:tl2br w:val="nil"/>
              <w:tr2bl w:val="nil"/>
            </w:tcBorders>
            <w:vAlign w:val="center"/>
          </w:tcPr>
          <w:p>
            <w:pPr>
              <w:spacing w:line="240" w:lineRule="auto"/>
            </w:pPr>
          </w:p>
        </w:tc>
        <w:tc>
          <w:tcPr>
            <w:tcW w:w="2089" w:type="dxa"/>
            <w:vMerge w:val="continue"/>
            <w:tcBorders>
              <w:tl2br w:val="nil"/>
              <w:tr2bl w:val="nil"/>
            </w:tcBorders>
            <w:vAlign w:val="center"/>
          </w:tcPr>
          <w:p>
            <w:pPr>
              <w:spacing w:line="240" w:lineRule="auto"/>
            </w:pPr>
          </w:p>
        </w:tc>
        <w:tc>
          <w:tcPr>
            <w:tcW w:w="542" w:type="dxa"/>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符号</w:t>
            </w:r>
          </w:p>
        </w:tc>
        <w:tc>
          <w:tcPr>
            <w:tcW w:w="450" w:type="dxa"/>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值</w:t>
            </w:r>
          </w:p>
        </w:tc>
        <w:tc>
          <w:tcPr>
            <w:tcW w:w="773" w:type="dxa"/>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单位</w:t>
            </w:r>
          </w:p>
        </w:tc>
        <w:tc>
          <w:tcPr>
            <w:tcW w:w="1456" w:type="dxa"/>
            <w:vMerge w:val="continue"/>
            <w:tcBorders>
              <w:tl2br w:val="nil"/>
              <w:tr2bl w:val="nil"/>
            </w:tcBorders>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498" w:type="dxa"/>
            <w:vMerge w:val="restart"/>
            <w:tcBorders>
              <w:tl2br w:val="nil"/>
              <w:tr2bl w:val="nil"/>
            </w:tcBorders>
            <w:vAlign w:val="center"/>
          </w:tcPr>
          <w:p>
            <w:pPr>
              <w:widowControl/>
              <w:adjustRightInd w:val="0"/>
              <w:snapToGrid w:val="0"/>
              <w:spacing w:line="240" w:lineRule="auto"/>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63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数量</w:t>
            </w:r>
          </w:p>
        </w:tc>
        <w:tc>
          <w:tcPr>
            <w:tcW w:w="211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小学生毕业生合格率</w:t>
            </w:r>
          </w:p>
        </w:tc>
        <w:tc>
          <w:tcPr>
            <w:tcW w:w="332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20分毕业生合格率100%得满分，否则不得分</w:t>
            </w:r>
          </w:p>
        </w:tc>
        <w:tc>
          <w:tcPr>
            <w:tcW w:w="2089"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小学生毕业生合格率</w:t>
            </w:r>
          </w:p>
        </w:tc>
        <w:tc>
          <w:tcPr>
            <w:tcW w:w="54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50"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77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456"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498" w:type="dxa"/>
            <w:vMerge w:val="continue"/>
            <w:tcBorders>
              <w:tl2br w:val="nil"/>
              <w:tr2bl w:val="nil"/>
            </w:tcBorders>
            <w:vAlign w:val="center"/>
          </w:tcPr>
          <w:p>
            <w:pPr>
              <w:widowControl/>
              <w:adjustRightInd w:val="0"/>
              <w:snapToGrid w:val="0"/>
              <w:spacing w:line="240" w:lineRule="auto"/>
              <w:jc w:val="center"/>
              <w:rPr>
                <w:rFonts w:ascii="方正书宋_GBK" w:eastAsia="方正书宋_GBK"/>
              </w:rPr>
            </w:pPr>
          </w:p>
        </w:tc>
        <w:tc>
          <w:tcPr>
            <w:tcW w:w="63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hint="eastAsia" w:ascii="方正书宋_GBK" w:eastAsia="方正书宋_GBK"/>
              </w:rPr>
              <w:t>数量</w:t>
            </w:r>
          </w:p>
        </w:tc>
        <w:tc>
          <w:tcPr>
            <w:tcW w:w="211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332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10分不低于95%得满分，否则不得分5每减少1%扣1分，扣完为止</w:t>
            </w:r>
          </w:p>
        </w:tc>
        <w:tc>
          <w:tcPr>
            <w:tcW w:w="2089"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54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50"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77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456"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498" w:type="dxa"/>
            <w:vMerge w:val="continue"/>
            <w:tcBorders>
              <w:tl2br w:val="nil"/>
              <w:tr2bl w:val="nil"/>
            </w:tcBorders>
            <w:vAlign w:val="center"/>
          </w:tcPr>
          <w:p>
            <w:pPr>
              <w:spacing w:line="240" w:lineRule="auto"/>
            </w:pPr>
          </w:p>
        </w:tc>
        <w:tc>
          <w:tcPr>
            <w:tcW w:w="63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质量</w:t>
            </w:r>
          </w:p>
        </w:tc>
        <w:tc>
          <w:tcPr>
            <w:tcW w:w="211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332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20分合格率100%得满分，否则不得分</w:t>
            </w:r>
          </w:p>
        </w:tc>
        <w:tc>
          <w:tcPr>
            <w:tcW w:w="2089"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54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50"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77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456"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498" w:type="dxa"/>
            <w:vMerge w:val="continue"/>
            <w:tcBorders>
              <w:tl2br w:val="nil"/>
              <w:tr2bl w:val="nil"/>
            </w:tcBorders>
            <w:vAlign w:val="center"/>
          </w:tcPr>
          <w:p>
            <w:pPr>
              <w:spacing w:line="240" w:lineRule="auto"/>
            </w:pPr>
          </w:p>
        </w:tc>
        <w:tc>
          <w:tcPr>
            <w:tcW w:w="63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时效</w:t>
            </w:r>
          </w:p>
        </w:tc>
        <w:tc>
          <w:tcPr>
            <w:tcW w:w="211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学校的各项工作任务及时完成情况</w:t>
            </w:r>
          </w:p>
        </w:tc>
        <w:tc>
          <w:tcPr>
            <w:tcW w:w="332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10分及时完成得满分，否则不得分</w:t>
            </w:r>
          </w:p>
        </w:tc>
        <w:tc>
          <w:tcPr>
            <w:tcW w:w="2089"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学校的各项工作任务及时完成情况</w:t>
            </w:r>
          </w:p>
        </w:tc>
        <w:tc>
          <w:tcPr>
            <w:tcW w:w="54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p>
        </w:tc>
        <w:tc>
          <w:tcPr>
            <w:tcW w:w="450"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p>
        </w:tc>
        <w:tc>
          <w:tcPr>
            <w:tcW w:w="77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及时</w:t>
            </w:r>
          </w:p>
        </w:tc>
        <w:tc>
          <w:tcPr>
            <w:tcW w:w="1456"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498" w:type="dxa"/>
            <w:vMerge w:val="continue"/>
            <w:tcBorders>
              <w:tl2br w:val="nil"/>
              <w:tr2bl w:val="nil"/>
            </w:tcBorders>
            <w:vAlign w:val="center"/>
          </w:tcPr>
          <w:p>
            <w:pPr>
              <w:spacing w:line="240" w:lineRule="auto"/>
            </w:pPr>
          </w:p>
        </w:tc>
        <w:tc>
          <w:tcPr>
            <w:tcW w:w="63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成本</w:t>
            </w:r>
          </w:p>
        </w:tc>
        <w:tc>
          <w:tcPr>
            <w:tcW w:w="211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教育经费使用控制率</w:t>
            </w:r>
          </w:p>
        </w:tc>
        <w:tc>
          <w:tcPr>
            <w:tcW w:w="332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10分教育经费决算数不大于调整预算数得满分，否则不得分</w:t>
            </w:r>
          </w:p>
        </w:tc>
        <w:tc>
          <w:tcPr>
            <w:tcW w:w="2089"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教育经费使用控制率</w:t>
            </w:r>
          </w:p>
        </w:tc>
        <w:tc>
          <w:tcPr>
            <w:tcW w:w="54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p>
        </w:tc>
        <w:tc>
          <w:tcPr>
            <w:tcW w:w="450"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p>
        </w:tc>
        <w:tc>
          <w:tcPr>
            <w:tcW w:w="77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教育经费决算数不大于调整预算数</w:t>
            </w:r>
          </w:p>
        </w:tc>
        <w:tc>
          <w:tcPr>
            <w:tcW w:w="1456"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498" w:type="dxa"/>
            <w:vMerge w:val="restart"/>
            <w:tcBorders>
              <w:tl2br w:val="nil"/>
              <w:tr2bl w:val="nil"/>
            </w:tcBorders>
            <w:vAlign w:val="center"/>
          </w:tcPr>
          <w:p>
            <w:pPr>
              <w:adjustRightInd w:val="0"/>
              <w:snapToGrid w:val="0"/>
              <w:spacing w:line="240" w:lineRule="auto"/>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63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社会</w:t>
            </w:r>
          </w:p>
          <w:p>
            <w:pPr>
              <w:widowControl/>
              <w:adjustRightInd w:val="0"/>
              <w:snapToGrid w:val="0"/>
              <w:spacing w:line="240" w:lineRule="auto"/>
              <w:jc w:val="center"/>
              <w:rPr>
                <w:rFonts w:ascii="方正书宋_GBK" w:eastAsia="方正书宋_GBK"/>
              </w:rPr>
            </w:pPr>
            <w:r>
              <w:rPr>
                <w:rFonts w:ascii="方正书宋_GBK" w:eastAsia="方正书宋_GBK"/>
              </w:rPr>
              <w:t>效益</w:t>
            </w:r>
          </w:p>
        </w:tc>
        <w:tc>
          <w:tcPr>
            <w:tcW w:w="211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332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10分学生、家长、社会对学校整体满意度达到95%得满分，每降低1%扣1分，扣完为止。</w:t>
            </w:r>
          </w:p>
        </w:tc>
        <w:tc>
          <w:tcPr>
            <w:tcW w:w="2089"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54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50"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77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456"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85" w:hRule="atLeast"/>
          <w:jc w:val="center"/>
        </w:trPr>
        <w:tc>
          <w:tcPr>
            <w:tcW w:w="498" w:type="dxa"/>
            <w:vMerge w:val="continue"/>
            <w:tcBorders>
              <w:tl2br w:val="nil"/>
              <w:tr2bl w:val="nil"/>
            </w:tcBorders>
            <w:vAlign w:val="center"/>
          </w:tcPr>
          <w:p>
            <w:pPr>
              <w:spacing w:line="240" w:lineRule="auto"/>
            </w:pPr>
          </w:p>
        </w:tc>
        <w:tc>
          <w:tcPr>
            <w:tcW w:w="63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hint="eastAsia" w:ascii="方正书宋_GBK" w:eastAsia="方正书宋_GBK"/>
              </w:rPr>
              <w:t>满意度</w:t>
            </w:r>
          </w:p>
        </w:tc>
        <w:tc>
          <w:tcPr>
            <w:tcW w:w="2111"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321"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10分在校师生的满意度达到95%得满分，每降低1%扣1分，扣完为止。</w:t>
            </w:r>
          </w:p>
        </w:tc>
        <w:tc>
          <w:tcPr>
            <w:tcW w:w="2089"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54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50"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77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456"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498" w:type="dxa"/>
            <w:vMerge w:val="continue"/>
            <w:tcBorders>
              <w:tl2br w:val="nil"/>
              <w:tr2bl w:val="nil"/>
            </w:tcBorders>
            <w:vAlign w:val="center"/>
          </w:tcPr>
          <w:p>
            <w:pPr>
              <w:spacing w:line="240" w:lineRule="auto"/>
            </w:pPr>
          </w:p>
        </w:tc>
        <w:tc>
          <w:tcPr>
            <w:tcW w:w="63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hint="eastAsia" w:ascii="方正书宋_GBK" w:eastAsia="方正书宋_GBK"/>
              </w:rPr>
              <w:t>满意度</w:t>
            </w:r>
          </w:p>
        </w:tc>
        <w:tc>
          <w:tcPr>
            <w:tcW w:w="2111"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3321"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10分家长的满意度达到95%得满分，每降低1%扣1分，扣完为止。</w:t>
            </w:r>
          </w:p>
        </w:tc>
        <w:tc>
          <w:tcPr>
            <w:tcW w:w="2089"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54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50"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77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456"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问卷调查</w:t>
            </w:r>
          </w:p>
        </w:tc>
      </w:tr>
    </w:tbl>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1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1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1.廊坊市第十五小学对2022年在校学生4155人，按照义务教育生均公用经费标准申请财政预算资金，通过合理、合规使用资金达到保证学校正常运行。</w:t>
            </w:r>
          </w:p>
          <w:p>
            <w:pPr>
              <w:pStyle w:val="14"/>
              <w:rPr>
                <w:rFonts w:hint="eastAsia" w:ascii="仿宋_GB2312" w:hAnsi="仿宋_GB2312" w:eastAsia="仿宋_GB2312" w:cs="仿宋_GB2312"/>
              </w:rPr>
            </w:pPr>
            <w:r>
              <w:rPr>
                <w:rFonts w:hint="eastAsia" w:ascii="仿宋_GB2312" w:hAnsi="仿宋_GB2312" w:eastAsia="仿宋_GB2312" w:cs="仿宋_GB2312"/>
              </w:rPr>
              <w:t>2.改善我校办学条件。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3.促进城区义务教育发展。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3"/>
        <w:gridCol w:w="1103"/>
        <w:gridCol w:w="1734"/>
        <w:gridCol w:w="2133"/>
        <w:gridCol w:w="1102"/>
        <w:gridCol w:w="3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8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10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73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13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10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2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1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7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1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1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4155人</w:t>
            </w:r>
          </w:p>
        </w:tc>
        <w:tc>
          <w:tcPr>
            <w:tcW w:w="32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Merge w:val="continue"/>
            <w:vAlign w:val="center"/>
          </w:tcPr>
          <w:p>
            <w:pPr>
              <w:rPr>
                <w:rFonts w:hint="eastAsia" w:ascii="仿宋_GB2312" w:hAnsi="仿宋_GB2312" w:eastAsia="仿宋_GB2312" w:cs="仿宋_GB2312"/>
              </w:rPr>
            </w:pPr>
          </w:p>
        </w:tc>
        <w:tc>
          <w:tcPr>
            <w:tcW w:w="11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7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1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1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2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Merge w:val="continue"/>
            <w:vAlign w:val="center"/>
          </w:tcPr>
          <w:p>
            <w:pPr>
              <w:rPr>
                <w:rFonts w:hint="eastAsia" w:ascii="仿宋_GB2312" w:hAnsi="仿宋_GB2312" w:eastAsia="仿宋_GB2312" w:cs="仿宋_GB2312"/>
              </w:rPr>
            </w:pPr>
          </w:p>
        </w:tc>
        <w:tc>
          <w:tcPr>
            <w:tcW w:w="11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7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1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1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2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Merge w:val="continue"/>
            <w:vAlign w:val="center"/>
          </w:tcPr>
          <w:p>
            <w:pPr>
              <w:rPr>
                <w:rFonts w:hint="eastAsia" w:ascii="仿宋_GB2312" w:hAnsi="仿宋_GB2312" w:eastAsia="仿宋_GB2312" w:cs="仿宋_GB2312"/>
              </w:rPr>
            </w:pPr>
          </w:p>
        </w:tc>
        <w:tc>
          <w:tcPr>
            <w:tcW w:w="11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7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1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1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735元/生</w:t>
            </w:r>
          </w:p>
        </w:tc>
        <w:tc>
          <w:tcPr>
            <w:tcW w:w="32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1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7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1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11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2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1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7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1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1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2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2.城乡义务教育生均公用经费[中央]绩效目标表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08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0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1.按照义务教育生均公用经费标准申请财政预算资金，通过合理、合规使用资金达到保证学校正常运行。</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33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34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4155人</w:t>
            </w:r>
          </w:p>
        </w:tc>
        <w:tc>
          <w:tcPr>
            <w:tcW w:w="33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廊坊市财政局廊坊市教育局关于提前下达2022年出现义务教育中央补助经费预算（直达资金）的通知（廊财教[2021]62号。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3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廊坊市财政局廊坊市教育局关于提前下达2022年出现义务教育中央补助经费预算（直达资金）的通知（廊财教[2021]62号。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3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使用生均公用经费，用于保障学校正常运转的项目支出成本等于735元/生/年</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735元/生/年</w:t>
            </w:r>
          </w:p>
        </w:tc>
        <w:tc>
          <w:tcPr>
            <w:tcW w:w="33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廊坊市财政局廊坊市教育局关于提前下达2022年出现义务教育中央补助经费预算（直达资金）的通知（廊财教[2021]62号。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3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3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3.合同制教师人员经费绩效目标表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899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899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23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33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103人工资福利</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103人</w:t>
            </w:r>
          </w:p>
        </w:tc>
        <w:tc>
          <w:tcPr>
            <w:tcW w:w="2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2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2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2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2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4.教育经费绩效目标表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≤28.63万元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4" w:name="_Toc_4_4_0000000008"/>
      <w:r>
        <w:rPr>
          <w:rFonts w:hint="eastAsia" w:ascii="仿宋_GB2312" w:hAnsi="仿宋_GB2312" w:eastAsia="仿宋_GB2312" w:cs="仿宋_GB2312"/>
          <w:color w:val="000000"/>
          <w:sz w:val="28"/>
        </w:rPr>
        <w:t>5.廊坊市第十五小学设备购置项目资金绩效目标表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1.为21间装配式教室购置相应教学设施。</w:t>
            </w:r>
          </w:p>
          <w:p>
            <w:pPr>
              <w:pStyle w:val="14"/>
              <w:rPr>
                <w:rFonts w:hint="eastAsia" w:ascii="仿宋_GB2312" w:hAnsi="仿宋_GB2312" w:eastAsia="仿宋_GB2312" w:cs="仿宋_GB2312"/>
              </w:rPr>
            </w:pPr>
            <w:r>
              <w:rPr>
                <w:rFonts w:hint="eastAsia" w:ascii="仿宋_GB2312" w:hAnsi="仿宋_GB2312" w:eastAsia="仿宋_GB2312" w:cs="仿宋_GB2312"/>
              </w:rPr>
              <w:t>2.提升办学条件，满足教学需求。</w:t>
            </w:r>
          </w:p>
          <w:p>
            <w:pPr>
              <w:pStyle w:val="14"/>
              <w:rPr>
                <w:rFonts w:hint="eastAsia" w:ascii="仿宋_GB2312" w:hAnsi="仿宋_GB2312" w:eastAsia="仿宋_GB2312" w:cs="仿宋_GB2312"/>
              </w:rPr>
            </w:pPr>
            <w:r>
              <w:rPr>
                <w:rFonts w:hint="eastAsia" w:ascii="仿宋_GB2312" w:hAnsi="仿宋_GB2312" w:eastAsia="仿宋_GB2312" w:cs="仿宋_GB2312"/>
              </w:rPr>
              <w:t>3.满足学校正常教学需要。</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21间教室相应配套设施</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21间教室相应配套设施</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21间</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廊广教体[2022]1号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购买设施的合格率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合格数所占总数的百分比</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廊广教体[2022]1号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购买设施及时率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购买设施及时占百分率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廊广教体[2022]1号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购买设施成本指标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每间设施成本价格</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控制</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廊广教体[2022]1号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提升办学条件</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提升办学条件</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显著</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满足教学需求</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满足教学需求</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满足</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5" w:name="_Toc_4_4_0000000009"/>
      <w:r>
        <w:rPr>
          <w:rFonts w:hint="eastAsia" w:ascii="仿宋_GB2312" w:hAnsi="仿宋_GB2312" w:eastAsia="仿宋_GB2312" w:cs="仿宋_GB2312"/>
          <w:color w:val="000000"/>
          <w:sz w:val="28"/>
        </w:rPr>
        <w:t>6.廊坊市第十五小学装配式校舍项目资金绩效目标表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1.在校园内扩建装配式校舍</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2.改善办学条件，满足正常教学需求。</w:t>
            </w:r>
          </w:p>
          <w:p>
            <w:pPr>
              <w:pStyle w:val="14"/>
              <w:rPr>
                <w:rFonts w:hint="eastAsia" w:ascii="仿宋_GB2312" w:hAnsi="仿宋_GB2312" w:eastAsia="仿宋_GB2312" w:cs="仿宋_GB2312"/>
              </w:rPr>
            </w:pPr>
            <w:r>
              <w:rPr>
                <w:rFonts w:hint="eastAsia" w:ascii="仿宋_GB2312" w:hAnsi="仿宋_GB2312" w:eastAsia="仿宋_GB2312" w:cs="仿宋_GB2312"/>
              </w:rPr>
              <w:t>3.保障周边学生正常入学</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建筑面积</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新建教室的面积数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3000平方米</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廊广教体[2022]1号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新建教室建筑质量情况</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廊广教体[2022]1号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及时完工率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及时完工情况</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廊广教体[2022]1号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建设标准单价</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建设教室每平米的价格</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5000元/平方米</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廊广教体[2022]1号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提升办学条件</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提升办学条件</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显著</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满足教学用房需求</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满足教学用房需求</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满足</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79" w:lineRule="exact"/>
        <w:ind w:firstLine="880" w:firstLineChars="200"/>
        <w:jc w:val="left"/>
        <w:rPr>
          <w:rFonts w:ascii="Times New Roman" w:hAnsi="Times New Roman" w:eastAsia="黑体" w:cs="Times New Roman"/>
          <w:sz w:val="44"/>
          <w:szCs w:val="44"/>
        </w:rPr>
      </w:pPr>
    </w:p>
    <w:p>
      <w:pPr>
        <w:autoSpaceDE w:val="0"/>
        <w:autoSpaceDN w:val="0"/>
        <w:adjustRightInd w:val="0"/>
        <w:spacing w:line="579" w:lineRule="exact"/>
        <w:ind w:firstLine="880" w:firstLineChars="200"/>
        <w:jc w:val="left"/>
        <w:rPr>
          <w:rFonts w:ascii="Times New Roman" w:hAnsi="Times New Roman" w:eastAsia="黑体" w:cs="Times New Roman"/>
          <w:sz w:val="44"/>
          <w:szCs w:val="44"/>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79" w:lineRule="exact"/>
        <w:ind w:firstLine="640" w:firstLineChars="200"/>
        <w:outlineLvl w:val="0"/>
        <w:rPr>
          <w:rFonts w:ascii="Times New Roman" w:hAnsi="Times New Roman" w:eastAsia="仿宋_GB2312" w:cs="Times New Roman"/>
          <w:sz w:val="32"/>
          <w:szCs w:val="24"/>
        </w:rPr>
      </w:pPr>
      <w:bookmarkStart w:id="6"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1635</w:t>
      </w:r>
      <w:r>
        <w:rPr>
          <w:rFonts w:ascii="Times New Roman" w:hAnsi="Times New Roman" w:eastAsia="仿宋_GB2312" w:cs="Times New Roman"/>
          <w:sz w:val="32"/>
          <w:szCs w:val="24"/>
        </w:rPr>
        <w:t>万元。具体内容见下表</w:t>
      </w:r>
      <w:r>
        <w:rPr>
          <w:rFonts w:hint="eastAsia" w:ascii="Times New Roman" w:hAnsi="Times New Roman" w:eastAsia="仿宋_GB2312" w:cs="Times New Roman"/>
          <w:sz w:val="32"/>
          <w:szCs w:val="24"/>
        </w:rPr>
        <w:t>：</w:t>
      </w:r>
    </w:p>
    <w:bookmarkEnd w:id="6"/>
    <w:p>
      <w:pPr>
        <w:spacing w:line="579" w:lineRule="exact"/>
        <w:jc w:val="center"/>
        <w:outlineLvl w:val="1"/>
        <w:rPr>
          <w:rFonts w:ascii="方正小标宋_GBK" w:eastAsia="方正小标宋_GBK" w:cs="Times New Roman"/>
          <w:sz w:val="32"/>
        </w:rPr>
      </w:pPr>
      <w:bookmarkStart w:id="7"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7"/>
    </w:p>
    <w:p>
      <w:pPr>
        <w:spacing w:line="579" w:lineRule="exact"/>
        <w:outlineLvl w:val="1"/>
        <w:rPr>
          <w:rFonts w:ascii="方正小标宋_GBK" w:eastAsia="方正小标宋_GBK" w:cs="Times New Roman"/>
          <w:sz w:val="32"/>
        </w:rPr>
      </w:pPr>
      <w:r>
        <w:t>廊坊市</w:t>
      </w:r>
      <w:r>
        <w:rPr>
          <w:rFonts w:hint="eastAsia"/>
        </w:rPr>
        <w:t>第十五小学</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spacing w:line="579" w:lineRule="exact"/>
            </w:pPr>
            <w:r>
              <w:t>政府采购项目来源</w:t>
            </w:r>
          </w:p>
        </w:tc>
        <w:tc>
          <w:tcPr>
            <w:tcW w:w="1134" w:type="dxa"/>
            <w:vMerge w:val="restart"/>
            <w:vAlign w:val="center"/>
          </w:tcPr>
          <w:p>
            <w:pPr>
              <w:pStyle w:val="12"/>
              <w:spacing w:line="579" w:lineRule="exact"/>
            </w:pPr>
            <w:r>
              <w:t>采购物品名称</w:t>
            </w:r>
          </w:p>
        </w:tc>
        <w:tc>
          <w:tcPr>
            <w:tcW w:w="1134" w:type="dxa"/>
            <w:vMerge w:val="restart"/>
            <w:vAlign w:val="center"/>
          </w:tcPr>
          <w:p>
            <w:pPr>
              <w:pStyle w:val="12"/>
              <w:spacing w:line="579" w:lineRule="exact"/>
            </w:pPr>
            <w:r>
              <w:t>政府采购目录序号</w:t>
            </w:r>
          </w:p>
        </w:tc>
        <w:tc>
          <w:tcPr>
            <w:tcW w:w="709" w:type="dxa"/>
            <w:vMerge w:val="restart"/>
            <w:vAlign w:val="center"/>
          </w:tcPr>
          <w:p>
            <w:pPr>
              <w:pStyle w:val="12"/>
              <w:spacing w:line="579" w:lineRule="exact"/>
            </w:pPr>
            <w:r>
              <w:t>计量  单位</w:t>
            </w:r>
          </w:p>
        </w:tc>
        <w:tc>
          <w:tcPr>
            <w:tcW w:w="850" w:type="dxa"/>
            <w:vMerge w:val="restart"/>
            <w:vAlign w:val="center"/>
          </w:tcPr>
          <w:p>
            <w:pPr>
              <w:pStyle w:val="12"/>
              <w:spacing w:line="579" w:lineRule="exact"/>
            </w:pPr>
            <w:r>
              <w:t>数量</w:t>
            </w:r>
          </w:p>
        </w:tc>
        <w:tc>
          <w:tcPr>
            <w:tcW w:w="850" w:type="dxa"/>
            <w:vMerge w:val="restart"/>
            <w:vAlign w:val="center"/>
          </w:tcPr>
          <w:p>
            <w:pPr>
              <w:pStyle w:val="12"/>
              <w:spacing w:line="579" w:lineRule="exact"/>
            </w:pPr>
            <w:r>
              <w:t>单价</w:t>
            </w:r>
          </w:p>
        </w:tc>
        <w:tc>
          <w:tcPr>
            <w:tcW w:w="7712" w:type="dxa"/>
            <w:gridSpan w:val="8"/>
            <w:vAlign w:val="center"/>
          </w:tcPr>
          <w:p>
            <w:pPr>
              <w:pStyle w:val="12"/>
              <w:spacing w:line="579" w:lineRule="exact"/>
            </w:pPr>
            <w:r>
              <w:t>政府采购金额（当年</w:t>
            </w:r>
            <w:r>
              <w:rPr>
                <w:rFonts w:hint="eastAsia"/>
                <w:lang w:eastAsia="zh-CN"/>
              </w:rPr>
              <w:t>单位</w:t>
            </w:r>
            <w:r>
              <w:t>预算安排资金）</w:t>
            </w:r>
          </w:p>
        </w:tc>
        <w:tc>
          <w:tcPr>
            <w:tcW w:w="964" w:type="dxa"/>
            <w:vMerge w:val="restart"/>
            <w:vAlign w:val="center"/>
          </w:tcPr>
          <w:p>
            <w:pPr>
              <w:pStyle w:val="12"/>
              <w:spacing w:line="579"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spacing w:line="579" w:lineRule="exact"/>
            </w:pPr>
            <w:r>
              <w:t>项目名称</w:t>
            </w:r>
          </w:p>
        </w:tc>
        <w:tc>
          <w:tcPr>
            <w:tcW w:w="964" w:type="dxa"/>
            <w:vAlign w:val="center"/>
          </w:tcPr>
          <w:p>
            <w:pPr>
              <w:pStyle w:val="12"/>
              <w:spacing w:line="579" w:lineRule="exact"/>
            </w:pPr>
            <w:r>
              <w:t>预算    资金</w:t>
            </w:r>
          </w:p>
        </w:tc>
        <w:tc>
          <w:tcPr>
            <w:tcW w:w="1134" w:type="dxa"/>
            <w:vMerge w:val="continue"/>
          </w:tcPr>
          <w:p>
            <w:pPr>
              <w:spacing w:line="579" w:lineRule="exact"/>
            </w:pPr>
          </w:p>
        </w:tc>
        <w:tc>
          <w:tcPr>
            <w:tcW w:w="1134" w:type="dxa"/>
            <w:vMerge w:val="continue"/>
          </w:tcPr>
          <w:p>
            <w:pPr>
              <w:spacing w:line="579" w:lineRule="exact"/>
            </w:pPr>
          </w:p>
        </w:tc>
        <w:tc>
          <w:tcPr>
            <w:tcW w:w="709" w:type="dxa"/>
            <w:vMerge w:val="continue"/>
          </w:tcPr>
          <w:p>
            <w:pPr>
              <w:spacing w:line="579" w:lineRule="exact"/>
            </w:pPr>
          </w:p>
        </w:tc>
        <w:tc>
          <w:tcPr>
            <w:tcW w:w="850" w:type="dxa"/>
            <w:vMerge w:val="continue"/>
          </w:tcPr>
          <w:p>
            <w:pPr>
              <w:spacing w:line="579" w:lineRule="exact"/>
            </w:pPr>
          </w:p>
        </w:tc>
        <w:tc>
          <w:tcPr>
            <w:tcW w:w="850" w:type="dxa"/>
            <w:vMerge w:val="continue"/>
          </w:tcPr>
          <w:p>
            <w:pPr>
              <w:spacing w:line="579" w:lineRule="exact"/>
            </w:pPr>
          </w:p>
        </w:tc>
        <w:tc>
          <w:tcPr>
            <w:tcW w:w="964" w:type="dxa"/>
            <w:vAlign w:val="center"/>
          </w:tcPr>
          <w:p>
            <w:pPr>
              <w:pStyle w:val="12"/>
              <w:spacing w:line="579" w:lineRule="exact"/>
            </w:pPr>
            <w:r>
              <w:t>合计</w:t>
            </w:r>
          </w:p>
        </w:tc>
        <w:tc>
          <w:tcPr>
            <w:tcW w:w="964" w:type="dxa"/>
            <w:vAlign w:val="center"/>
          </w:tcPr>
          <w:p>
            <w:pPr>
              <w:pStyle w:val="12"/>
              <w:spacing w:line="579" w:lineRule="exact"/>
            </w:pPr>
            <w:r>
              <w:t>一般公共预算拨款</w:t>
            </w:r>
          </w:p>
        </w:tc>
        <w:tc>
          <w:tcPr>
            <w:tcW w:w="964" w:type="dxa"/>
            <w:vAlign w:val="center"/>
          </w:tcPr>
          <w:p>
            <w:pPr>
              <w:pStyle w:val="12"/>
              <w:spacing w:line="579" w:lineRule="exact"/>
            </w:pPr>
            <w:r>
              <w:t>基金预算拨款</w:t>
            </w:r>
          </w:p>
        </w:tc>
        <w:tc>
          <w:tcPr>
            <w:tcW w:w="964" w:type="dxa"/>
            <w:vAlign w:val="center"/>
          </w:tcPr>
          <w:p>
            <w:pPr>
              <w:pStyle w:val="12"/>
              <w:spacing w:line="579" w:lineRule="exact"/>
            </w:pPr>
            <w:r>
              <w:t>国有资本经营预算拨款</w:t>
            </w:r>
          </w:p>
        </w:tc>
        <w:tc>
          <w:tcPr>
            <w:tcW w:w="964" w:type="dxa"/>
            <w:vAlign w:val="center"/>
          </w:tcPr>
          <w:p>
            <w:pPr>
              <w:pStyle w:val="12"/>
              <w:spacing w:line="579" w:lineRule="exact"/>
            </w:pPr>
            <w:r>
              <w:t>财政专户核拨</w:t>
            </w:r>
          </w:p>
        </w:tc>
        <w:tc>
          <w:tcPr>
            <w:tcW w:w="964" w:type="dxa"/>
            <w:vAlign w:val="center"/>
          </w:tcPr>
          <w:p>
            <w:pPr>
              <w:pStyle w:val="12"/>
              <w:spacing w:line="579" w:lineRule="exact"/>
            </w:pPr>
            <w:r>
              <w:t>单位    资金</w:t>
            </w:r>
          </w:p>
        </w:tc>
        <w:tc>
          <w:tcPr>
            <w:tcW w:w="964" w:type="dxa"/>
            <w:vAlign w:val="center"/>
          </w:tcPr>
          <w:p>
            <w:pPr>
              <w:pStyle w:val="12"/>
              <w:spacing w:line="579" w:lineRule="exact"/>
            </w:pPr>
            <w:r>
              <w:t>财政拨    款结转</w:t>
            </w:r>
          </w:p>
        </w:tc>
        <w:tc>
          <w:tcPr>
            <w:tcW w:w="964" w:type="dxa"/>
            <w:vAlign w:val="center"/>
          </w:tcPr>
          <w:p>
            <w:pPr>
              <w:pStyle w:val="12"/>
              <w:spacing w:line="579" w:lineRule="exact"/>
            </w:pPr>
            <w:r>
              <w:t>非财政    拨款结    转结余</w:t>
            </w:r>
          </w:p>
        </w:tc>
        <w:tc>
          <w:tcPr>
            <w:tcW w:w="964" w:type="dxa"/>
            <w:vMerge w:val="continue"/>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r>
              <w:t>合  计</w:t>
            </w:r>
          </w:p>
        </w:tc>
        <w:tc>
          <w:tcPr>
            <w:tcW w:w="964" w:type="dxa"/>
            <w:vAlign w:val="center"/>
          </w:tcPr>
          <w:p>
            <w:pPr>
              <w:pStyle w:val="17"/>
              <w:spacing w:line="579" w:lineRule="exact"/>
              <w:rPr>
                <w:lang w:eastAsia="zh-CN"/>
              </w:rPr>
            </w:pPr>
            <w:r>
              <w:rPr>
                <w:rFonts w:hint="eastAsia"/>
                <w:lang w:eastAsia="zh-CN"/>
              </w:rPr>
              <w:t>1635</w:t>
            </w:r>
          </w:p>
        </w:tc>
        <w:tc>
          <w:tcPr>
            <w:tcW w:w="1134" w:type="dxa"/>
            <w:vAlign w:val="center"/>
          </w:tcPr>
          <w:p>
            <w:pPr>
              <w:pStyle w:val="18"/>
              <w:spacing w:line="579" w:lineRule="exact"/>
              <w:rPr>
                <w:lang w:eastAsia="zh-CN"/>
              </w:rPr>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rPr>
                <w:lang w:eastAsia="zh-CN"/>
              </w:rPr>
            </w:pPr>
            <w:r>
              <w:rPr>
                <w:rFonts w:hint="eastAsia"/>
                <w:lang w:eastAsia="zh-CN"/>
              </w:rPr>
              <w:t>1635</w:t>
            </w:r>
          </w:p>
        </w:tc>
        <w:tc>
          <w:tcPr>
            <w:tcW w:w="964" w:type="dxa"/>
            <w:vAlign w:val="center"/>
          </w:tcPr>
          <w:p>
            <w:pPr>
              <w:pStyle w:val="17"/>
              <w:spacing w:line="579" w:lineRule="exact"/>
              <w:rPr>
                <w:lang w:eastAsia="zh-CN"/>
              </w:rPr>
            </w:pPr>
            <w:r>
              <w:rPr>
                <w:rFonts w:hint="eastAsia"/>
                <w:lang w:eastAsia="zh-CN"/>
              </w:rPr>
              <w:t>1635</w:t>
            </w: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rPr>
                <w:lang w:eastAsia="zh-CN"/>
              </w:rPr>
            </w:pPr>
            <w:r>
              <w:rPr>
                <w:rFonts w:hint="eastAsia"/>
                <w:lang w:eastAsia="zh-CN"/>
              </w:rPr>
              <w:t>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1097" w:type="dxa"/>
            <w:vAlign w:val="center"/>
          </w:tcPr>
          <w:p>
            <w:pPr>
              <w:pStyle w:val="16"/>
              <w:spacing w:line="579" w:lineRule="exact"/>
              <w:rPr>
                <w:b w:val="0"/>
                <w:bCs/>
                <w:lang w:eastAsia="zh-CN"/>
              </w:rPr>
            </w:pPr>
            <w:r>
              <w:rPr>
                <w:rFonts w:hint="eastAsia"/>
                <w:b w:val="0"/>
                <w:bCs/>
                <w:lang w:eastAsia="zh-CN"/>
              </w:rPr>
              <w:t>廊坊市第十五小学装配式校舍项目</w:t>
            </w:r>
          </w:p>
        </w:tc>
        <w:tc>
          <w:tcPr>
            <w:tcW w:w="964" w:type="dxa"/>
            <w:vAlign w:val="center"/>
          </w:tcPr>
          <w:p>
            <w:pPr>
              <w:pStyle w:val="17"/>
              <w:spacing w:line="579" w:lineRule="exact"/>
              <w:rPr>
                <w:b w:val="0"/>
                <w:bCs/>
                <w:lang w:eastAsia="zh-CN"/>
              </w:rPr>
            </w:pPr>
            <w:r>
              <w:rPr>
                <w:rFonts w:hint="eastAsia"/>
                <w:b w:val="0"/>
                <w:bCs/>
                <w:lang w:eastAsia="zh-CN"/>
              </w:rPr>
              <w:t>1500</w:t>
            </w:r>
          </w:p>
        </w:tc>
        <w:tc>
          <w:tcPr>
            <w:tcW w:w="1134" w:type="dxa"/>
            <w:vAlign w:val="center"/>
          </w:tcPr>
          <w:p>
            <w:pPr>
              <w:pStyle w:val="18"/>
              <w:spacing w:line="579" w:lineRule="exact"/>
              <w:rPr>
                <w:b w:val="0"/>
                <w:bCs/>
                <w:lang w:eastAsia="zh-CN"/>
              </w:rPr>
            </w:pPr>
            <w:r>
              <w:rPr>
                <w:rFonts w:hint="eastAsia"/>
                <w:b w:val="0"/>
                <w:bCs/>
                <w:lang w:eastAsia="zh-CN"/>
              </w:rPr>
              <w:t>装配式校舍</w:t>
            </w:r>
          </w:p>
        </w:tc>
        <w:tc>
          <w:tcPr>
            <w:tcW w:w="1134" w:type="dxa"/>
            <w:vAlign w:val="center"/>
          </w:tcPr>
          <w:p>
            <w:pPr>
              <w:pStyle w:val="18"/>
              <w:spacing w:line="579" w:lineRule="exact"/>
              <w:rPr>
                <w:b w:val="0"/>
                <w:bCs/>
                <w:lang w:eastAsia="zh-CN"/>
              </w:rPr>
            </w:pPr>
            <w:r>
              <w:rPr>
                <w:rFonts w:hint="eastAsia"/>
                <w:b w:val="0"/>
                <w:bCs/>
                <w:lang w:eastAsia="zh-CN"/>
              </w:rPr>
              <w:t>B010601</w:t>
            </w:r>
          </w:p>
        </w:tc>
        <w:tc>
          <w:tcPr>
            <w:tcW w:w="709" w:type="dxa"/>
            <w:vAlign w:val="center"/>
          </w:tcPr>
          <w:p>
            <w:pPr>
              <w:pStyle w:val="16"/>
              <w:spacing w:line="579" w:lineRule="exact"/>
              <w:rPr>
                <w:b w:val="0"/>
                <w:bCs/>
                <w:lang w:eastAsia="zh-CN"/>
              </w:rPr>
            </w:pPr>
            <w:r>
              <w:rPr>
                <w:rFonts w:hint="eastAsia"/>
                <w:b w:val="0"/>
                <w:bCs/>
                <w:lang w:eastAsia="zh-CN"/>
              </w:rPr>
              <w:t>平方米</w:t>
            </w:r>
          </w:p>
        </w:tc>
        <w:tc>
          <w:tcPr>
            <w:tcW w:w="850" w:type="dxa"/>
            <w:vAlign w:val="center"/>
          </w:tcPr>
          <w:p>
            <w:pPr>
              <w:pStyle w:val="17"/>
              <w:spacing w:line="579" w:lineRule="exact"/>
              <w:rPr>
                <w:b w:val="0"/>
                <w:bCs/>
                <w:lang w:eastAsia="zh-CN"/>
              </w:rPr>
            </w:pPr>
            <w:r>
              <w:rPr>
                <w:rFonts w:hint="eastAsia"/>
                <w:b w:val="0"/>
                <w:bCs/>
                <w:lang w:eastAsia="zh-CN"/>
              </w:rPr>
              <w:t>3000</w:t>
            </w:r>
          </w:p>
        </w:tc>
        <w:tc>
          <w:tcPr>
            <w:tcW w:w="850" w:type="dxa"/>
            <w:vAlign w:val="center"/>
          </w:tcPr>
          <w:p>
            <w:pPr>
              <w:pStyle w:val="17"/>
              <w:spacing w:line="579" w:lineRule="exact"/>
              <w:rPr>
                <w:b w:val="0"/>
                <w:bCs/>
                <w:lang w:eastAsia="zh-CN"/>
              </w:rPr>
            </w:pPr>
            <w:r>
              <w:rPr>
                <w:rFonts w:hint="eastAsia"/>
                <w:b w:val="0"/>
                <w:bCs/>
                <w:lang w:eastAsia="zh-CN"/>
              </w:rPr>
              <w:t>0.5万元</w:t>
            </w:r>
          </w:p>
        </w:tc>
        <w:tc>
          <w:tcPr>
            <w:tcW w:w="964" w:type="dxa"/>
            <w:vAlign w:val="center"/>
          </w:tcPr>
          <w:p>
            <w:pPr>
              <w:pStyle w:val="17"/>
              <w:spacing w:line="579" w:lineRule="exact"/>
              <w:rPr>
                <w:b w:val="0"/>
                <w:bCs/>
                <w:lang w:eastAsia="zh-CN"/>
              </w:rPr>
            </w:pPr>
            <w:r>
              <w:rPr>
                <w:rFonts w:hint="eastAsia"/>
                <w:b w:val="0"/>
                <w:bCs/>
                <w:lang w:eastAsia="zh-CN"/>
              </w:rPr>
              <w:t>1500</w:t>
            </w:r>
          </w:p>
        </w:tc>
        <w:tc>
          <w:tcPr>
            <w:tcW w:w="964" w:type="dxa"/>
            <w:vAlign w:val="center"/>
          </w:tcPr>
          <w:p>
            <w:pPr>
              <w:pStyle w:val="17"/>
              <w:spacing w:line="579" w:lineRule="exact"/>
              <w:rPr>
                <w:b w:val="0"/>
                <w:bCs/>
                <w:lang w:eastAsia="zh-CN"/>
              </w:rPr>
            </w:pPr>
            <w:r>
              <w:rPr>
                <w:rFonts w:hint="eastAsia"/>
                <w:b w:val="0"/>
                <w:bCs/>
                <w:lang w:eastAsia="zh-CN"/>
              </w:rPr>
              <w:t>1500</w:t>
            </w:r>
          </w:p>
        </w:tc>
        <w:tc>
          <w:tcPr>
            <w:tcW w:w="964" w:type="dxa"/>
            <w:vAlign w:val="center"/>
          </w:tcPr>
          <w:p>
            <w:pPr>
              <w:pStyle w:val="17"/>
              <w:spacing w:line="579" w:lineRule="exact"/>
              <w:rPr>
                <w:b w:val="0"/>
                <w:bCs/>
              </w:rPr>
            </w:pPr>
          </w:p>
        </w:tc>
        <w:tc>
          <w:tcPr>
            <w:tcW w:w="964" w:type="dxa"/>
            <w:vAlign w:val="center"/>
          </w:tcPr>
          <w:p>
            <w:pPr>
              <w:pStyle w:val="17"/>
              <w:spacing w:line="579" w:lineRule="exact"/>
              <w:rPr>
                <w:b w:val="0"/>
                <w:bCs/>
              </w:rPr>
            </w:pPr>
          </w:p>
        </w:tc>
        <w:tc>
          <w:tcPr>
            <w:tcW w:w="964" w:type="dxa"/>
            <w:vAlign w:val="center"/>
          </w:tcPr>
          <w:p>
            <w:pPr>
              <w:pStyle w:val="17"/>
              <w:spacing w:line="579" w:lineRule="exact"/>
              <w:rPr>
                <w:b w:val="0"/>
                <w:bCs/>
              </w:rPr>
            </w:pPr>
          </w:p>
        </w:tc>
        <w:tc>
          <w:tcPr>
            <w:tcW w:w="964" w:type="dxa"/>
            <w:vAlign w:val="center"/>
          </w:tcPr>
          <w:p>
            <w:pPr>
              <w:pStyle w:val="17"/>
              <w:spacing w:line="579" w:lineRule="exact"/>
              <w:rPr>
                <w:b w:val="0"/>
                <w:bCs/>
              </w:rPr>
            </w:pPr>
          </w:p>
        </w:tc>
        <w:tc>
          <w:tcPr>
            <w:tcW w:w="964" w:type="dxa"/>
            <w:vAlign w:val="center"/>
          </w:tcPr>
          <w:p>
            <w:pPr>
              <w:pStyle w:val="17"/>
              <w:spacing w:line="579" w:lineRule="exact"/>
              <w:rPr>
                <w:b w:val="0"/>
                <w:bCs/>
              </w:rPr>
            </w:pPr>
          </w:p>
        </w:tc>
        <w:tc>
          <w:tcPr>
            <w:tcW w:w="964" w:type="dxa"/>
            <w:vAlign w:val="center"/>
          </w:tcPr>
          <w:p>
            <w:pPr>
              <w:pStyle w:val="17"/>
              <w:spacing w:line="579" w:lineRule="exact"/>
              <w:rPr>
                <w:b w:val="0"/>
                <w:bCs/>
              </w:rPr>
            </w:pPr>
          </w:p>
        </w:tc>
        <w:tc>
          <w:tcPr>
            <w:tcW w:w="964" w:type="dxa"/>
            <w:vAlign w:val="center"/>
          </w:tcPr>
          <w:p>
            <w:pPr>
              <w:pStyle w:val="17"/>
              <w:spacing w:line="579" w:lineRule="exact"/>
              <w:rPr>
                <w:b w:val="0"/>
                <w:bCs/>
                <w:lang w:eastAsia="zh-CN"/>
              </w:rPr>
            </w:pPr>
            <w:r>
              <w:rPr>
                <w:rFonts w:hint="eastAsia"/>
                <w:b w:val="0"/>
                <w:bCs/>
                <w:lang w:eastAsia="zh-CN"/>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r>
              <w:rPr>
                <w:rFonts w:hint="eastAsia"/>
                <w:bCs/>
                <w:lang w:eastAsia="zh-CN"/>
              </w:rPr>
              <w:t>廊坊市第十五小学设备购置项目</w:t>
            </w:r>
          </w:p>
        </w:tc>
        <w:tc>
          <w:tcPr>
            <w:tcW w:w="964" w:type="dxa"/>
            <w:vAlign w:val="center"/>
          </w:tcPr>
          <w:p>
            <w:pPr>
              <w:pStyle w:val="13"/>
              <w:spacing w:line="579" w:lineRule="exact"/>
              <w:rPr>
                <w:lang w:eastAsia="zh-CN"/>
              </w:rPr>
            </w:pPr>
            <w:r>
              <w:rPr>
                <w:rFonts w:hint="eastAsia"/>
                <w:lang w:eastAsia="zh-CN"/>
              </w:rPr>
              <w:t>135</w:t>
            </w:r>
          </w:p>
        </w:tc>
        <w:tc>
          <w:tcPr>
            <w:tcW w:w="1134" w:type="dxa"/>
            <w:vAlign w:val="center"/>
          </w:tcPr>
          <w:p>
            <w:pPr>
              <w:pStyle w:val="14"/>
              <w:spacing w:line="579" w:lineRule="exact"/>
              <w:rPr>
                <w:lang w:eastAsia="zh-CN"/>
              </w:rPr>
            </w:pPr>
            <w:r>
              <w:rPr>
                <w:rFonts w:hint="eastAsia"/>
                <w:lang w:eastAsia="zh-CN"/>
              </w:rPr>
              <w:t>设备购置</w:t>
            </w:r>
          </w:p>
        </w:tc>
        <w:tc>
          <w:tcPr>
            <w:tcW w:w="1134" w:type="dxa"/>
            <w:vAlign w:val="center"/>
          </w:tcPr>
          <w:p>
            <w:pPr>
              <w:pStyle w:val="14"/>
              <w:spacing w:line="579" w:lineRule="exact"/>
              <w:rPr>
                <w:lang w:eastAsia="zh-CN"/>
              </w:rPr>
            </w:pPr>
            <w:r>
              <w:rPr>
                <w:rFonts w:hint="eastAsia"/>
                <w:lang w:eastAsia="zh-CN"/>
              </w:rPr>
              <w:t>A9999</w:t>
            </w:r>
          </w:p>
        </w:tc>
        <w:tc>
          <w:tcPr>
            <w:tcW w:w="709" w:type="dxa"/>
            <w:vAlign w:val="center"/>
          </w:tcPr>
          <w:p>
            <w:pPr>
              <w:pStyle w:val="15"/>
              <w:spacing w:line="579" w:lineRule="exact"/>
              <w:rPr>
                <w:lang w:eastAsia="zh-CN"/>
              </w:rPr>
            </w:pPr>
            <w:r>
              <w:rPr>
                <w:rFonts w:hint="eastAsia"/>
                <w:lang w:eastAsia="zh-CN"/>
              </w:rPr>
              <w:t>万元</w:t>
            </w:r>
          </w:p>
        </w:tc>
        <w:tc>
          <w:tcPr>
            <w:tcW w:w="850" w:type="dxa"/>
            <w:vAlign w:val="center"/>
          </w:tcPr>
          <w:p>
            <w:pPr>
              <w:pStyle w:val="13"/>
              <w:spacing w:line="579" w:lineRule="exact"/>
              <w:rPr>
                <w:lang w:eastAsia="zh-CN"/>
              </w:rPr>
            </w:pPr>
            <w:r>
              <w:rPr>
                <w:rFonts w:hint="eastAsia"/>
                <w:lang w:eastAsia="zh-CN"/>
              </w:rPr>
              <w:t>1</w:t>
            </w:r>
          </w:p>
        </w:tc>
        <w:tc>
          <w:tcPr>
            <w:tcW w:w="850" w:type="dxa"/>
            <w:vAlign w:val="center"/>
          </w:tcPr>
          <w:p>
            <w:pPr>
              <w:pStyle w:val="13"/>
              <w:spacing w:line="579" w:lineRule="exact"/>
              <w:rPr>
                <w:lang w:eastAsia="zh-CN"/>
              </w:rPr>
            </w:pPr>
            <w:r>
              <w:rPr>
                <w:rFonts w:hint="eastAsia"/>
                <w:lang w:eastAsia="zh-CN"/>
              </w:rPr>
              <w:t>135</w:t>
            </w:r>
          </w:p>
        </w:tc>
        <w:tc>
          <w:tcPr>
            <w:tcW w:w="964" w:type="dxa"/>
            <w:vAlign w:val="center"/>
          </w:tcPr>
          <w:p>
            <w:pPr>
              <w:pStyle w:val="13"/>
              <w:spacing w:line="579" w:lineRule="exact"/>
              <w:rPr>
                <w:lang w:eastAsia="zh-CN"/>
              </w:rPr>
            </w:pPr>
            <w:r>
              <w:rPr>
                <w:rFonts w:hint="eastAsia"/>
                <w:lang w:eastAsia="zh-CN"/>
              </w:rPr>
              <w:t>135</w:t>
            </w:r>
          </w:p>
        </w:tc>
        <w:tc>
          <w:tcPr>
            <w:tcW w:w="964" w:type="dxa"/>
            <w:vAlign w:val="center"/>
          </w:tcPr>
          <w:p>
            <w:pPr>
              <w:pStyle w:val="13"/>
              <w:spacing w:line="579" w:lineRule="exact"/>
              <w:rPr>
                <w:lang w:eastAsia="zh-CN"/>
              </w:rPr>
            </w:pPr>
            <w:r>
              <w:rPr>
                <w:rFonts w:hint="eastAsia"/>
                <w:lang w:eastAsia="zh-CN"/>
              </w:rPr>
              <w:t>135</w:t>
            </w: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rPr>
                <w:lang w:eastAsia="zh-CN"/>
              </w:rPr>
            </w:pPr>
            <w:r>
              <w:rPr>
                <w:rFonts w:hint="eastAsia"/>
                <w:lang w:eastAsia="zh-CN"/>
              </w:rPr>
              <w:t>135</w:t>
            </w:r>
          </w:p>
        </w:tc>
      </w:tr>
    </w:tbl>
    <w:p>
      <w:pPr>
        <w:spacing w:line="579"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79" w:lineRule="exact"/>
        <w:ind w:firstLine="420"/>
        <w:rPr>
          <w:rFonts w:ascii="方正仿宋_GBK" w:hAnsi="方正仿宋_GBK" w:eastAsia="方正仿宋_GBK" w:cs="方正仿宋_GBK"/>
          <w:color w:val="000000"/>
        </w:rPr>
      </w:pPr>
    </w:p>
    <w:p>
      <w:pPr>
        <w:spacing w:line="579"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第十五小学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557.169966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总额为1635万元，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装配式校舍、相应教室内配套设备</w:t>
      </w:r>
      <w:r>
        <w:rPr>
          <w:rFonts w:ascii="Times New Roman" w:hAnsi="Times New Roman" w:eastAsia="仿宋_GB2312" w:cs="Times New Roman"/>
          <w:sz w:val="32"/>
          <w:szCs w:val="32"/>
        </w:rPr>
        <w:t>等，已列入政府采购预算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79"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79"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w:t>
            </w:r>
            <w:r>
              <w:rPr>
                <w:rFonts w:hint="eastAsia" w:ascii="Times New Roman" w:hAnsi="Times New Roman" w:eastAsia="仿宋_GB2312" w:cs="Times New Roman"/>
                <w:kern w:val="0"/>
                <w:sz w:val="22"/>
              </w:rPr>
              <w:t>廊坊市第十五小学</w:t>
            </w:r>
          </w:p>
        </w:tc>
        <w:tc>
          <w:tcPr>
            <w:tcW w:w="5103" w:type="dxa"/>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557.169966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22916件</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557.169966</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79"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07E484-D07A-4EE9-AC6D-8B9ACAFC98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CD508EFC-94B4-412C-96C6-AD832E174E49}"/>
  </w:font>
  <w:font w:name="仿宋_GB2312">
    <w:panose1 w:val="02010609030101010101"/>
    <w:charset w:val="86"/>
    <w:family w:val="modern"/>
    <w:pitch w:val="default"/>
    <w:sig w:usb0="00000001" w:usb1="080E0000" w:usb2="00000000" w:usb3="00000000" w:csb0="00040000" w:csb1="00000000"/>
    <w:embedRegular r:id="rId3" w:fontKey="{92E54FC5-7668-422F-ACF9-22C235F81A27}"/>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5</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25B34"/>
    <w:rsid w:val="000346A3"/>
    <w:rsid w:val="000F6018"/>
    <w:rsid w:val="0025632D"/>
    <w:rsid w:val="003059E0"/>
    <w:rsid w:val="004A54AA"/>
    <w:rsid w:val="00524671"/>
    <w:rsid w:val="005C3E76"/>
    <w:rsid w:val="00944233"/>
    <w:rsid w:val="00B37972"/>
    <w:rsid w:val="00B40732"/>
    <w:rsid w:val="00B80935"/>
    <w:rsid w:val="00D347CC"/>
    <w:rsid w:val="00DC72B4"/>
    <w:rsid w:val="00FA1639"/>
    <w:rsid w:val="05ED6D15"/>
    <w:rsid w:val="0B094373"/>
    <w:rsid w:val="0CEC1180"/>
    <w:rsid w:val="18561616"/>
    <w:rsid w:val="29EC5EB7"/>
    <w:rsid w:val="3E721015"/>
    <w:rsid w:val="42151615"/>
    <w:rsid w:val="4D631AC0"/>
    <w:rsid w:val="4FC942FF"/>
    <w:rsid w:val="617F515F"/>
    <w:rsid w:val="734B045B"/>
    <w:rsid w:val="73693C55"/>
    <w:rsid w:val="779416A9"/>
    <w:rsid w:val="78245984"/>
    <w:rsid w:val="7FFE30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1255</Words>
  <Characters>7158</Characters>
  <Lines>59</Lines>
  <Paragraphs>16</Paragraphs>
  <TotalTime>3</TotalTime>
  <ScaleCrop>false</ScaleCrop>
  <LinksUpToDate>false</LinksUpToDate>
  <CharactersWithSpaces>8397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2023-08-01T08:38:38Z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4FF2CD25E7374AFFB7381904877477A2</vt:lpwstr>
  </property>
</Properties>
</file>