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lang w:eastAsia="zh-CN"/>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第十六中学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19"/>
        <w:widowControl/>
        <w:adjustRightInd w:val="0"/>
        <w:spacing w:line="579" w:lineRule="exact"/>
        <w:ind w:left="630" w:firstLine="0" w:firstLineChars="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（一）实施中小学义务教育，促进基础教育发展，完成中小学学历教育；</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（二）发展城市义务教育；</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（三）开展教师教研及学生德育活动；</w:t>
      </w:r>
    </w:p>
    <w:p>
      <w:pPr>
        <w:pStyle w:val="19"/>
        <w:widowControl/>
        <w:adjustRightInd w:val="0"/>
        <w:spacing w:line="579" w:lineRule="exact"/>
        <w:ind w:firstLine="64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（四）改善薄弱学校办学条件；</w:t>
      </w:r>
    </w:p>
    <w:p>
      <w:pPr>
        <w:pStyle w:val="19"/>
        <w:widowControl/>
        <w:adjustRightInd w:val="0"/>
        <w:snapToGrid w:val="0"/>
        <w:spacing w:line="579"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（五）提升特殊教育保障水平。</w:t>
      </w:r>
    </w:p>
    <w:p>
      <w:pPr>
        <w:pStyle w:val="19"/>
        <w:widowControl/>
        <w:adjustRightInd w:val="0"/>
        <w:spacing w:line="579" w:lineRule="exact"/>
        <w:ind w:firstLine="640"/>
        <w:jc w:val="left"/>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廊坊市第十六中学</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第十六中学2022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671.2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1156.77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2201.57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2099.37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671.2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在编人员经费及公用经费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1428.17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合同制教师经费及生均公用经费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 xml:space="preserve">1、发展城市义务教育  </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免除城市区中小学生学杂费，提高公用经费保障水平，为贫困中小学生免费提供教科书，</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对接收进城务工农民工子女的学校进行补助。</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改善城区中小学办学条件。</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 xml:space="preserve"> 保障中小学公用经费水平逐年提高，解决大班额问题及入学难问题。</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保障小学入学率。</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2、改善学校办学条件</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保障义务教育阶段学校基本教学条件，改善学校生活设施，保障后勤社会化服务，解决学校大班额问题。</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开展学生社会实践活动，建立学生实践教育基地，推进学校教育信息化。</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3、提升特殊教育保障水平</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保证教学设备设施配备齐全，保障学生校园安全，支持贫困学生和爱心家园学生完成学业。</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改善办学条件，配置基础教育资源</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4、开展教师教研及学生德育活动</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开展各类课题研究、校本研究，加强教师培训和教学交流，加强德育培训与研究，举办各类教育教学活动。</w:t>
      </w:r>
    </w:p>
    <w:p>
      <w:pPr>
        <w:pStyle w:val="20"/>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提高教师教学水平，调动教师积极性，培养专家型教师人才，提高学生的综合素质。</w:t>
      </w:r>
    </w:p>
    <w:p>
      <w:pPr>
        <w:widowControl/>
        <w:shd w:val="clear" w:color="auto" w:fill="FFFFFF"/>
        <w:spacing w:line="579" w:lineRule="exact"/>
        <w:ind w:firstLine="640" w:firstLineChars="200"/>
        <w:jc w:val="left"/>
        <w:rPr>
          <w:rFonts w:ascii="仿宋_GB2312" w:hAnsi="宋体" w:eastAsia="仿宋_GB2312"/>
          <w:color w:val="000000"/>
          <w:sz w:val="32"/>
          <w:szCs w:val="32"/>
        </w:rPr>
      </w:pP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spacing w:line="579"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1、提高义务教育水平，免除城市区中小学生学杂费，提供免费教科书，解决大班额问题及入学难问题。对贫困中小学生进行补助。</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2、按质按量完成教育教学方面的各项任务，稳步提升学校的教育教学质量，学生综合素质评价优秀率达到85%,合格率达到100%。</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4、提升学校基础设施设备的整体水平。加强学校基础设施设备的维护,确保校园安全,落实校园防火及其他安全隐患的预防工作。确保校园各设施设备的正常运行。</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6、学校的文化宣传整体布局,建成学校校史馆,完成各班级、各科室及教师办公室的文化宣传布置。加大学校办学理念、目标的宣传,形成具有特色的校园文化氛围。</w:t>
      </w:r>
    </w:p>
    <w:p>
      <w:pPr>
        <w:pStyle w:val="21"/>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7、办人民满意的学校,教师、学生、家长整体满意度达到90%以上。</w:t>
      </w:r>
    </w:p>
    <w:p>
      <w:pPr>
        <w:spacing w:line="579" w:lineRule="exact"/>
        <w:ind w:firstLine="964" w:firstLineChars="3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spacing w:line="579" w:lineRule="exact"/>
        <w:rPr>
          <w:rFonts w:ascii="仿宋_GB2312" w:hAnsi="宋体" w:eastAsia="仿宋_GB2312" w:cs="Arial"/>
          <w:color w:val="000000"/>
          <w:sz w:val="32"/>
          <w:szCs w:val="32"/>
        </w:rPr>
      </w:pPr>
      <w:r>
        <w:t>1</w:t>
      </w:r>
      <w:r>
        <w:rPr>
          <w:rFonts w:hint="eastAsia" w:ascii="仿宋_GB2312" w:hAnsi="宋体" w:eastAsia="仿宋_GB2312" w:cs="Arial"/>
          <w:color w:val="000000"/>
          <w:sz w:val="32"/>
          <w:szCs w:val="32"/>
        </w:rPr>
        <w:t>、成立学校监督小组，监督学校工作，强化工作落实。</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6、加强政治理论学习，强化党风廉政建设。做好师德传承活动，落实老中青传帮带。弘扬办学精神。加强师德宣传与学习活动。开展形式多样、扎实有效的师德教育活动。</w:t>
      </w:r>
    </w:p>
    <w:p>
      <w:pPr>
        <w:pStyle w:val="22"/>
        <w:spacing w:line="579" w:lineRule="exact"/>
        <w:rPr>
          <w:rFonts w:ascii="仿宋_GB2312" w:hAnsi="宋体" w:eastAsia="仿宋_GB2312" w:cs="Arial"/>
          <w:color w:val="000000"/>
          <w:sz w:val="32"/>
          <w:szCs w:val="32"/>
        </w:rPr>
      </w:pPr>
      <w:r>
        <w:rPr>
          <w:rFonts w:hint="eastAsia" w:ascii="仿宋_GB2312" w:hAnsi="宋体" w:eastAsia="仿宋_GB2312" w:cs="Arial"/>
          <w:color w:val="00000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5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924"/>
        <w:gridCol w:w="4730"/>
        <w:gridCol w:w="2770"/>
        <w:gridCol w:w="863"/>
        <w:gridCol w:w="709"/>
        <w:gridCol w:w="170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192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473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77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3281"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28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spacing w:line="240" w:lineRule="auto"/>
            </w:pPr>
          </w:p>
        </w:tc>
        <w:tc>
          <w:tcPr>
            <w:tcW w:w="1924" w:type="dxa"/>
            <w:vMerge w:val="continue"/>
            <w:tcBorders>
              <w:tl2br w:val="nil"/>
              <w:tr2bl w:val="nil"/>
            </w:tcBorders>
            <w:vAlign w:val="center"/>
          </w:tcPr>
          <w:p>
            <w:pPr>
              <w:spacing w:line="240" w:lineRule="auto"/>
            </w:pPr>
          </w:p>
        </w:tc>
        <w:tc>
          <w:tcPr>
            <w:tcW w:w="4730" w:type="dxa"/>
            <w:vMerge w:val="continue"/>
            <w:tcBorders>
              <w:tl2br w:val="nil"/>
              <w:tr2bl w:val="nil"/>
            </w:tcBorders>
            <w:vAlign w:val="center"/>
          </w:tcPr>
          <w:p>
            <w:pPr>
              <w:spacing w:line="240" w:lineRule="auto"/>
            </w:pPr>
          </w:p>
        </w:tc>
        <w:tc>
          <w:tcPr>
            <w:tcW w:w="2770" w:type="dxa"/>
            <w:vMerge w:val="continue"/>
            <w:tcBorders>
              <w:tl2br w:val="nil"/>
              <w:tr2bl w:val="nil"/>
            </w:tcBorders>
            <w:vAlign w:val="center"/>
          </w:tcPr>
          <w:p>
            <w:pPr>
              <w:spacing w:line="240" w:lineRule="auto"/>
            </w:pPr>
          </w:p>
        </w:tc>
        <w:tc>
          <w:tcPr>
            <w:tcW w:w="86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709"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709"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287"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24" w:type="dxa"/>
            <w:tcBorders>
              <w:tl2br w:val="nil"/>
              <w:tr2bl w:val="nil"/>
            </w:tcBorders>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初中生毕业生合格率</w:t>
            </w:r>
          </w:p>
          <w:p>
            <w:pPr>
              <w:widowControl/>
              <w:adjustRightInd w:val="0"/>
              <w:snapToGrid w:val="0"/>
              <w:spacing w:line="240" w:lineRule="auto"/>
              <w:jc w:val="center"/>
              <w:rPr>
                <w:rFonts w:hint="eastAsia" w:ascii="仿宋_GB2312" w:hAnsi="仿宋_GB2312" w:eastAsia="仿宋_GB2312" w:cs="仿宋_GB2312"/>
              </w:rPr>
            </w:pPr>
          </w:p>
        </w:tc>
        <w:tc>
          <w:tcPr>
            <w:tcW w:w="4730"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p>
            <w:pPr>
              <w:widowControl/>
              <w:adjustRightInd w:val="0"/>
              <w:snapToGrid w:val="0"/>
              <w:spacing w:line="240" w:lineRule="auto"/>
              <w:jc w:val="center"/>
              <w:rPr>
                <w:rFonts w:hint="eastAsia" w:ascii="仿宋_GB2312" w:hAnsi="仿宋_GB2312" w:eastAsia="仿宋_GB2312" w:cs="仿宋_GB2312"/>
              </w:rPr>
            </w:pPr>
          </w:p>
        </w:tc>
        <w:tc>
          <w:tcPr>
            <w:tcW w:w="2770"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p>
            <w:pPr>
              <w:widowControl/>
              <w:adjustRightInd w:val="0"/>
              <w:snapToGrid w:val="0"/>
              <w:spacing w:line="240" w:lineRule="auto"/>
              <w:jc w:val="center"/>
              <w:rPr>
                <w:rFonts w:hint="eastAsia" w:ascii="仿宋_GB2312" w:hAnsi="仿宋_GB2312" w:eastAsia="仿宋_GB2312" w:cs="仿宋_GB2312"/>
              </w:rPr>
            </w:pP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105" w:firstLineChars="50"/>
              <w:rPr>
                <w:rFonts w:hint="eastAsia" w:ascii="仿宋_GB2312" w:hAnsi="仿宋_GB2312" w:eastAsia="仿宋_GB2312" w:cs="仿宋_GB2312"/>
              </w:rPr>
            </w:pPr>
            <w:r>
              <w:rPr>
                <w:rFonts w:hint="eastAsia" w:ascii="仿宋_GB2312" w:hAnsi="仿宋_GB2312" w:eastAsia="仿宋_GB2312" w:cs="仿宋_GB2312"/>
              </w:rPr>
              <w:t>100</w:t>
            </w:r>
          </w:p>
        </w:tc>
        <w:tc>
          <w:tcPr>
            <w:tcW w:w="1709" w:type="dxa"/>
            <w:tcBorders>
              <w:tl2br w:val="nil"/>
              <w:tr2bl w:val="nil"/>
            </w:tcBorders>
          </w:tcPr>
          <w:p>
            <w:pPr>
              <w:spacing w:line="240" w:lineRule="auto"/>
              <w:ind w:firstLine="735" w:firstLineChars="35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473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77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473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77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4730"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77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1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924"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473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770"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287" w:type="dxa"/>
            <w:tcBorders>
              <w:tl2br w:val="nil"/>
              <w:tr2bl w:val="nil"/>
            </w:tcBorders>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2"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19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义务教育高质量发展</w:t>
            </w:r>
          </w:p>
          <w:p>
            <w:pPr>
              <w:widowControl/>
              <w:adjustRightInd w:val="0"/>
              <w:snapToGrid w:val="0"/>
              <w:spacing w:line="240" w:lineRule="auto"/>
              <w:jc w:val="center"/>
              <w:rPr>
                <w:rFonts w:hint="eastAsia" w:ascii="仿宋_GB2312" w:hAnsi="仿宋_GB2312" w:eastAsia="仿宋_GB2312" w:cs="仿宋_GB2312"/>
              </w:rPr>
            </w:pPr>
          </w:p>
        </w:tc>
        <w:tc>
          <w:tcPr>
            <w:tcW w:w="473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p>
            <w:pPr>
              <w:widowControl/>
              <w:adjustRightInd w:val="0"/>
              <w:snapToGrid w:val="0"/>
              <w:spacing w:line="240" w:lineRule="auto"/>
              <w:jc w:val="center"/>
              <w:rPr>
                <w:rFonts w:hint="eastAsia" w:ascii="仿宋_GB2312" w:hAnsi="仿宋_GB2312" w:eastAsia="仿宋_GB2312" w:cs="仿宋_GB2312"/>
              </w:rPr>
            </w:pPr>
          </w:p>
        </w:tc>
        <w:tc>
          <w:tcPr>
            <w:tcW w:w="2770"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p>
            <w:pPr>
              <w:widowControl/>
              <w:adjustRightInd w:val="0"/>
              <w:snapToGrid w:val="0"/>
              <w:spacing w:line="240" w:lineRule="auto"/>
              <w:jc w:val="center"/>
              <w:rPr>
                <w:rFonts w:hint="eastAsia" w:ascii="仿宋_GB2312" w:hAnsi="仿宋_GB2312" w:eastAsia="仿宋_GB2312" w:cs="仿宋_GB2312"/>
              </w:rPr>
            </w:pPr>
          </w:p>
        </w:tc>
        <w:tc>
          <w:tcPr>
            <w:tcW w:w="863"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1924"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73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77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spacing w:line="240" w:lineRule="auto"/>
              <w:ind w:firstLine="630" w:firstLineChars="30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1924"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73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770" w:type="dxa"/>
            <w:tcBorders>
              <w:tl2br w:val="nil"/>
              <w:tr2bl w:val="nil"/>
            </w:tcBorders>
            <w:noWrap/>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63" w:type="dxa"/>
            <w:tcBorders>
              <w:tl2br w:val="nil"/>
              <w:tr2bl w:val="nil"/>
            </w:tcBorders>
          </w:tcPr>
          <w:p>
            <w:pPr>
              <w:spacing w:line="240" w:lineRule="auto"/>
              <w:ind w:firstLine="315" w:firstLineChars="150"/>
              <w:rPr>
                <w:rFonts w:hint="eastAsia" w:ascii="仿宋_GB2312" w:hAnsi="仿宋_GB2312" w:eastAsia="仿宋_GB2312" w:cs="仿宋_GB2312"/>
              </w:rPr>
            </w:pPr>
            <w:r>
              <w:rPr>
                <w:rFonts w:hint="eastAsia" w:ascii="仿宋_GB2312" w:hAnsi="仿宋_GB2312" w:eastAsia="仿宋_GB2312" w:cs="仿宋_GB2312"/>
              </w:rPr>
              <w:t>≥</w:t>
            </w:r>
          </w:p>
        </w:tc>
        <w:tc>
          <w:tcPr>
            <w:tcW w:w="709" w:type="dxa"/>
            <w:tcBorders>
              <w:tl2br w:val="nil"/>
              <w:tr2bl w:val="nil"/>
            </w:tcBorders>
          </w:tcPr>
          <w:p>
            <w:pPr>
              <w:spacing w:line="240" w:lineRule="auto"/>
              <w:ind w:firstLine="210" w:firstLineChars="100"/>
              <w:rPr>
                <w:rFonts w:hint="eastAsia" w:ascii="仿宋_GB2312" w:hAnsi="仿宋_GB2312" w:eastAsia="仿宋_GB2312" w:cs="仿宋_GB2312"/>
              </w:rPr>
            </w:pPr>
            <w:r>
              <w:rPr>
                <w:rFonts w:hint="eastAsia" w:ascii="仿宋_GB2312" w:hAnsi="仿宋_GB2312" w:eastAsia="仿宋_GB2312" w:cs="仿宋_GB2312"/>
              </w:rPr>
              <w:t>95</w:t>
            </w:r>
          </w:p>
        </w:tc>
        <w:tc>
          <w:tcPr>
            <w:tcW w:w="1709" w:type="dxa"/>
            <w:tcBorders>
              <w:tl2br w:val="nil"/>
              <w:tr2bl w:val="nil"/>
            </w:tcBorders>
          </w:tcPr>
          <w:p>
            <w:pPr>
              <w:spacing w:line="240" w:lineRule="auto"/>
              <w:ind w:firstLine="630" w:firstLineChars="300"/>
              <w:rPr>
                <w:rFonts w:hint="eastAsia" w:ascii="仿宋_GB2312" w:hAnsi="仿宋_GB2312" w:eastAsia="仿宋_GB2312" w:cs="仿宋_GB2312"/>
              </w:rPr>
            </w:pPr>
            <w:r>
              <w:rPr>
                <w:rFonts w:hint="eastAsia" w:ascii="仿宋_GB2312" w:hAnsi="仿宋_GB2312" w:eastAsia="仿宋_GB2312" w:cs="仿宋_GB2312"/>
              </w:rPr>
              <w:t>%</w:t>
            </w:r>
          </w:p>
        </w:tc>
        <w:tc>
          <w:tcPr>
            <w:tcW w:w="1287" w:type="dxa"/>
            <w:tcBorders>
              <w:tl2br w:val="nil"/>
              <w:tr2bl w:val="nil"/>
            </w:tcBorders>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hint="eastAsia" w:ascii="Times New Roman" w:hAnsi="Times New Roman" w:eastAsia="黑体" w:cs="Times New Roman"/>
          <w:sz w:val="32"/>
          <w:szCs w:val="32"/>
        </w:rPr>
      </w:pPr>
    </w:p>
    <w:p>
      <w:pPr>
        <w:spacing w:line="579"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1.城乡义务教育生均公用经费[区级]绩效目标表</w:t>
      </w:r>
      <w:bookmarkStart w:id="0" w:name="_Toc29799657"/>
      <w:bookmarkEnd w:id="0"/>
    </w:p>
    <w:p>
      <w:pPr>
        <w:spacing w:line="240" w:lineRule="auto"/>
        <w:ind w:firstLine="420" w:firstLineChars="200"/>
        <w:jc w:val="center"/>
        <w:rPr>
          <w:rFonts w:hint="eastAsia" w:ascii="仿宋_GB2312" w:hAnsi="仿宋_GB2312" w:eastAsia="仿宋_GB2312" w:cs="仿宋_GB2312"/>
        </w:rPr>
      </w:pPr>
    </w:p>
    <w:tbl>
      <w:tblPr>
        <w:tblStyle w:val="8"/>
        <w:tblW w:w="150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1275"/>
        <w:gridCol w:w="3015"/>
        <w:gridCol w:w="4529"/>
        <w:gridCol w:w="825"/>
        <w:gridCol w:w="4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4348"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1.廊坊市第十六中学中学部2022年在校学生1135人，按照义务教育生均公用经费标准申请财政预算资金，通过合理、合规使用资金达到保证学校正常运转，改善办学条件，促进义务教育发展。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2.改善学校基本办学条件</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7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01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52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82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0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6" w:hRule="atLeast"/>
          <w:jc w:val="center"/>
        </w:trPr>
        <w:tc>
          <w:tcPr>
            <w:tcW w:w="66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数量指标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申请生均公用经费的学生人数</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按文件要求申请生均公用经费的学生人数</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1135人</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质量指标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生均公用经费使用的合规率</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生均公用经费使用符合文件中的相关规定</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时效指标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用于保障学校正常运转项目完成及时率</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使用生均公用经费，用于保障学校正常运转的项目完成情况</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vMerge w:val="continue"/>
            <w:shd w:val="clear" w:color="auto" w:fill="auto"/>
            <w:vAlign w:val="center"/>
          </w:tcPr>
          <w:p>
            <w:pPr>
              <w:spacing w:line="240" w:lineRule="auto"/>
              <w:rPr>
                <w:rFonts w:hint="eastAsia" w:ascii="仿宋_GB2312" w:hAnsi="仿宋_GB2312" w:eastAsia="仿宋_GB2312" w:cs="仿宋_GB2312"/>
              </w:rPr>
            </w:pP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成本指标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使用生均公用经费，用于保障学校正常运转的项目支出成本等于935元/生</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935元</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1" w:hRule="atLeast"/>
          <w:jc w:val="center"/>
        </w:trPr>
        <w:tc>
          <w:tcPr>
            <w:tcW w:w="664"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义务教育/学前教育高质量发展</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支持</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64"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服务对象满意度指标</w:t>
            </w:r>
          </w:p>
        </w:tc>
        <w:tc>
          <w:tcPr>
            <w:tcW w:w="301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4529"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82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≥90%</w:t>
            </w:r>
          </w:p>
        </w:tc>
        <w:tc>
          <w:tcPr>
            <w:tcW w:w="4704"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2.城乡义务教育生均公用经费[区级]绩效目标表</w:t>
      </w:r>
    </w:p>
    <w:p>
      <w:pPr>
        <w:spacing w:line="240" w:lineRule="auto"/>
        <w:ind w:firstLine="420" w:firstLineChars="200"/>
        <w:jc w:val="center"/>
        <w:rPr>
          <w:rFonts w:hint="eastAsia" w:ascii="仿宋_GB2312" w:hAnsi="仿宋_GB2312" w:eastAsia="仿宋_GB2312" w:cs="仿宋_GB2312"/>
        </w:rPr>
      </w:pPr>
    </w:p>
    <w:tbl>
      <w:tblPr>
        <w:tblStyle w:val="8"/>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1205"/>
        <w:gridCol w:w="3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461"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1.廊坊市第十六中学小学部2022年在校学生1458人，按照义务教育生均公用经费标准申请财政预算资金，通过合理、合规使用资金达到保证学校正常运转，改善办学条件，促进义务教育发展。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2.改善学校基本办学条件</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3.促进义务教育均衡发展及学生素质提高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41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申请生均公用经费的学生人数</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1458人</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使用生均公用经费，用于保障学校正常运转的项目支出成本等于735元/生</w:t>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735元</w:t>
            </w:r>
          </w:p>
        </w:tc>
        <w:tc>
          <w:tcPr>
            <w:tcW w:w="3411"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义务教育/学前教育高质量发展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r>
              <w:rPr>
                <w:rFonts w:hint="eastAsia" w:ascii="仿宋_GB2312" w:hAnsi="仿宋_GB2312" w:eastAsia="仿宋_GB2312" w:cs="仿宋_GB2312"/>
                <w:kern w:val="2"/>
                <w:szCs w:val="22"/>
                <w:lang w:eastAsia="zh-CN"/>
              </w:rPr>
              <w:tab/>
            </w: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支持</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冀财教【2019】66号文件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r>
              <w:rPr>
                <w:rFonts w:hint="eastAsia" w:ascii="仿宋_GB2312" w:hAnsi="仿宋_GB2312" w:eastAsia="仿宋_GB2312" w:cs="仿宋_GB2312"/>
                <w:kern w:val="2"/>
                <w:szCs w:val="22"/>
                <w:lang w:eastAsia="zh-CN"/>
              </w:rPr>
              <w:tab/>
            </w:r>
          </w:p>
          <w:p>
            <w:pPr>
              <w:pStyle w:val="14"/>
              <w:spacing w:line="240" w:lineRule="auto"/>
              <w:rPr>
                <w:rFonts w:hint="eastAsia" w:ascii="仿宋_GB2312" w:hAnsi="仿宋_GB2312" w:eastAsia="仿宋_GB2312" w:cs="仿宋_GB2312"/>
              </w:rPr>
            </w:pPr>
          </w:p>
        </w:tc>
        <w:tc>
          <w:tcPr>
            <w:tcW w:w="12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≥90%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p>
            <w:pPr>
              <w:pStyle w:val="14"/>
              <w:spacing w:line="240" w:lineRule="auto"/>
              <w:rPr>
                <w:rFonts w:hint="eastAsia" w:ascii="仿宋_GB2312" w:hAnsi="仿宋_GB2312" w:eastAsia="仿宋_GB2312" w:cs="仿宋_GB2312"/>
              </w:rPr>
            </w:pP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3.城乡义务教育生均公用经费[省级]绩效目标表</w:t>
      </w:r>
    </w:p>
    <w:p>
      <w:pPr>
        <w:spacing w:line="240" w:lineRule="auto"/>
        <w:ind w:firstLine="420" w:firstLineChars="200"/>
        <w:jc w:val="center"/>
        <w:rPr>
          <w:rFonts w:hint="eastAsia" w:ascii="仿宋_GB2312" w:hAnsi="仿宋_GB2312" w:eastAsia="仿宋_GB2312" w:cs="仿宋_GB2312"/>
        </w:rPr>
      </w:pPr>
    </w:p>
    <w:tbl>
      <w:tblPr>
        <w:tblStyle w:val="8"/>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1205"/>
        <w:gridCol w:w="3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461"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目标内容:保障义务教育教学正常的进行，改善办公条件，提升教育环境。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41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1135人</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使用生均公用经费，用于保障学校正常运转的项目支出成本等于935元/生</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935元/生/年</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义务教育/学前教育高质量发展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341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问卷调查</w:t>
            </w:r>
          </w:p>
        </w:tc>
      </w:tr>
    </w:tbl>
    <w:p>
      <w:pPr>
        <w:spacing w:line="240" w:lineRule="auto"/>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rPr>
        <w:t>城</w:t>
      </w:r>
      <w:r>
        <w:rPr>
          <w:rFonts w:hint="eastAsia" w:ascii="仿宋_GB2312" w:hAnsi="仿宋_GB2312" w:eastAsia="仿宋_GB2312" w:cs="仿宋_GB2312"/>
          <w:sz w:val="28"/>
        </w:rPr>
        <w:t>乡义务教育生均公用经费[市级]绩效目标表</w:t>
      </w:r>
    </w:p>
    <w:p>
      <w:pPr>
        <w:spacing w:line="240" w:lineRule="auto"/>
        <w:ind w:firstLine="420" w:firstLineChars="200"/>
        <w:jc w:val="center"/>
        <w:rPr>
          <w:rFonts w:hint="eastAsia" w:ascii="仿宋_GB2312" w:hAnsi="仿宋_GB2312" w:eastAsia="仿宋_GB2312" w:cs="仿宋_GB2312"/>
        </w:rPr>
      </w:pPr>
    </w:p>
    <w:tbl>
      <w:tblPr>
        <w:tblStyle w:val="8"/>
        <w:tblW w:w="149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383"/>
        <w:gridCol w:w="3207"/>
        <w:gridCol w:w="4255"/>
        <w:gridCol w:w="1205"/>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689"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保障义务教育学校运转，改善学校基本办学条件，促进义务教育均衡发展及学生素质提高。</w:t>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83"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20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63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1560人</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保障学校正常运转的项目支出成本等于小学735元/生，初中935元/生</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735元</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义务教育高质量发展</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8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2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363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5.城乡义务教育生均公用经费[中央]绩效目标表</w:t>
      </w:r>
    </w:p>
    <w:p>
      <w:pPr>
        <w:spacing w:line="240" w:lineRule="auto"/>
        <w:ind w:firstLine="420" w:firstLineChars="200"/>
        <w:jc w:val="center"/>
        <w:rPr>
          <w:rFonts w:hint="eastAsia" w:ascii="仿宋_GB2312" w:hAnsi="仿宋_GB2312" w:eastAsia="仿宋_GB2312" w:cs="仿宋_GB2312"/>
        </w:rPr>
      </w:pPr>
    </w:p>
    <w:tbl>
      <w:tblPr>
        <w:tblStyle w:val="8"/>
        <w:tblW w:w="153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064"/>
        <w:gridCol w:w="3435"/>
        <w:gridCol w:w="3360"/>
        <w:gridCol w:w="1029"/>
        <w:gridCol w:w="5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4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4619"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廊坊市第十六中学小学部2022年在校学生1458人，按照义务教育生均公用经费标准申请财政预算资金，通过合理、合规使用资金达到保证学校正常运转，改善办学条件，促进义务教育发展。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4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06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43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6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2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731"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1458人</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48" w:type="dxa"/>
            <w:vMerge w:val="continue"/>
            <w:shd w:val="clear" w:color="auto" w:fill="auto"/>
            <w:vAlign w:val="center"/>
          </w:tcPr>
          <w:p>
            <w:pPr>
              <w:spacing w:line="240" w:lineRule="auto"/>
              <w:rPr>
                <w:rFonts w:hint="eastAsia" w:ascii="仿宋_GB2312" w:hAnsi="仿宋_GB2312" w:eastAsia="仿宋_GB2312" w:cs="仿宋_GB2312"/>
              </w:rPr>
            </w:pP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使用生均公用经费，用于保障学校正常运转的项目支出成本等于735元/生</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735元</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8" w:hRule="atLeast"/>
          <w:jc w:val="center"/>
        </w:trPr>
        <w:tc>
          <w:tcPr>
            <w:tcW w:w="748"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义务教育/学前教育高质量发展</w:t>
            </w:r>
          </w:p>
        </w:tc>
        <w:tc>
          <w:tcPr>
            <w:tcW w:w="3360"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该资金用于学校正常运转，改善办学条件，促进义务教育/学前教育均衡发展及学生素质提高</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6" w:hRule="atLeast"/>
          <w:jc w:val="center"/>
        </w:trPr>
        <w:tc>
          <w:tcPr>
            <w:tcW w:w="748" w:type="dxa"/>
            <w:shd w:val="clear" w:color="auto" w:fill="auto"/>
            <w:vAlign w:val="center"/>
          </w:tcPr>
          <w:p>
            <w:pPr>
              <w:pStyle w:val="15"/>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满意度指标</w:t>
            </w:r>
          </w:p>
        </w:tc>
        <w:tc>
          <w:tcPr>
            <w:tcW w:w="1064"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43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3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029"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5731"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w:t>
      </w:r>
      <w:r>
        <w:rPr>
          <w:rFonts w:hint="eastAsia" w:ascii="仿宋_GB2312" w:hAnsi="仿宋_GB2312" w:eastAsia="仿宋_GB2312" w:cs="仿宋_GB2312"/>
        </w:rPr>
        <w:t xml:space="preserve"> </w:t>
      </w:r>
      <w:r>
        <w:rPr>
          <w:rFonts w:hint="eastAsia" w:ascii="仿宋_GB2312" w:hAnsi="仿宋_GB2312" w:eastAsia="仿宋_GB2312" w:cs="仿宋_GB2312"/>
          <w:sz w:val="28"/>
        </w:rPr>
        <w:t>合同制教师人员经费绩效目标表</w:t>
      </w:r>
    </w:p>
    <w:p>
      <w:pPr>
        <w:spacing w:line="240" w:lineRule="auto"/>
        <w:ind w:firstLine="420" w:firstLineChars="200"/>
        <w:jc w:val="center"/>
        <w:rPr>
          <w:rFonts w:hint="eastAsia" w:ascii="仿宋_GB2312" w:hAnsi="仿宋_GB2312" w:eastAsia="仿宋_GB2312" w:cs="仿宋_GB2312"/>
        </w:rPr>
      </w:pPr>
    </w:p>
    <w:tbl>
      <w:tblPr>
        <w:tblStyle w:val="8"/>
        <w:tblW w:w="14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2985"/>
        <w:gridCol w:w="4255"/>
        <w:gridCol w:w="3338"/>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74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pStyle w:val="14"/>
              <w:spacing w:line="240" w:lineRule="auto"/>
              <w:rPr>
                <w:rFonts w:hint="eastAsia" w:ascii="仿宋_GB2312" w:hAnsi="仿宋_GB2312" w:eastAsia="仿宋_GB2312" w:cs="仿宋_GB2312"/>
                <w:b/>
              </w:rPr>
            </w:pPr>
            <w:r>
              <w:rPr>
                <w:rFonts w:hint="eastAsia" w:ascii="仿宋_GB2312" w:hAnsi="仿宋_GB2312" w:eastAsia="仿宋_GB2312" w:cs="仿宋_GB2312"/>
                <w:kern w:val="2"/>
                <w:szCs w:val="22"/>
                <w:lang w:eastAsia="zh-CN"/>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25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333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56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保障2022合同制教师 112人工资福利</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112人</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kern w:val="2"/>
                <w:szCs w:val="22"/>
                <w:lang w:eastAsia="zh-CN"/>
              </w:rPr>
              <w:t>社会效益指标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42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333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56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7.</w:t>
      </w:r>
      <w:r>
        <w:rPr>
          <w:rFonts w:hint="eastAsia" w:ascii="仿宋_GB2312" w:hAnsi="仿宋_GB2312" w:eastAsia="仿宋_GB2312" w:cs="仿宋_GB2312"/>
        </w:rPr>
        <w:t xml:space="preserve"> </w:t>
      </w:r>
      <w:r>
        <w:rPr>
          <w:rFonts w:hint="eastAsia" w:ascii="仿宋_GB2312" w:hAnsi="仿宋_GB2312" w:eastAsia="仿宋_GB2312" w:cs="仿宋_GB2312"/>
          <w:sz w:val="28"/>
        </w:rPr>
        <w:t>教育经费绩效目标表</w:t>
      </w:r>
    </w:p>
    <w:p>
      <w:pPr>
        <w:spacing w:line="240" w:lineRule="auto"/>
        <w:ind w:firstLine="420" w:firstLineChars="200"/>
        <w:jc w:val="center"/>
        <w:rPr>
          <w:rFonts w:hint="eastAsia" w:ascii="仿宋_GB2312" w:hAnsi="仿宋_GB2312" w:eastAsia="仿宋_GB2312" w:cs="仿宋_GB2312"/>
        </w:rPr>
      </w:pPr>
    </w:p>
    <w:tbl>
      <w:tblPr>
        <w:tblStyle w:val="8"/>
        <w:tblW w:w="131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605"/>
        <w:gridCol w:w="3170"/>
        <w:gridCol w:w="4070"/>
        <w:gridCol w:w="1458"/>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969" w:type="dxa"/>
            <w:gridSpan w:val="5"/>
            <w:shd w:val="clear" w:color="auto" w:fill="auto"/>
            <w:vAlign w:val="center"/>
          </w:tcPr>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1.弥补办公经费不足，保障教育教学正常的进行。</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2.改善办学条件，提高教育教学环境。</w:t>
            </w:r>
          </w:p>
          <w:p>
            <w:pPr>
              <w:pStyle w:val="14"/>
              <w:spacing w:line="240" w:lineRule="auto"/>
              <w:rPr>
                <w:rFonts w:hint="eastAsia" w:ascii="仿宋_GB2312" w:hAnsi="仿宋_GB2312" w:eastAsia="仿宋_GB2312" w:cs="仿宋_GB2312"/>
                <w:b/>
                <w:kern w:val="2"/>
                <w:szCs w:val="22"/>
                <w:lang w:eastAsia="zh-CN"/>
              </w:rPr>
            </w:pPr>
            <w:r>
              <w:rPr>
                <w:rFonts w:hint="eastAsia" w:ascii="仿宋_GB2312" w:hAnsi="仿宋_GB2312" w:eastAsia="仿宋_GB2312" w:cs="仿宋_GB2312"/>
                <w:b/>
                <w:kern w:val="2"/>
                <w:szCs w:val="22"/>
                <w:lang w:eastAsia="zh-CN"/>
              </w:rPr>
              <w:t>3.开展文化体育等社会活动，提高学校社会影响力。</w:t>
            </w:r>
          </w:p>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1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17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07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5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666"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保12个月教学正常运转</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保障教学正常运转时长</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12个月</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物资采购合格率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保障日常教学器材及物资充裕</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上级下达学校的各项工作任务完成率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保证完成上级下达学校的各项工作任务</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及时提供的教学用品、保障教学设施、设备正常运行</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经费支出成本</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经费各项支出不高于项目资金总额</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≤41.81万元</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义务教育高质量发展</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推动义务教育从数量扩张向质量提高转变</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1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160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31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407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145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1666"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w:t>
      </w:r>
      <w:r>
        <w:rPr>
          <w:rFonts w:hint="eastAsia" w:ascii="仿宋_GB2312" w:hAnsi="仿宋_GB2312" w:eastAsia="仿宋_GB2312" w:cs="仿宋_GB2312"/>
        </w:rPr>
        <w:t xml:space="preserve"> </w:t>
      </w:r>
      <w:r>
        <w:rPr>
          <w:rFonts w:hint="eastAsia" w:ascii="仿宋_GB2312" w:hAnsi="仿宋_GB2312" w:eastAsia="仿宋_GB2312" w:cs="仿宋_GB2312"/>
          <w:sz w:val="28"/>
        </w:rPr>
        <w:t>特殊教育资金[省级]绩效目标表</w:t>
      </w:r>
    </w:p>
    <w:p>
      <w:pPr>
        <w:spacing w:line="240" w:lineRule="auto"/>
        <w:ind w:firstLine="420" w:firstLineChars="200"/>
        <w:jc w:val="center"/>
        <w:rPr>
          <w:rFonts w:hint="eastAsia" w:ascii="仿宋_GB2312" w:hAnsi="仿宋_GB2312" w:eastAsia="仿宋_GB2312" w:cs="仿宋_GB2312"/>
        </w:rPr>
      </w:pPr>
    </w:p>
    <w:tbl>
      <w:tblPr>
        <w:tblStyle w:val="8"/>
        <w:tblW w:w="133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4"/>
        <w:gridCol w:w="2215"/>
        <w:gridCol w:w="2498"/>
        <w:gridCol w:w="2410"/>
        <w:gridCol w:w="1187"/>
        <w:gridCol w:w="3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3" w:hRule="atLeast"/>
          <w:tblHeader/>
          <w:jc w:val="center"/>
        </w:trPr>
        <w:tc>
          <w:tcPr>
            <w:tcW w:w="181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517" w:type="dxa"/>
            <w:gridSpan w:val="5"/>
            <w:shd w:val="clear" w:color="auto" w:fill="auto"/>
            <w:vAlign w:val="center"/>
          </w:tcPr>
          <w:p>
            <w:pPr>
              <w:spacing w:line="240" w:lineRule="auto"/>
              <w:rPr>
                <w:rFonts w:hint="eastAsia" w:ascii="仿宋_GB2312" w:hAnsi="仿宋_GB2312" w:eastAsia="仿宋_GB2312" w:cs="仿宋_GB2312"/>
                <w:b/>
              </w:rPr>
            </w:pPr>
            <w:r>
              <w:rPr>
                <w:rFonts w:hint="eastAsia" w:ascii="仿宋_GB2312" w:hAnsi="仿宋_GB2312" w:eastAsia="仿宋_GB2312" w:cs="仿宋_GB2312"/>
                <w:b/>
              </w:rPr>
              <w:t>方便特殊学生日常生活学习，提升整体教学质量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blHeader/>
          <w:jc w:val="center"/>
        </w:trPr>
        <w:tc>
          <w:tcPr>
            <w:tcW w:w="1814"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1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9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410"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8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207"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申请特殊教育学生人数</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申请特殊教育学生人数</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3个</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特殊教育资金使用合格率</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特殊教育资金使用合格虑</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保证项目完工的及时性</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保证项目完工的及时性</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12月底</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项目成本</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项目成本</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18000元</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可持续影响指标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保障安全设施的持续使用</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保障安全设施的持续使用</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持续</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continue"/>
            <w:shd w:val="clear" w:color="auto" w:fill="auto"/>
            <w:vAlign w:val="center"/>
          </w:tcPr>
          <w:p>
            <w:pPr>
              <w:spacing w:line="240" w:lineRule="auto"/>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提高身体情况特殊学生在校安全性</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提高身体情况特殊学生在校安全性</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提高</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14"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接受义务教育特殊学生家长满意度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满意家长数量/总数</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1814"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atLeast"/>
          <w:jc w:val="center"/>
        </w:trPr>
        <w:tc>
          <w:tcPr>
            <w:tcW w:w="1814"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1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249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2410"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家长的满意程度</w:t>
            </w:r>
          </w:p>
        </w:tc>
        <w:tc>
          <w:tcPr>
            <w:tcW w:w="118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3207"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autoSpaceDE w:val="0"/>
        <w:autoSpaceDN w:val="0"/>
        <w:adjustRightInd w:val="0"/>
        <w:spacing w:line="579"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spacing w:line="579" w:lineRule="exact"/>
        <w:outlineLvl w:val="1"/>
        <w:rPr>
          <w:rFonts w:ascii="方正小标宋_GBK" w:eastAsia="方正小标宋_GBK" w:cs="Times New Roman"/>
          <w:sz w:val="32"/>
        </w:rPr>
      </w:pPr>
      <w:r>
        <w:t>廊坊市</w:t>
      </w:r>
      <w:r>
        <w:rPr>
          <w:rFonts w:hint="eastAsia"/>
        </w:rPr>
        <w:t>第十六中学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lang w:eastAsia="zh-CN"/>
              </w:rPr>
            </w:pPr>
            <w:r>
              <w:rPr>
                <w:rFonts w:hint="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c>
          <w:tcPr>
            <w:tcW w:w="964" w:type="dxa"/>
            <w:vAlign w:val="center"/>
          </w:tcPr>
          <w:p>
            <w:pPr>
              <w:pStyle w:val="17"/>
              <w:spacing w:line="579" w:lineRule="exact"/>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第十六中学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24.97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第十六中学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24.97</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D8ED0-FE47-4732-913A-A69E06F9D6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C381FA52-7228-433A-A504-73ED5114FEC4}"/>
  </w:font>
  <w:font w:name="仿宋_GB2312">
    <w:panose1 w:val="02010609030101010101"/>
    <w:charset w:val="86"/>
    <w:family w:val="modern"/>
    <w:pitch w:val="default"/>
    <w:sig w:usb0="00000001" w:usb1="080E0000" w:usb2="00000000" w:usb3="00000000" w:csb0="00040000" w:csb1="00000000"/>
    <w:embedRegular r:id="rId3" w:fontKey="{0FF07A94-B5A8-45C4-BBCE-9C360B275F98}"/>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3A98"/>
    <w:rsid w:val="0005181A"/>
    <w:rsid w:val="000527FB"/>
    <w:rsid w:val="000A1942"/>
    <w:rsid w:val="000F6018"/>
    <w:rsid w:val="0014752E"/>
    <w:rsid w:val="001C2983"/>
    <w:rsid w:val="0025632D"/>
    <w:rsid w:val="002F2ADF"/>
    <w:rsid w:val="002F6410"/>
    <w:rsid w:val="003059E0"/>
    <w:rsid w:val="00306E19"/>
    <w:rsid w:val="00322D5F"/>
    <w:rsid w:val="004A54AA"/>
    <w:rsid w:val="004B186D"/>
    <w:rsid w:val="00560166"/>
    <w:rsid w:val="005937DD"/>
    <w:rsid w:val="005E30B1"/>
    <w:rsid w:val="005E5403"/>
    <w:rsid w:val="006004E9"/>
    <w:rsid w:val="00617924"/>
    <w:rsid w:val="006314A1"/>
    <w:rsid w:val="00653D7D"/>
    <w:rsid w:val="00655B00"/>
    <w:rsid w:val="00657D1A"/>
    <w:rsid w:val="006A5C0C"/>
    <w:rsid w:val="006B70BD"/>
    <w:rsid w:val="00730C43"/>
    <w:rsid w:val="007D61B0"/>
    <w:rsid w:val="00834391"/>
    <w:rsid w:val="00880DC3"/>
    <w:rsid w:val="008D4604"/>
    <w:rsid w:val="008D5F70"/>
    <w:rsid w:val="00943976"/>
    <w:rsid w:val="00944233"/>
    <w:rsid w:val="009854A5"/>
    <w:rsid w:val="00A56458"/>
    <w:rsid w:val="00B0264E"/>
    <w:rsid w:val="00B13C7B"/>
    <w:rsid w:val="00B40732"/>
    <w:rsid w:val="00B718D3"/>
    <w:rsid w:val="00B80935"/>
    <w:rsid w:val="00B94710"/>
    <w:rsid w:val="00BB39B9"/>
    <w:rsid w:val="00C31A6C"/>
    <w:rsid w:val="00CE5A74"/>
    <w:rsid w:val="00D347CC"/>
    <w:rsid w:val="00D60C46"/>
    <w:rsid w:val="00DA2740"/>
    <w:rsid w:val="00DC5984"/>
    <w:rsid w:val="00DC72B4"/>
    <w:rsid w:val="00EF4492"/>
    <w:rsid w:val="00F42939"/>
    <w:rsid w:val="00FA1AAF"/>
    <w:rsid w:val="00FC30DA"/>
    <w:rsid w:val="00FF4EB4"/>
    <w:rsid w:val="03F27FF6"/>
    <w:rsid w:val="07D96F36"/>
    <w:rsid w:val="0CEC1180"/>
    <w:rsid w:val="0E60229B"/>
    <w:rsid w:val="14C833ED"/>
    <w:rsid w:val="1AD35227"/>
    <w:rsid w:val="1BA5267F"/>
    <w:rsid w:val="33DD57B7"/>
    <w:rsid w:val="38DC65CB"/>
    <w:rsid w:val="396D70A2"/>
    <w:rsid w:val="3B3E292D"/>
    <w:rsid w:val="3FCA20E4"/>
    <w:rsid w:val="52D7336D"/>
    <w:rsid w:val="573822C9"/>
    <w:rsid w:val="5D541393"/>
    <w:rsid w:val="62636831"/>
    <w:rsid w:val="6F9C290A"/>
    <w:rsid w:val="73693C55"/>
    <w:rsid w:val="7AEB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1525</Words>
  <Characters>8694</Characters>
  <Lines>72</Lines>
  <Paragraphs>20</Paragraphs>
  <TotalTime>336</TotalTime>
  <ScaleCrop>false</ScaleCrop>
  <LinksUpToDate>false</LinksUpToDate>
  <CharactersWithSpaces>10199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2023-08-01T07:57:28Z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D01A5A0DB17B476C99712D1E26FD38A8</vt:lpwstr>
  </property>
</Properties>
</file>