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880" w:firstLineChars="200"/>
        <w:jc w:val="center"/>
        <w:rPr>
          <w:rFonts w:ascii="方正小标宋简体" w:hAnsi="Times New Roman" w:eastAsia="方正小标宋简体" w:cs="Times New Roman"/>
          <w:sz w:val="44"/>
          <w:szCs w:val="44"/>
        </w:rPr>
      </w:pPr>
      <w:r>
        <w:rPr>
          <w:rFonts w:hint="eastAsia" w:ascii="方正小标宋简体" w:hAnsi="黑体" w:eastAsia="方正小标宋简体" w:cs="黑体"/>
          <w:sz w:val="44"/>
          <w:szCs w:val="44"/>
        </w:rPr>
        <w:t>廊坊市广阳区第六幼儿园2022年</w:t>
      </w:r>
      <w:r>
        <w:rPr>
          <w:rFonts w:hint="eastAsia" w:ascii="方正小标宋简体" w:hAnsi="黑体" w:eastAsia="方正小标宋简体" w:cs="黑体"/>
          <w:sz w:val="44"/>
          <w:szCs w:val="44"/>
          <w:lang w:eastAsia="zh-CN"/>
        </w:rPr>
        <w:t>单位</w:t>
      </w:r>
      <w:r>
        <w:rPr>
          <w:rFonts w:hint="eastAsia" w:ascii="方正小标宋简体" w:hAnsi="黑体" w:eastAsia="方正小标宋简体" w:cs="黑体"/>
          <w:sz w:val="44"/>
          <w:szCs w:val="44"/>
        </w:rPr>
        <w:t>预算信息公开情况说明</w:t>
      </w:r>
    </w:p>
    <w:p>
      <w:pPr>
        <w:spacing w:line="579"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广阳区第六幼儿园2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79"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bookmarkStart w:id="3" w:name="_GoBack"/>
      <w:bookmarkEnd w:id="3"/>
    </w:p>
    <w:p>
      <w:pPr>
        <w:autoSpaceDE w:val="0"/>
        <w:autoSpaceDN w:val="0"/>
        <w:adjustRightInd w:val="0"/>
        <w:spacing w:line="579"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第六幼儿园成立于2020年5月，现有教职工66人。幼儿园的主要职责是贯彻国家教育方针，依法开办幼儿教育任务；坚持社会主义办园方向，实施素质教育，促进幼儿五大领域的健康发展；培养幼儿创新精神以及实践能力；维护幼儿的合法权益。</w:t>
      </w: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79" w:lineRule="exact"/>
            </w:pPr>
          </w:p>
        </w:tc>
        <w:tc>
          <w:tcPr>
            <w:tcW w:w="1134" w:type="dxa"/>
            <w:vMerge w:val="continue"/>
            <w:shd w:val="clear" w:color="auto" w:fill="auto"/>
            <w:vAlign w:val="center"/>
          </w:tcPr>
          <w:p>
            <w:pPr>
              <w:spacing w:line="579" w:lineRule="exact"/>
            </w:pPr>
          </w:p>
        </w:tc>
        <w:tc>
          <w:tcPr>
            <w:tcW w:w="1276" w:type="dxa"/>
            <w:vMerge w:val="continue"/>
            <w:shd w:val="clear" w:color="auto" w:fill="auto"/>
            <w:vAlign w:val="center"/>
          </w:tcPr>
          <w:p>
            <w:pPr>
              <w:spacing w:line="579" w:lineRule="exact"/>
            </w:pPr>
          </w:p>
        </w:tc>
        <w:tc>
          <w:tcPr>
            <w:tcW w:w="2902"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shd w:val="clear" w:color="auto" w:fill="auto"/>
            <w:vAlign w:val="center"/>
          </w:tcPr>
          <w:p>
            <w:pPr>
              <w:spacing w:line="579" w:lineRule="exact"/>
            </w:pPr>
            <w:r>
              <w:rPr>
                <w:rFonts w:hint="eastAsia"/>
              </w:rPr>
              <w:t>廊坊市广阳区第六幼儿园</w:t>
            </w:r>
          </w:p>
        </w:tc>
        <w:tc>
          <w:tcPr>
            <w:tcW w:w="1134" w:type="dxa"/>
            <w:shd w:val="clear" w:color="auto" w:fill="auto"/>
            <w:vAlign w:val="center"/>
          </w:tcPr>
          <w:p>
            <w:pPr>
              <w:spacing w:line="579" w:lineRule="exact"/>
            </w:pPr>
            <w:r>
              <w:rPr>
                <w:rFonts w:hint="eastAsia"/>
              </w:rPr>
              <w:t>事业单位</w:t>
            </w:r>
          </w:p>
        </w:tc>
        <w:tc>
          <w:tcPr>
            <w:tcW w:w="1276" w:type="dxa"/>
            <w:shd w:val="clear" w:color="auto" w:fill="auto"/>
            <w:vAlign w:val="center"/>
          </w:tcPr>
          <w:p>
            <w:pPr>
              <w:spacing w:line="579" w:lineRule="exact"/>
            </w:pPr>
            <w:r>
              <w:rPr>
                <w:rFonts w:hint="eastAsia"/>
              </w:rPr>
              <w:t>科级以下</w:t>
            </w:r>
          </w:p>
        </w:tc>
        <w:tc>
          <w:tcPr>
            <w:tcW w:w="2902" w:type="dxa"/>
            <w:shd w:val="clear" w:color="auto" w:fill="auto"/>
            <w:vAlign w:val="center"/>
          </w:tcPr>
          <w:p>
            <w:pPr>
              <w:spacing w:line="579" w:lineRule="exact"/>
            </w:pPr>
            <w:r>
              <w:rPr>
                <w:rFonts w:hint="eastAsia"/>
              </w:rPr>
              <w:t>财政性资金基本保证</w:t>
            </w:r>
          </w:p>
        </w:tc>
      </w:tr>
    </w:tbl>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广阳区第六幼儿园</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691.45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691.45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广阳区第六幼儿园2022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691.45</w:t>
      </w:r>
      <w:r>
        <w:rPr>
          <w:rFonts w:ascii="Times New Roman" w:hAnsi="Times New Roman" w:eastAsia="仿宋_GB2312" w:cs="Times New Roman"/>
          <w:sz w:val="32"/>
          <w:szCs w:val="32"/>
        </w:rPr>
        <w:t>万元，其中项目支出</w:t>
      </w:r>
      <w:r>
        <w:rPr>
          <w:rFonts w:hint="eastAsia" w:ascii="Times New Roman" w:hAnsi="Times New Roman" w:eastAsia="仿宋_GB2312" w:cs="Times New Roman"/>
          <w:sz w:val="32"/>
          <w:szCs w:val="32"/>
        </w:rPr>
        <w:t>691.45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合同制教师人员经费支出。</w:t>
      </w:r>
    </w:p>
    <w:p>
      <w:pPr>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691.45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691.45</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万元；项目支出增加</w:t>
      </w:r>
      <w:r>
        <w:rPr>
          <w:rFonts w:hint="eastAsia" w:ascii="Times New Roman" w:hAnsi="Times New Roman" w:eastAsia="仿宋_GB2312" w:cs="Times New Roman"/>
          <w:sz w:val="32"/>
          <w:szCs w:val="32"/>
        </w:rPr>
        <w:t>691.45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合同制教师人员经费</w:t>
      </w:r>
      <w:r>
        <w:rPr>
          <w:rFonts w:ascii="Times New Roman" w:hAnsi="Times New Roman" w:eastAsia="仿宋_GB2312" w:cs="Times New Roman"/>
          <w:sz w:val="32"/>
          <w:szCs w:val="32"/>
        </w:rPr>
        <w:t>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r>
        <w:rPr>
          <w:rFonts w:hint="eastAsia" w:ascii="Times New Roman" w:hAnsi="Times New Roman" w:eastAsia="仿宋_GB2312" w:cs="Times New Roman"/>
          <w:sz w:val="32"/>
          <w:szCs w:val="32"/>
        </w:rPr>
        <w:t>）</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spacing w:line="579" w:lineRule="exact"/>
        <w:rPr>
          <w:rFonts w:ascii="仿宋_GB2312" w:eastAsia="仿宋_GB2312"/>
          <w:sz w:val="32"/>
          <w:szCs w:val="32"/>
        </w:rPr>
      </w:pPr>
      <w:r>
        <w:rPr>
          <w:rFonts w:hint="eastAsia" w:ascii="仿宋_GB2312" w:eastAsia="仿宋_GB2312"/>
          <w:sz w:val="32"/>
          <w:szCs w:val="32"/>
        </w:rP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螺丝是从严管党治党要求，以习近平新时代中国特色社会主义思想统领教育系统党建工作，强化主体责任，在提升党建工作质量上下真功、用实劲、求实效。</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spacing w:line="579" w:lineRule="exact"/>
        <w:rPr>
          <w:rFonts w:ascii="仿宋_GB2312" w:eastAsia="仿宋_GB2312"/>
          <w:sz w:val="32"/>
          <w:szCs w:val="32"/>
        </w:rPr>
      </w:pPr>
      <w:r>
        <w:rPr>
          <w:rFonts w:hint="eastAsia" w:ascii="仿宋_GB2312" w:eastAsia="仿宋_GB2312"/>
          <w:sz w:val="32"/>
          <w:szCs w:val="32"/>
        </w:rPr>
        <w:t>提高学前教育公用经费保障水平，改善办学条件，均衡配置基础教育资源，推进标准化学校建设，实施数字化校园建设，加强学校文化建设，落实学生资助政策，促进学前教育均衡发展，提高素质教育水平，开展丰富多彩的教学活动，促进社会文化素质提高。</w:t>
      </w:r>
    </w:p>
    <w:p>
      <w:pPr>
        <w:pStyle w:val="20"/>
        <w:spacing w:line="579" w:lineRule="exact"/>
        <w:rPr>
          <w:rFonts w:ascii="仿宋_GB2312" w:eastAsia="仿宋_GB2312"/>
          <w:sz w:val="32"/>
          <w:szCs w:val="32"/>
        </w:rPr>
      </w:pPr>
      <w:r>
        <w:rPr>
          <w:rFonts w:hint="eastAsia" w:ascii="仿宋_GB2312" w:eastAsia="仿宋_GB2312"/>
          <w:sz w:val="32"/>
          <w:szCs w:val="32"/>
        </w:rPr>
        <w:t>1、提高学前教育水平、提供免费教科书，解决大班额问题及入学难问题</w:t>
      </w:r>
    </w:p>
    <w:p>
      <w:pPr>
        <w:pStyle w:val="20"/>
        <w:spacing w:line="579" w:lineRule="exact"/>
        <w:rPr>
          <w:rFonts w:ascii="仿宋_GB2312" w:eastAsia="仿宋_GB2312"/>
          <w:sz w:val="32"/>
          <w:szCs w:val="32"/>
        </w:rPr>
      </w:pPr>
      <w:r>
        <w:rPr>
          <w:rFonts w:hint="eastAsia" w:ascii="仿宋_GB2312" w:eastAsia="仿宋_GB2312"/>
          <w:sz w:val="32"/>
          <w:szCs w:val="32"/>
        </w:rPr>
        <w:t>2、按质按量完成教育教学方面的各项任务，稳步替身而过学校的教育教学质量，学生综合素质评价优秀率达到85%，合格率达到100%。</w:t>
      </w:r>
    </w:p>
    <w:p>
      <w:pPr>
        <w:pStyle w:val="20"/>
        <w:spacing w:line="579" w:lineRule="exact"/>
        <w:rPr>
          <w:rFonts w:ascii="仿宋_GB2312" w:eastAsia="仿宋_GB2312"/>
          <w:sz w:val="32"/>
          <w:szCs w:val="32"/>
        </w:rPr>
      </w:pPr>
      <w:r>
        <w:rPr>
          <w:rFonts w:hint="eastAsia" w:ascii="仿宋_GB2312" w:eastAsia="仿宋_GB2312"/>
          <w:sz w:val="32"/>
          <w:szCs w:val="32"/>
        </w:rPr>
        <w:t>3、幼儿园公用经费水平逐年提高，改善学校办学条件，保障学前教育阶段学校基本教学条件，使学前教育学校教学设施和生活设施满足基本的教学需要。保障后勤社会化服务，资金充足，使学校能正常运转，超大班额现象消除，教师数量、素质、结构基本适应教学需求。</w:t>
      </w:r>
    </w:p>
    <w:p>
      <w:pPr>
        <w:pStyle w:val="20"/>
        <w:spacing w:line="579" w:lineRule="exact"/>
        <w:rPr>
          <w:rFonts w:ascii="仿宋_GB2312" w:eastAsia="仿宋_GB2312"/>
          <w:sz w:val="32"/>
          <w:szCs w:val="32"/>
        </w:rPr>
      </w:pPr>
      <w:r>
        <w:rPr>
          <w:rFonts w:hint="eastAsia" w:ascii="仿宋_GB2312" w:eastAsia="仿宋_GB2312"/>
          <w:sz w:val="32"/>
          <w:szCs w:val="32"/>
        </w:rPr>
        <w:t>4、提升学校基础设施设备的整体水平，加强学校基础设备设施的维护，确保校园安全，落实校园防火及其他安全隐患的预防工作。确保校园各设施设备的正常运行。</w:t>
      </w:r>
    </w:p>
    <w:p>
      <w:pPr>
        <w:pStyle w:val="20"/>
        <w:spacing w:line="579" w:lineRule="exact"/>
        <w:rPr>
          <w:rFonts w:ascii="仿宋_GB2312" w:eastAsia="仿宋_GB2312"/>
          <w:sz w:val="32"/>
          <w:szCs w:val="32"/>
        </w:rPr>
      </w:pPr>
      <w:r>
        <w:rPr>
          <w:rFonts w:hint="eastAsia" w:ascii="仿宋_GB2312" w:eastAsia="仿宋_GB2312"/>
          <w:sz w:val="32"/>
          <w:szCs w:val="32"/>
        </w:rPr>
        <w:t>5、开展各类课题研究，园本研究，加强教师培训和教师交流，提高教师教学水平，调动教师积极性，培养专家型教师人才，加强德育培训与研究，举办各类教育教学、学生社会实践活动，建立学生实践教育基地活动，提高学生的综合素质。</w:t>
      </w:r>
    </w:p>
    <w:p>
      <w:pPr>
        <w:pStyle w:val="20"/>
        <w:spacing w:line="579" w:lineRule="exact"/>
        <w:rPr>
          <w:rFonts w:ascii="仿宋_GB2312" w:eastAsia="仿宋_GB2312"/>
          <w:sz w:val="32"/>
          <w:szCs w:val="32"/>
        </w:rPr>
      </w:pPr>
      <w:r>
        <w:rPr>
          <w:rFonts w:hint="eastAsia" w:ascii="仿宋_GB2312" w:eastAsia="仿宋_GB2312"/>
          <w:sz w:val="32"/>
          <w:szCs w:val="32"/>
        </w:rPr>
        <w:t>6、学校的文化宣传整体布局建成学校校史馆，完成各班级、各科室及教师办公室的文化宣传布置，加大幼儿园办学理念、目标的宣传，形成具有特色的校园文化氛围。</w:t>
      </w:r>
    </w:p>
    <w:p>
      <w:pPr>
        <w:pStyle w:val="20"/>
        <w:spacing w:line="579" w:lineRule="exact"/>
        <w:rPr>
          <w:rFonts w:eastAsia="仿宋_GB2312"/>
          <w:sz w:val="32"/>
          <w:szCs w:val="32"/>
        </w:rPr>
      </w:pPr>
      <w:r>
        <w:rPr>
          <w:rFonts w:hint="eastAsia" w:ascii="仿宋_GB2312" w:eastAsia="仿宋_GB2312"/>
          <w:sz w:val="32"/>
          <w:szCs w:val="32"/>
        </w:rPr>
        <w:t>7、办人民满意的幼儿园，教师、幼儿、家长整体满意度达到90%以上</w:t>
      </w:r>
      <w:r>
        <w:rPr>
          <w:rFonts w:eastAsia="仿宋_GB2312"/>
          <w:sz w:val="32"/>
          <w:szCs w:val="32"/>
        </w:rPr>
        <w:t>。</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spacing w:line="579" w:lineRule="exact"/>
        <w:rPr>
          <w:rFonts w:ascii="仿宋_GB2312" w:eastAsia="仿宋_GB2312"/>
          <w:sz w:val="32"/>
          <w:szCs w:val="32"/>
        </w:rPr>
      </w:pPr>
      <w:r>
        <w:rPr>
          <w:rFonts w:hint="eastAsia" w:ascii="仿宋_GB2312" w:eastAsia="仿宋_GB2312"/>
          <w:sz w:val="32"/>
          <w:szCs w:val="32"/>
        </w:rPr>
        <w:t>1、成立幼儿园监督小组，监督幼儿园工作，强化工作落实。</w:t>
      </w:r>
    </w:p>
    <w:p>
      <w:pPr>
        <w:pStyle w:val="21"/>
        <w:spacing w:line="579" w:lineRule="exact"/>
        <w:rPr>
          <w:rFonts w:ascii="仿宋_GB2312" w:eastAsia="仿宋_GB2312"/>
          <w:sz w:val="32"/>
          <w:szCs w:val="32"/>
        </w:rPr>
      </w:pPr>
      <w:r>
        <w:rPr>
          <w:rFonts w:hint="eastAsia" w:ascii="仿宋_GB2312" w:eastAsia="仿宋_GB2312"/>
          <w:sz w:val="32"/>
          <w:szCs w:val="32"/>
        </w:rPr>
        <w:t>2、做好工会工作，贯彻落实中央和省、市、区位关于重大节日开展对离退休干部进行走访慰问的指示精神，做好困难党员、群众、老教师、优抚对象、劳动模范的关心帮扶工作，充分体现党和政府对教育工作者的关怀。</w:t>
      </w:r>
    </w:p>
    <w:p>
      <w:pPr>
        <w:pStyle w:val="21"/>
        <w:spacing w:line="579" w:lineRule="exact"/>
        <w:rPr>
          <w:rFonts w:ascii="仿宋_GB2312" w:eastAsia="仿宋_GB2312"/>
          <w:sz w:val="32"/>
          <w:szCs w:val="32"/>
        </w:rPr>
      </w:pPr>
      <w:r>
        <w:rPr>
          <w:rFonts w:hint="eastAsia" w:ascii="仿宋_GB2312" w:eastAsia="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1"/>
        <w:spacing w:line="579" w:lineRule="exact"/>
        <w:rPr>
          <w:rFonts w:ascii="仿宋_GB2312" w:eastAsia="仿宋_GB2312"/>
          <w:sz w:val="32"/>
          <w:szCs w:val="32"/>
        </w:rPr>
      </w:pPr>
      <w:r>
        <w:rPr>
          <w:rFonts w:hint="eastAsia" w:ascii="仿宋_GB2312" w:eastAsia="仿宋_GB2312"/>
          <w:sz w:val="32"/>
          <w:szCs w:val="32"/>
        </w:rPr>
        <w:t>4、幼儿园体育、卫生工作根据《幼儿园健康体检管理办法》要求，对在校幼儿每年进行一次常规体检。</w:t>
      </w:r>
    </w:p>
    <w:p>
      <w:pPr>
        <w:pStyle w:val="21"/>
        <w:spacing w:line="579" w:lineRule="exact"/>
        <w:rPr>
          <w:rFonts w:ascii="仿宋_GB2312" w:eastAsia="仿宋_GB2312"/>
          <w:sz w:val="32"/>
          <w:szCs w:val="32"/>
        </w:rPr>
      </w:pPr>
      <w:r>
        <w:rPr>
          <w:rFonts w:hint="eastAsia" w:ascii="仿宋_GB2312" w:eastAsia="仿宋_GB2312"/>
          <w:sz w:val="32"/>
          <w:szCs w:val="32"/>
        </w:rPr>
        <w:t>5、完善拓展德育队伍建设，树立全员育人观念，并取得一定成绩，形成幼儿园、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1"/>
        <w:spacing w:line="579" w:lineRule="exact"/>
        <w:rPr>
          <w:rFonts w:ascii="仿宋_GB2312" w:eastAsia="仿宋_GB2312"/>
          <w:sz w:val="32"/>
          <w:szCs w:val="32"/>
        </w:rPr>
      </w:pPr>
      <w:r>
        <w:rPr>
          <w:rFonts w:hint="eastAsia" w:ascii="仿宋_GB2312" w:eastAsia="仿宋_GB2312"/>
          <w:sz w:val="32"/>
          <w:szCs w:val="32"/>
        </w:rPr>
        <w:t>加强政治理论学习，强化党风廉政建设，做好师德传承活动，落实老中青传帮带，弘扬办学精神，加强师德宣传与学习活动，开展形式多样、扎实有效的师德教育活动，逐步制定、完善相关制度，规范教师师德、加强园本培训和继续教育工作。提升教师能力，落实教师评价工作，完善考核机制，搭建教师发展平台。</w:t>
      </w: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ascii="仿宋_GB2312" w:eastAsia="仿宋_GB2312" w:cs="Times New Roman"/>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374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38"/>
        <w:gridCol w:w="1918"/>
        <w:gridCol w:w="2259"/>
        <w:gridCol w:w="3816"/>
        <w:gridCol w:w="670"/>
        <w:gridCol w:w="587"/>
        <w:gridCol w:w="1577"/>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83" w:type="dxa"/>
            <w:vMerge w:val="restart"/>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一级指标</w:t>
            </w:r>
          </w:p>
        </w:tc>
        <w:tc>
          <w:tcPr>
            <w:tcW w:w="1238" w:type="dxa"/>
            <w:vMerge w:val="restart"/>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二级指标</w:t>
            </w:r>
          </w:p>
        </w:tc>
        <w:tc>
          <w:tcPr>
            <w:tcW w:w="1918" w:type="dxa"/>
            <w:vMerge w:val="restart"/>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三级指标</w:t>
            </w:r>
          </w:p>
        </w:tc>
        <w:tc>
          <w:tcPr>
            <w:tcW w:w="2259" w:type="dxa"/>
            <w:vMerge w:val="restart"/>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绩效指标描述</w:t>
            </w:r>
          </w:p>
        </w:tc>
        <w:tc>
          <w:tcPr>
            <w:tcW w:w="3816" w:type="dxa"/>
            <w:vMerge w:val="restart"/>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评（扣）分标准</w:t>
            </w:r>
          </w:p>
        </w:tc>
        <w:tc>
          <w:tcPr>
            <w:tcW w:w="2834" w:type="dxa"/>
            <w:gridSpan w:val="3"/>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指标值</w:t>
            </w:r>
          </w:p>
        </w:tc>
        <w:tc>
          <w:tcPr>
            <w:tcW w:w="897" w:type="dxa"/>
            <w:vMerge w:val="restart"/>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3" w:type="dxa"/>
            <w:vMerge w:val="continue"/>
            <w:tcBorders>
              <w:tl2br w:val="nil"/>
              <w:tr2bl w:val="nil"/>
            </w:tcBorders>
            <w:shd w:val="clear" w:color="auto" w:fill="auto"/>
            <w:vAlign w:val="center"/>
          </w:tcPr>
          <w:p>
            <w:pPr>
              <w:spacing w:line="240" w:lineRule="auto"/>
              <w:jc w:val="center"/>
              <w:rPr>
                <w:rFonts w:ascii="宋体" w:hAnsi="宋体" w:cs="宋体"/>
                <w:color w:val="000000"/>
                <w:sz w:val="22"/>
              </w:rPr>
            </w:pPr>
          </w:p>
        </w:tc>
        <w:tc>
          <w:tcPr>
            <w:tcW w:w="1238" w:type="dxa"/>
            <w:vMerge w:val="continue"/>
            <w:tcBorders>
              <w:tl2br w:val="nil"/>
              <w:tr2bl w:val="nil"/>
            </w:tcBorders>
            <w:shd w:val="clear" w:color="auto" w:fill="auto"/>
            <w:vAlign w:val="center"/>
          </w:tcPr>
          <w:p>
            <w:pPr>
              <w:spacing w:line="240" w:lineRule="auto"/>
              <w:jc w:val="center"/>
              <w:rPr>
                <w:rFonts w:ascii="宋体" w:hAnsi="宋体" w:cs="宋体"/>
                <w:color w:val="000000"/>
                <w:sz w:val="22"/>
              </w:rPr>
            </w:pPr>
          </w:p>
        </w:tc>
        <w:tc>
          <w:tcPr>
            <w:tcW w:w="1918" w:type="dxa"/>
            <w:vMerge w:val="continue"/>
            <w:tcBorders>
              <w:tl2br w:val="nil"/>
              <w:tr2bl w:val="nil"/>
            </w:tcBorders>
            <w:shd w:val="clear" w:color="auto" w:fill="auto"/>
            <w:vAlign w:val="center"/>
          </w:tcPr>
          <w:p>
            <w:pPr>
              <w:spacing w:line="240" w:lineRule="auto"/>
              <w:jc w:val="center"/>
              <w:rPr>
                <w:rFonts w:ascii="宋体" w:hAnsi="宋体" w:cs="宋体"/>
                <w:color w:val="000000"/>
                <w:sz w:val="22"/>
              </w:rPr>
            </w:pPr>
          </w:p>
        </w:tc>
        <w:tc>
          <w:tcPr>
            <w:tcW w:w="2259" w:type="dxa"/>
            <w:vMerge w:val="continue"/>
            <w:tcBorders>
              <w:tl2br w:val="nil"/>
              <w:tr2bl w:val="nil"/>
            </w:tcBorders>
            <w:shd w:val="clear" w:color="auto" w:fill="auto"/>
            <w:vAlign w:val="center"/>
          </w:tcPr>
          <w:p>
            <w:pPr>
              <w:spacing w:line="240" w:lineRule="auto"/>
              <w:jc w:val="center"/>
              <w:rPr>
                <w:rFonts w:ascii="宋体" w:hAnsi="宋体" w:cs="宋体"/>
                <w:color w:val="000000"/>
                <w:sz w:val="22"/>
              </w:rPr>
            </w:pPr>
          </w:p>
        </w:tc>
        <w:tc>
          <w:tcPr>
            <w:tcW w:w="3816" w:type="dxa"/>
            <w:vMerge w:val="continue"/>
            <w:tcBorders>
              <w:tl2br w:val="nil"/>
              <w:tr2bl w:val="nil"/>
            </w:tcBorders>
            <w:shd w:val="clear" w:color="auto" w:fill="auto"/>
            <w:vAlign w:val="center"/>
          </w:tcPr>
          <w:p>
            <w:pPr>
              <w:spacing w:line="240" w:lineRule="auto"/>
              <w:jc w:val="center"/>
              <w:rPr>
                <w:rFonts w:ascii="宋体" w:hAnsi="宋体" w:cs="宋体"/>
                <w:color w:val="000000"/>
                <w:sz w:val="22"/>
              </w:rPr>
            </w:pPr>
          </w:p>
        </w:tc>
        <w:tc>
          <w:tcPr>
            <w:tcW w:w="670" w:type="dxa"/>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符号</w:t>
            </w:r>
          </w:p>
        </w:tc>
        <w:tc>
          <w:tcPr>
            <w:tcW w:w="587" w:type="dxa"/>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值</w:t>
            </w:r>
          </w:p>
        </w:tc>
        <w:tc>
          <w:tcPr>
            <w:tcW w:w="1577" w:type="dxa"/>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单位（文字描述）</w:t>
            </w:r>
          </w:p>
        </w:tc>
        <w:tc>
          <w:tcPr>
            <w:tcW w:w="897" w:type="dxa"/>
            <w:vMerge w:val="continue"/>
            <w:tcBorders>
              <w:tl2br w:val="nil"/>
              <w:tr2bl w:val="nil"/>
            </w:tcBorders>
            <w:shd w:val="clear" w:color="auto" w:fill="auto"/>
            <w:vAlign w:val="center"/>
          </w:tcPr>
          <w:p>
            <w:pPr>
              <w:spacing w:line="240" w:lineRule="auto"/>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3" w:type="dxa"/>
            <w:vMerge w:val="restart"/>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产出指标</w:t>
            </w:r>
          </w:p>
        </w:tc>
        <w:tc>
          <w:tcPr>
            <w:tcW w:w="1238" w:type="dxa"/>
            <w:tcBorders>
              <w:tl2br w:val="nil"/>
              <w:tr2bl w:val="nil"/>
            </w:tcBorders>
            <w:shd w:val="clear" w:color="auto" w:fill="auto"/>
            <w:noWrap/>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数量指标</w:t>
            </w:r>
          </w:p>
        </w:tc>
        <w:tc>
          <w:tcPr>
            <w:tcW w:w="1918"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幼儿园毕业生生合格率</w:t>
            </w:r>
          </w:p>
        </w:tc>
        <w:tc>
          <w:tcPr>
            <w:tcW w:w="2259"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幼儿园毕业生合格率</w:t>
            </w:r>
          </w:p>
        </w:tc>
        <w:tc>
          <w:tcPr>
            <w:tcW w:w="3816"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20分毕业生合格率100%得满分，否则不得分</w:t>
            </w:r>
          </w:p>
        </w:tc>
        <w:tc>
          <w:tcPr>
            <w:tcW w:w="670"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58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100</w:t>
            </w:r>
          </w:p>
        </w:tc>
        <w:tc>
          <w:tcPr>
            <w:tcW w:w="157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89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3" w:type="dxa"/>
            <w:vMerge w:val="continue"/>
            <w:tcBorders>
              <w:tl2br w:val="nil"/>
              <w:tr2bl w:val="nil"/>
            </w:tcBorders>
            <w:shd w:val="clear" w:color="auto" w:fill="auto"/>
            <w:noWrap/>
          </w:tcPr>
          <w:p>
            <w:pPr>
              <w:spacing w:line="240" w:lineRule="auto"/>
              <w:jc w:val="left"/>
              <w:rPr>
                <w:rFonts w:cs="Calibri"/>
                <w:color w:val="000000"/>
                <w:sz w:val="22"/>
              </w:rPr>
            </w:pPr>
          </w:p>
        </w:tc>
        <w:tc>
          <w:tcPr>
            <w:tcW w:w="1238" w:type="dxa"/>
            <w:tcBorders>
              <w:tl2br w:val="nil"/>
              <w:tr2bl w:val="nil"/>
            </w:tcBorders>
            <w:shd w:val="clear" w:color="auto" w:fill="auto"/>
            <w:noWrap/>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质量指标</w:t>
            </w:r>
          </w:p>
        </w:tc>
        <w:tc>
          <w:tcPr>
            <w:tcW w:w="1918"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采购物资、建设工程合格率</w:t>
            </w:r>
          </w:p>
        </w:tc>
        <w:tc>
          <w:tcPr>
            <w:tcW w:w="2259"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采购物资、建设工程合格率</w:t>
            </w:r>
          </w:p>
        </w:tc>
        <w:tc>
          <w:tcPr>
            <w:tcW w:w="3816"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20分合格率100%得满分，否则不得分</w:t>
            </w:r>
          </w:p>
        </w:tc>
        <w:tc>
          <w:tcPr>
            <w:tcW w:w="670"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58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100</w:t>
            </w:r>
          </w:p>
        </w:tc>
        <w:tc>
          <w:tcPr>
            <w:tcW w:w="157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89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3" w:type="dxa"/>
            <w:vMerge w:val="continue"/>
            <w:tcBorders>
              <w:tl2br w:val="nil"/>
              <w:tr2bl w:val="nil"/>
            </w:tcBorders>
            <w:shd w:val="clear" w:color="auto" w:fill="auto"/>
            <w:noWrap/>
          </w:tcPr>
          <w:p>
            <w:pPr>
              <w:spacing w:line="240" w:lineRule="auto"/>
              <w:jc w:val="left"/>
              <w:rPr>
                <w:rFonts w:cs="Calibri"/>
                <w:color w:val="000000"/>
                <w:sz w:val="22"/>
              </w:rPr>
            </w:pPr>
          </w:p>
        </w:tc>
        <w:tc>
          <w:tcPr>
            <w:tcW w:w="1238" w:type="dxa"/>
            <w:tcBorders>
              <w:tl2br w:val="nil"/>
              <w:tr2bl w:val="nil"/>
            </w:tcBorders>
            <w:shd w:val="clear" w:color="auto" w:fill="auto"/>
            <w:noWrap/>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数量指标</w:t>
            </w:r>
          </w:p>
        </w:tc>
        <w:tc>
          <w:tcPr>
            <w:tcW w:w="1918"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重点工作实际完成率</w:t>
            </w:r>
          </w:p>
        </w:tc>
        <w:tc>
          <w:tcPr>
            <w:tcW w:w="2259"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重点工作实际完成率</w:t>
            </w:r>
          </w:p>
        </w:tc>
        <w:tc>
          <w:tcPr>
            <w:tcW w:w="3816"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10分不低于95%得满分，否则不得分</w:t>
            </w:r>
          </w:p>
        </w:tc>
        <w:tc>
          <w:tcPr>
            <w:tcW w:w="670"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58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95</w:t>
            </w:r>
          </w:p>
        </w:tc>
        <w:tc>
          <w:tcPr>
            <w:tcW w:w="157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89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3" w:type="dxa"/>
            <w:vMerge w:val="continue"/>
            <w:tcBorders>
              <w:tl2br w:val="nil"/>
              <w:tr2bl w:val="nil"/>
            </w:tcBorders>
            <w:shd w:val="clear" w:color="auto" w:fill="auto"/>
            <w:noWrap/>
          </w:tcPr>
          <w:p>
            <w:pPr>
              <w:spacing w:line="240" w:lineRule="auto"/>
              <w:jc w:val="left"/>
              <w:rPr>
                <w:rFonts w:cs="Calibri"/>
                <w:color w:val="000000"/>
                <w:sz w:val="22"/>
              </w:rPr>
            </w:pPr>
          </w:p>
        </w:tc>
        <w:tc>
          <w:tcPr>
            <w:tcW w:w="1238" w:type="dxa"/>
            <w:tcBorders>
              <w:tl2br w:val="nil"/>
              <w:tr2bl w:val="nil"/>
            </w:tcBorders>
            <w:shd w:val="clear" w:color="auto" w:fill="auto"/>
            <w:noWrap/>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成本指标</w:t>
            </w:r>
          </w:p>
        </w:tc>
        <w:tc>
          <w:tcPr>
            <w:tcW w:w="1918"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教育经费使用控制率</w:t>
            </w:r>
          </w:p>
        </w:tc>
        <w:tc>
          <w:tcPr>
            <w:tcW w:w="2259"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支出的公用经费总额与预算安排得比率</w:t>
            </w:r>
          </w:p>
        </w:tc>
        <w:tc>
          <w:tcPr>
            <w:tcW w:w="3816"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10分教育经费决算数不大于调整预算数得满分</w:t>
            </w:r>
          </w:p>
        </w:tc>
        <w:tc>
          <w:tcPr>
            <w:tcW w:w="670"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文字描述</w:t>
            </w:r>
          </w:p>
        </w:tc>
        <w:tc>
          <w:tcPr>
            <w:tcW w:w="587" w:type="dxa"/>
            <w:tcBorders>
              <w:tl2br w:val="nil"/>
              <w:tr2bl w:val="nil"/>
            </w:tcBorders>
            <w:shd w:val="clear" w:color="auto" w:fill="auto"/>
            <w:noWrap/>
          </w:tcPr>
          <w:p>
            <w:pPr>
              <w:spacing w:line="240" w:lineRule="auto"/>
              <w:jc w:val="left"/>
              <w:rPr>
                <w:rFonts w:cs="Calibri"/>
                <w:color w:val="000000"/>
                <w:sz w:val="22"/>
              </w:rPr>
            </w:pPr>
          </w:p>
        </w:tc>
        <w:tc>
          <w:tcPr>
            <w:tcW w:w="157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教育经费决算数不大于调整预算数</w:t>
            </w:r>
          </w:p>
        </w:tc>
        <w:tc>
          <w:tcPr>
            <w:tcW w:w="89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3" w:type="dxa"/>
            <w:vMerge w:val="continue"/>
            <w:tcBorders>
              <w:tl2br w:val="nil"/>
              <w:tr2bl w:val="nil"/>
            </w:tcBorders>
            <w:shd w:val="clear" w:color="auto" w:fill="auto"/>
            <w:noWrap/>
          </w:tcPr>
          <w:p>
            <w:pPr>
              <w:spacing w:line="240" w:lineRule="auto"/>
              <w:jc w:val="left"/>
              <w:rPr>
                <w:rFonts w:cs="Calibri"/>
                <w:color w:val="000000"/>
                <w:sz w:val="22"/>
              </w:rPr>
            </w:pPr>
          </w:p>
        </w:tc>
        <w:tc>
          <w:tcPr>
            <w:tcW w:w="1238" w:type="dxa"/>
            <w:tcBorders>
              <w:tl2br w:val="nil"/>
              <w:tr2bl w:val="nil"/>
            </w:tcBorders>
            <w:shd w:val="clear" w:color="auto" w:fill="auto"/>
            <w:noWrap/>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时效指标</w:t>
            </w:r>
          </w:p>
        </w:tc>
        <w:tc>
          <w:tcPr>
            <w:tcW w:w="1918"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学校的各项工作任务及时完成情况</w:t>
            </w:r>
          </w:p>
        </w:tc>
        <w:tc>
          <w:tcPr>
            <w:tcW w:w="2259"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学校的各项工作任务及时完成情况</w:t>
            </w:r>
          </w:p>
        </w:tc>
        <w:tc>
          <w:tcPr>
            <w:tcW w:w="3816"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10分及时完成得满分，否则不得分</w:t>
            </w:r>
          </w:p>
        </w:tc>
        <w:tc>
          <w:tcPr>
            <w:tcW w:w="670"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文字描述</w:t>
            </w:r>
          </w:p>
        </w:tc>
        <w:tc>
          <w:tcPr>
            <w:tcW w:w="587" w:type="dxa"/>
            <w:tcBorders>
              <w:tl2br w:val="nil"/>
              <w:tr2bl w:val="nil"/>
            </w:tcBorders>
            <w:shd w:val="clear" w:color="auto" w:fill="auto"/>
            <w:noWrap/>
          </w:tcPr>
          <w:p>
            <w:pPr>
              <w:spacing w:line="240" w:lineRule="auto"/>
              <w:jc w:val="left"/>
              <w:rPr>
                <w:rFonts w:cs="Calibri"/>
                <w:color w:val="000000"/>
                <w:sz w:val="22"/>
              </w:rPr>
            </w:pPr>
          </w:p>
        </w:tc>
        <w:tc>
          <w:tcPr>
            <w:tcW w:w="157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及时</w:t>
            </w:r>
          </w:p>
        </w:tc>
        <w:tc>
          <w:tcPr>
            <w:tcW w:w="89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3"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效益指标</w:t>
            </w:r>
          </w:p>
        </w:tc>
        <w:tc>
          <w:tcPr>
            <w:tcW w:w="1238" w:type="dxa"/>
            <w:tcBorders>
              <w:tl2br w:val="nil"/>
              <w:tr2bl w:val="nil"/>
            </w:tcBorders>
            <w:shd w:val="clear" w:color="auto" w:fill="auto"/>
            <w:noWrap/>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社会效益指标</w:t>
            </w:r>
          </w:p>
        </w:tc>
        <w:tc>
          <w:tcPr>
            <w:tcW w:w="1918"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学前教育高质量发展</w:t>
            </w:r>
          </w:p>
        </w:tc>
        <w:tc>
          <w:tcPr>
            <w:tcW w:w="2259"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推动学前教育从数量扩张向质量提高转变</w:t>
            </w:r>
          </w:p>
        </w:tc>
        <w:tc>
          <w:tcPr>
            <w:tcW w:w="3816"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30分。支持学前教育发展得25分，不支持不得分。</w:t>
            </w:r>
          </w:p>
        </w:tc>
        <w:tc>
          <w:tcPr>
            <w:tcW w:w="670"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58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95</w:t>
            </w:r>
          </w:p>
        </w:tc>
        <w:tc>
          <w:tcPr>
            <w:tcW w:w="157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89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hint="eastAsia" w:cs="Calibri"/>
                <w:color w:val="000000"/>
                <w:kern w:val="0"/>
                <w:sz w:val="22"/>
                <w:lang w:eastAsia="zh-CN"/>
              </w:rPr>
              <w:t>单位</w:t>
            </w:r>
            <w:r>
              <w:rPr>
                <w:rFonts w:cs="Calibri"/>
                <w:color w:val="000000"/>
                <w:kern w:val="0"/>
                <w:sz w:val="2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3" w:type="dxa"/>
            <w:vMerge w:val="restart"/>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满意度指标</w:t>
            </w:r>
          </w:p>
        </w:tc>
        <w:tc>
          <w:tcPr>
            <w:tcW w:w="1238" w:type="dxa"/>
            <w:tcBorders>
              <w:tl2br w:val="nil"/>
              <w:tr2bl w:val="nil"/>
            </w:tcBorders>
            <w:shd w:val="clear" w:color="auto" w:fill="auto"/>
            <w:noWrap/>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服务对象满意度指标</w:t>
            </w:r>
          </w:p>
        </w:tc>
        <w:tc>
          <w:tcPr>
            <w:tcW w:w="1918"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在校师生的满意程度</w:t>
            </w:r>
          </w:p>
        </w:tc>
        <w:tc>
          <w:tcPr>
            <w:tcW w:w="2259"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在校师生的满意程度</w:t>
            </w:r>
          </w:p>
        </w:tc>
        <w:tc>
          <w:tcPr>
            <w:tcW w:w="3816"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10分在校师生的满意度达到95%得满分，每降低1%扣1分，扣完为止。</w:t>
            </w:r>
          </w:p>
        </w:tc>
        <w:tc>
          <w:tcPr>
            <w:tcW w:w="670"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58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95</w:t>
            </w:r>
          </w:p>
        </w:tc>
        <w:tc>
          <w:tcPr>
            <w:tcW w:w="157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89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3" w:type="dxa"/>
            <w:vMerge w:val="continue"/>
            <w:tcBorders>
              <w:tl2br w:val="nil"/>
              <w:tr2bl w:val="nil"/>
            </w:tcBorders>
            <w:shd w:val="clear" w:color="auto" w:fill="auto"/>
            <w:noWrap/>
          </w:tcPr>
          <w:p>
            <w:pPr>
              <w:spacing w:line="240" w:lineRule="auto"/>
              <w:jc w:val="left"/>
              <w:rPr>
                <w:rFonts w:cs="Calibri"/>
                <w:color w:val="000000"/>
                <w:sz w:val="22"/>
              </w:rPr>
            </w:pPr>
          </w:p>
        </w:tc>
        <w:tc>
          <w:tcPr>
            <w:tcW w:w="1238" w:type="dxa"/>
            <w:tcBorders>
              <w:tl2br w:val="nil"/>
              <w:tr2bl w:val="nil"/>
            </w:tcBorders>
            <w:shd w:val="clear" w:color="auto" w:fill="auto"/>
            <w:noWrap/>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服务对象满意度指标</w:t>
            </w:r>
          </w:p>
        </w:tc>
        <w:tc>
          <w:tcPr>
            <w:tcW w:w="1918"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家长的满意程度</w:t>
            </w:r>
          </w:p>
        </w:tc>
        <w:tc>
          <w:tcPr>
            <w:tcW w:w="2259"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家长的满意程度</w:t>
            </w:r>
          </w:p>
        </w:tc>
        <w:tc>
          <w:tcPr>
            <w:tcW w:w="3816"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10分家长的满意度达到95%得满分，每降低1%扣1分，扣完为止。</w:t>
            </w:r>
          </w:p>
        </w:tc>
        <w:tc>
          <w:tcPr>
            <w:tcW w:w="670"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58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95</w:t>
            </w:r>
          </w:p>
        </w:tc>
        <w:tc>
          <w:tcPr>
            <w:tcW w:w="157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89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调查问卷</w:t>
            </w:r>
          </w:p>
        </w:tc>
      </w:tr>
    </w:tbl>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579" w:lineRule="exact"/>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廊坊市广阳区第六幼儿园合同制教师人员经费</w:t>
      </w:r>
      <w:r>
        <w:rPr>
          <w:rFonts w:ascii="Times New Roman" w:hAnsi="Times New Roman" w:eastAsia="仿宋_GB2312" w:cs="Times New Roman"/>
          <w:sz w:val="28"/>
        </w:rPr>
        <w:t>绩效目标表</w:t>
      </w:r>
      <w:bookmarkStart w:id="0" w:name="_Toc29799657"/>
      <w:bookmarkEnd w:id="0"/>
    </w:p>
    <w:p>
      <w:pPr>
        <w:spacing w:line="579"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auto"/>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240" w:lineRule="auto"/>
              <w:rPr>
                <w:rFonts w:ascii="Times New Roman" w:hAnsi="Times New Roman" w:eastAsia="仿宋_GB2312" w:cs="Times New Roman"/>
                <w:b w:val="0"/>
                <w:bCs/>
              </w:rPr>
            </w:pPr>
            <w:r>
              <w:rPr>
                <w:rFonts w:ascii="Times New Roman" w:hAnsi="Times New Roman" w:eastAsia="仿宋_GB2312" w:cs="Times New Roman"/>
                <w:b w:val="0"/>
                <w:bCs/>
              </w:rPr>
              <w:t>1.目标内容1缓解教师短缺，保障教育教学正常的进行</w:t>
            </w:r>
          </w:p>
          <w:p>
            <w:pPr>
              <w:spacing w:line="240" w:lineRule="auto"/>
              <w:rPr>
                <w:rFonts w:ascii="Times New Roman" w:hAnsi="Times New Roman" w:eastAsia="仿宋_GB2312" w:cs="Times New Roman"/>
                <w:b w:val="0"/>
                <w:bCs/>
              </w:rPr>
            </w:pPr>
            <w:r>
              <w:rPr>
                <w:rFonts w:ascii="Times New Roman" w:hAnsi="Times New Roman" w:eastAsia="仿宋_GB2312" w:cs="Times New Roman"/>
                <w:b w:val="0"/>
                <w:bCs/>
              </w:rPr>
              <w:t>2.目标内容2保障教学质量，提升教育水平</w:t>
            </w:r>
          </w:p>
          <w:p>
            <w:pPr>
              <w:spacing w:line="240" w:lineRule="auto"/>
              <w:rPr>
                <w:rFonts w:ascii="Times New Roman" w:hAnsi="Times New Roman" w:eastAsia="仿宋_GB2312" w:cs="Times New Roman"/>
                <w:b w:val="0"/>
                <w:bCs/>
              </w:rPr>
            </w:pPr>
            <w:r>
              <w:rPr>
                <w:rFonts w:ascii="Times New Roman" w:hAnsi="Times New Roman" w:eastAsia="仿宋_GB2312" w:cs="Times New Roman"/>
                <w:b w:val="0"/>
                <w:bCs/>
              </w:rPr>
              <w:t>3.目标内容3保障合同制教师工资福利待遇，并及时发放。</w:t>
            </w:r>
          </w:p>
          <w:p>
            <w:pPr>
              <w:spacing w:line="240" w:lineRule="auto"/>
              <w:rPr>
                <w:rFonts w:ascii="Times New Roman" w:hAnsi="Times New Roman" w:eastAsia="仿宋_GB2312" w:cs="Times New Roman"/>
                <w:b w:val="0"/>
                <w:bCs/>
              </w:rPr>
            </w:pPr>
            <w:r>
              <w:rPr>
                <w:rFonts w:ascii="Times New Roman" w:hAnsi="Times New Roman" w:eastAsia="仿宋_GB2312" w:cs="Times New Roman"/>
                <w:b w:val="0"/>
                <w:bCs/>
              </w:rPr>
              <w:t>4.目标内容4学生、学校、家长对合同制教师的满意度达到95%以上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auto"/>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240" w:lineRule="auto"/>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240" w:lineRule="auto"/>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240" w:lineRule="auto"/>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240" w:lineRule="auto"/>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240" w:lineRule="auto"/>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40" w:lineRule="auto"/>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合同制教师在校人数</w:t>
            </w:r>
          </w:p>
        </w:tc>
        <w:tc>
          <w:tcPr>
            <w:tcW w:w="3402"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保障2022合同制教师 62人工资福利</w:t>
            </w:r>
          </w:p>
        </w:tc>
        <w:tc>
          <w:tcPr>
            <w:tcW w:w="1843"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62人</w:t>
            </w:r>
          </w:p>
        </w:tc>
        <w:tc>
          <w:tcPr>
            <w:tcW w:w="215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pPr>
          </w:p>
        </w:tc>
        <w:tc>
          <w:tcPr>
            <w:tcW w:w="2268"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合同制教师完成岗位目标</w:t>
            </w:r>
          </w:p>
        </w:tc>
        <w:tc>
          <w:tcPr>
            <w:tcW w:w="3402"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合同制教师岗位目标明确，并得以执行</w:t>
            </w:r>
          </w:p>
        </w:tc>
        <w:tc>
          <w:tcPr>
            <w:tcW w:w="1843"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完成岗位目标职责</w:t>
            </w:r>
          </w:p>
        </w:tc>
        <w:tc>
          <w:tcPr>
            <w:tcW w:w="215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pPr>
          </w:p>
        </w:tc>
        <w:tc>
          <w:tcPr>
            <w:tcW w:w="2268"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合同制教师的考核合格率</w:t>
            </w:r>
          </w:p>
        </w:tc>
        <w:tc>
          <w:tcPr>
            <w:tcW w:w="3402"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合格率达到100%</w:t>
            </w:r>
          </w:p>
        </w:tc>
        <w:tc>
          <w:tcPr>
            <w:tcW w:w="1843"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≥98%</w:t>
            </w:r>
          </w:p>
        </w:tc>
        <w:tc>
          <w:tcPr>
            <w:tcW w:w="215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pPr>
          </w:p>
        </w:tc>
        <w:tc>
          <w:tcPr>
            <w:tcW w:w="2268"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资金支出率（%）</w:t>
            </w:r>
          </w:p>
        </w:tc>
        <w:tc>
          <w:tcPr>
            <w:tcW w:w="3402"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按月支付合同制教师工资及缴纳社会保障及住房公积金</w:t>
            </w:r>
          </w:p>
        </w:tc>
        <w:tc>
          <w:tcPr>
            <w:tcW w:w="1843"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40" w:lineRule="auto"/>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保障项目正常运行</w:t>
            </w:r>
          </w:p>
        </w:tc>
        <w:tc>
          <w:tcPr>
            <w:tcW w:w="3402"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合同制教师薪酬测算标准</w:t>
            </w:r>
          </w:p>
        </w:tc>
        <w:tc>
          <w:tcPr>
            <w:tcW w:w="1843"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根据廊广传【2021】19号文件合同制教师与在职教师同工同酬</w:t>
            </w:r>
          </w:p>
        </w:tc>
        <w:tc>
          <w:tcPr>
            <w:tcW w:w="215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pPr>
          </w:p>
        </w:tc>
        <w:tc>
          <w:tcPr>
            <w:tcW w:w="2268"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缓解师资供需矛盾</w:t>
            </w:r>
          </w:p>
        </w:tc>
        <w:tc>
          <w:tcPr>
            <w:tcW w:w="3402"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缓解教师短缺，保障教育教学正常的进行</w:t>
            </w:r>
          </w:p>
        </w:tc>
        <w:tc>
          <w:tcPr>
            <w:tcW w:w="1843"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缓解</w:t>
            </w:r>
          </w:p>
        </w:tc>
        <w:tc>
          <w:tcPr>
            <w:tcW w:w="215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40" w:lineRule="auto"/>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学生满意度</w:t>
            </w:r>
          </w:p>
        </w:tc>
        <w:tc>
          <w:tcPr>
            <w:tcW w:w="3402"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所教幼儿园学生满意度</w:t>
            </w:r>
          </w:p>
        </w:tc>
        <w:tc>
          <w:tcPr>
            <w:tcW w:w="1843"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调查问卷</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79" w:lineRule="exact"/>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spacing w:line="579" w:lineRule="exact"/>
        <w:jc w:val="center"/>
        <w:outlineLvl w:val="1"/>
        <w:rPr>
          <w:rFonts w:ascii="方正小标宋_GBK" w:eastAsia="方正小标宋_GBK" w:cs="Times New Roman"/>
          <w:sz w:val="32"/>
        </w:rPr>
      </w:pPr>
      <w:r>
        <w:t>廊坊市</w:t>
      </w:r>
      <w:r>
        <w:rPr>
          <w:rFonts w:hint="eastAsia"/>
        </w:rPr>
        <w:t>广阳区第六幼儿园</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w:t>
            </w:r>
            <w:r>
              <w:rPr>
                <w:rFonts w:hint="eastAsia"/>
                <w:lang w:eastAsia="zh-CN"/>
              </w:rPr>
              <w:t>单位</w:t>
            </w:r>
            <w:r>
              <w:t>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广阳区第六幼儿园</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广阳区第六幼儿园</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4954</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4954</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582933-6BF6-44B6-B925-FAC0674997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1598EEDA-8C07-468E-93E0-A5866D21FCB4}"/>
  </w:font>
  <w:font w:name="仿宋_GB2312">
    <w:panose1 w:val="02010609030101010101"/>
    <w:charset w:val="86"/>
    <w:family w:val="modern"/>
    <w:pitch w:val="default"/>
    <w:sig w:usb0="00000001" w:usb1="080E0000" w:usb2="00000000" w:usb3="00000000" w:csb0="00040000" w:csb1="00000000"/>
    <w:embedRegular r:id="rId3" w:fontKey="{83BFDA70-5391-4C10-ABCD-A0426A68893D}"/>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13</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2587E"/>
    <w:rsid w:val="000F6018"/>
    <w:rsid w:val="00175627"/>
    <w:rsid w:val="0025632D"/>
    <w:rsid w:val="003059E0"/>
    <w:rsid w:val="004A54AA"/>
    <w:rsid w:val="007511D6"/>
    <w:rsid w:val="0082508F"/>
    <w:rsid w:val="00944233"/>
    <w:rsid w:val="00B40732"/>
    <w:rsid w:val="00B80935"/>
    <w:rsid w:val="00D012E8"/>
    <w:rsid w:val="00D347CC"/>
    <w:rsid w:val="00DC72B4"/>
    <w:rsid w:val="00E55A5A"/>
    <w:rsid w:val="01B54123"/>
    <w:rsid w:val="0997368C"/>
    <w:rsid w:val="0CEC1180"/>
    <w:rsid w:val="0F3C22B4"/>
    <w:rsid w:val="1D97156E"/>
    <w:rsid w:val="22166AFE"/>
    <w:rsid w:val="40216E2D"/>
    <w:rsid w:val="5FF7399B"/>
    <w:rsid w:val="606E69D1"/>
    <w:rsid w:val="71FE0894"/>
    <w:rsid w:val="7369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743</Words>
  <Characters>4236</Characters>
  <Lines>35</Lines>
  <Paragraphs>9</Paragraphs>
  <TotalTime>1</TotalTime>
  <ScaleCrop>false</ScaleCrop>
  <LinksUpToDate>false</LinksUpToDate>
  <CharactersWithSpaces>4970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2023-08-02T01:31:50Z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6AD804826AE943549EA6DB406E83BDB0</vt:lpwstr>
  </property>
</Properties>
</file>