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textAlignment w:val="baseline"/>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textAlignment w:val="baseline"/>
        <w:rPr>
          <w:rFonts w:ascii="Times New Roman" w:hAnsi="Times New Roman" w:eastAsia="仿宋_GB2312" w:cs="Times New Roman"/>
          <w:sz w:val="44"/>
          <w:szCs w:val="44"/>
        </w:rPr>
      </w:pPr>
    </w:p>
    <w:p>
      <w:pPr>
        <w:spacing w:line="584" w:lineRule="exact"/>
        <w:ind w:firstLine="880" w:firstLineChars="200"/>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第九中学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textAlignment w:val="baseline"/>
        <w:rPr>
          <w:rFonts w:ascii="Times New Roman" w:hAnsi="Times New Roman" w:eastAsia="仿宋_GB2312" w:cs="Times New Roman"/>
          <w:sz w:val="44"/>
          <w:szCs w:val="44"/>
        </w:rPr>
      </w:pPr>
    </w:p>
    <w:p>
      <w:pPr>
        <w:spacing w:line="58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textAlignment w:val="baseline"/>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textAlignment w:val="baseline"/>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廊坊市第九中学于2000年建校，为国家教育部允许建立的一所义务教育学校。现有在编在岗教师116人，在校学生一千多人。为促进教育公平和学生素质提高，国家完善政策，对我校学生进行初中学历及学生综合素质的培养，促进义务教育发展。</w:t>
      </w: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p>
    <w:p>
      <w:pPr>
        <w:spacing w:line="584" w:lineRule="exact"/>
        <w:ind w:firstLine="630" w:firstLineChars="196"/>
        <w:jc w:val="left"/>
        <w:textAlignment w:val="baseline"/>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textAlignment w:val="baseline"/>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textAlignment w:val="baseline"/>
              <w:rPr>
                <w:rFonts w:ascii="Times New Roman" w:hAnsi="Times New Roman" w:eastAsia="仿宋_GB2312" w:cs="Times New Roman"/>
                <w:b/>
                <w:sz w:val="20"/>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textAlignment w:val="baseline"/>
              <w:rPr>
                <w:b/>
                <w:i/>
                <w:caps/>
              </w:rPr>
            </w:pPr>
          </w:p>
        </w:tc>
        <w:tc>
          <w:tcPr>
            <w:tcW w:w="1134" w:type="dxa"/>
            <w:vMerge w:val="continue"/>
            <w:shd w:val="clear" w:color="auto" w:fill="auto"/>
            <w:vAlign w:val="center"/>
          </w:tcPr>
          <w:p>
            <w:pPr>
              <w:textAlignment w:val="baseline"/>
              <w:rPr>
                <w:b/>
                <w:i/>
                <w:caps/>
              </w:rPr>
            </w:pPr>
          </w:p>
        </w:tc>
        <w:tc>
          <w:tcPr>
            <w:tcW w:w="1276" w:type="dxa"/>
            <w:vMerge w:val="continue"/>
            <w:shd w:val="clear" w:color="auto" w:fill="auto"/>
            <w:vAlign w:val="center"/>
          </w:tcPr>
          <w:p>
            <w:pPr>
              <w:textAlignment w:val="baseline"/>
              <w:rPr>
                <w:b/>
                <w:i/>
                <w:caps/>
              </w:rPr>
            </w:pPr>
          </w:p>
        </w:tc>
        <w:tc>
          <w:tcPr>
            <w:tcW w:w="2902" w:type="dxa"/>
            <w:vMerge w:val="continue"/>
            <w:shd w:val="clear" w:color="auto" w:fill="auto"/>
            <w:vAlign w:val="center"/>
          </w:tcPr>
          <w:p>
            <w:pPr>
              <w:textAlignment w:val="baseline"/>
              <w:rPr>
                <w:b/>
                <w:i/>
                <w:cap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廊坊市第九中学</w:t>
            </w:r>
          </w:p>
        </w:tc>
        <w:tc>
          <w:tcPr>
            <w:tcW w:w="1134"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textAlignment w:val="baseline"/>
              <w:rPr>
                <w:rFonts w:ascii="Times New Roman" w:hAnsi="Times New Roman" w:eastAsia="仿宋_GB2312" w:cs="Times New Roman"/>
                <w:b/>
                <w:sz w:val="20"/>
              </w:rPr>
            </w:pPr>
            <w:r>
              <w:rPr>
                <w:rFonts w:hint="eastAsia" w:ascii="Times New Roman" w:hAnsi="Times New Roman" w:eastAsia="仿宋_GB2312" w:cs="Times New Roman"/>
                <w:b/>
              </w:rPr>
              <w:t>财政性资金基本保证</w:t>
            </w:r>
          </w:p>
        </w:tc>
      </w:tr>
    </w:tbl>
    <w:p>
      <w:pPr>
        <w:spacing w:line="584"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2692.71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2692.38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0.33万元</w:t>
      </w:r>
      <w:r>
        <w:rPr>
          <w:rFonts w:ascii="Times New Roman" w:hAnsi="Times New Roman" w:eastAsia="仿宋_GB2312" w:cs="Times New Roman"/>
          <w:sz w:val="32"/>
          <w:szCs w:val="32"/>
        </w:rPr>
        <w:t>。</w:t>
      </w:r>
    </w:p>
    <w:p>
      <w:pPr>
        <w:spacing w:line="584" w:lineRule="exact"/>
        <w:ind w:firstLine="64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2692.71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1978.02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1952.19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25.83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714.69</w:t>
      </w:r>
      <w:r>
        <w:rPr>
          <w:rFonts w:ascii="Times New Roman" w:hAnsi="Times New Roman" w:eastAsia="仿宋_GB2312" w:cs="Times New Roman"/>
          <w:sz w:val="32"/>
          <w:szCs w:val="32"/>
        </w:rPr>
        <w:t>万元。</w:t>
      </w:r>
    </w:p>
    <w:p>
      <w:pPr>
        <w:spacing w:line="584" w:lineRule="exact"/>
        <w:ind w:firstLine="64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2692.71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305.96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277.58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583.54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生均经费和工程款</w:t>
      </w:r>
      <w:r>
        <w:rPr>
          <w:rFonts w:ascii="Times New Roman" w:hAnsi="Times New Roman" w:eastAsia="仿宋_GB2312" w:cs="Times New Roman"/>
          <w:sz w:val="32"/>
          <w:szCs w:val="32"/>
        </w:rPr>
        <w:t>支出。</w:t>
      </w:r>
    </w:p>
    <w:p>
      <w:pPr>
        <w:spacing w:line="584" w:lineRule="exact"/>
        <w:ind w:left="198"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27" w:firstLineChars="196"/>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left="197" w:leftChars="94" w:firstLine="640" w:firstLineChars="200"/>
        <w:jc w:val="left"/>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napToGrid w:val="0"/>
        <w:spacing w:after="156" w:line="580" w:lineRule="exact"/>
        <w:ind w:firstLine="630" w:firstLineChars="196"/>
        <w:jc w:val="left"/>
        <w:textAlignment w:val="baseline"/>
        <w:rPr>
          <w:rFonts w:ascii="楷体_GB2312" w:eastAsia="楷体_GB2312" w:cs="Times New Roman"/>
          <w:b/>
          <w:sz w:val="32"/>
          <w:szCs w:val="32"/>
        </w:rPr>
      </w:pPr>
      <w:bookmarkStart w:id="0" w:name="_Toc_2_2_0000000001"/>
      <w:r>
        <w:rPr>
          <w:rFonts w:hint="eastAsia" w:ascii="楷体_GB2312" w:eastAsia="楷体_GB2312" w:cs="Times New Roman"/>
          <w:b/>
          <w:sz w:val="32"/>
          <w:szCs w:val="32"/>
          <w:lang w:eastAsia="zh-CN"/>
        </w:rPr>
        <w:t>（一）</w:t>
      </w:r>
      <w:r>
        <w:rPr>
          <w:rFonts w:ascii="楷体_GB2312" w:eastAsia="楷体_GB2312" w:cs="Times New Roman"/>
          <w:b/>
          <w:sz w:val="32"/>
          <w:szCs w:val="32"/>
        </w:rPr>
        <w:t>总体绩效目标</w:t>
      </w:r>
      <w:bookmarkEnd w:id="0"/>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推进义务教育均衡发展，建立中小学校舍安全保障机制，改善薄弱学校办学条件，提高素质教育水平，开展丰富多彩的教学活动。促进公共教育资源向农村和经济欠发达地区倾斜。</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 xml:space="preserve">、发展城市义务教育  </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免除城市区中小学生学杂费，提高公用经费保障水平，为贫困中小学生免费提供教科书，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对接收进城务工农民工子女的学校进行补助。</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改善城区中小学办学条件。</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保障中小学公用经费水平逐年提高，解决大班额问题及入学难问题。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保障小学入学率。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、改善学校办学条件</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保障义务教育阶段学校基本教学条件，改善学校生活设施，保障后勤社会化服务，解决学校大班额问题。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开展学生社会实践活动，建立学生实践教育基地，推进学校教育信息化。</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使义务教育学校教学设施和生活设施满足基本教学需要，保障后勤社会化服务资金充足，使学校能够正常运转，超大班额现象消除，教师数量、素质、结构基本适应教学需要。</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、提升特殊教育保障水平</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保证教学设备设施配备齐全，保障学生校园安全，支持贫困学生和爱心家园学生完成学业。</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改善办学条件，配置基础教育资源</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、开展教师教研及学生德育活动</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开展各类课题研究、校本研究，加强教师培训和教学交流，加强德育培训与研究，举办各类教育教学活动。</w:t>
      </w:r>
    </w:p>
    <w:p>
      <w:pPr>
        <w:snapToGrid w:val="0"/>
        <w:spacing w:after="156" w:line="580" w:lineRule="exact"/>
        <w:ind w:firstLine="627" w:firstLineChars="196"/>
        <w:jc w:val="left"/>
        <w:textAlignment w:val="baseline"/>
        <w:rPr>
          <w:rFonts w:ascii="楷体_GB2312" w:eastAsia="楷体_GB2312" w:cs="Times New Roman"/>
          <w:b/>
          <w:sz w:val="32"/>
          <w:szCs w:val="32"/>
        </w:rPr>
      </w:pPr>
      <w:r>
        <w:rPr>
          <w:rFonts w:hint="eastAsia" w:ascii="仿宋_GB2312" w:hAnsi="仿宋_GB2312" w:eastAsia="仿宋_GB2312" w:cs="仿宋_GB2312"/>
          <w:b w:val="0"/>
          <w:bCs/>
          <w:sz w:val="32"/>
          <w:szCs w:val="32"/>
        </w:rPr>
        <w:t>提高教师教学水平，调动教师积极性，培养专家型教师人才，提高学生的综合素质。</w:t>
      </w:r>
    </w:p>
    <w:p>
      <w:pPr>
        <w:snapToGrid w:val="0"/>
        <w:spacing w:after="156" w:line="580" w:lineRule="exact"/>
        <w:ind w:firstLine="630" w:firstLineChars="196"/>
        <w:jc w:val="left"/>
        <w:textAlignment w:val="baseline"/>
        <w:rPr>
          <w:rFonts w:ascii="楷体_GB2312" w:eastAsia="楷体_GB2312" w:cs="Times New Roman"/>
          <w:b/>
          <w:sz w:val="32"/>
          <w:szCs w:val="32"/>
        </w:rPr>
      </w:pPr>
      <w:bookmarkStart w:id="1" w:name="_Toc_2_2_0000000002"/>
      <w:r>
        <w:rPr>
          <w:rFonts w:hint="eastAsia" w:ascii="楷体_GB2312" w:eastAsia="楷体_GB2312" w:cs="Times New Roman"/>
          <w:b/>
          <w:sz w:val="32"/>
          <w:szCs w:val="32"/>
          <w:lang w:eastAsia="zh-CN"/>
        </w:rPr>
        <w:t>（二）</w:t>
      </w:r>
      <w:r>
        <w:rPr>
          <w:rFonts w:ascii="楷体_GB2312" w:eastAsia="楷体_GB2312" w:cs="Times New Roman"/>
          <w:b/>
          <w:sz w:val="32"/>
          <w:szCs w:val="32"/>
        </w:rPr>
        <w:t>分项绩效目标</w:t>
      </w:r>
      <w:bookmarkEnd w:id="1"/>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新建化学实验室项目资金</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绩效目标：增加学校教育资源，丰富学生的学习内容，为学生提供更好的学习环境和学习条件，提高学生对学习化学的兴趣，为学生提供更加优质的教育。</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装修房间数量</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购买安装设施种类</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验收合格率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招投标及时性</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完工及时性</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经费支出成本</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义务教育高质量发展</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可持续影响指标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化学实验室设备持续使用时间</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教育经费</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绩效目标：保障义务教育学校运转，改善学校基本办学条件，促进义务教育均衡发展及学生素质提高。</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保12个月教学正常运转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保障教学正常运转时长</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物资采购合格率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保障日常教学器材及物资充裕</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上级下达学校的各项工作任务完成率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保证完成上级下达学校的各项工作任务</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用于保障学校正常运转项目完成及时率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及时提供的教学用品、保障教学设施、设备正常运行</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经费支出成本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经费各项支出不高于项目资金总额</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义务教育高质量发展</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推动义务教育从数量扩张向质量提高转变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家长的满意程度</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城乡义务教育生均公用经费[省级]</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申请生均公用经费的学生人数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按文件要求申请生均公用经费的学生人数</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生均公用经费使用的合规率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生均公用经费使用符合文件中的相关规定</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用于保障学校正常运转项目完成及时率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使用生均公用经费，用于保障学校正常运转的项目完成情况</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使用生均公用经费，用于保障学校正常运转的项目支出成本等于XXX元/生</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义务教育高质量发展</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该资金用于学校正常运转，改善办学条件，促进义务教育均衡发展及学生素质提高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合同制教师人员经费</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绩效目标：保障合同制教师工资福利待遇，并及时发放。</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合同制教师在校人数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保障2022合同制教师 46人工资福利</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合同制教师完成岗位目标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不同学科合同制教师岗位目标明确，并得以执行</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合同制教师的考核合格率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合格率达到100%</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资金支出率（%）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按月支付合同制教师工资及缴纳社会保障及住房公积金</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保障项目正常运行</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合同制教师薪酬测算标准</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缓解师资供需矛盾</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缓解教师短缺，保障教育教学正常的进行</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学生满意度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所教班级学生满意度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学校满意度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在校教师满意度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家长满意度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所教班级家长满意度</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城乡义务教育生均公用经费[区级]</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绩效目标：保障义务教育教学正常的进行，改善办公条件，提升教育环境。</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绩效指标：</w:t>
      </w:r>
      <w:r>
        <w:rPr>
          <w:rFonts w:hint="eastAsia" w:ascii="仿宋_GB2312" w:hAnsi="仿宋_GB2312" w:eastAsia="仿宋_GB2312" w:cs="仿宋_GB2312"/>
          <w:b w:val="0"/>
          <w:bCs/>
          <w:sz w:val="32"/>
          <w:szCs w:val="32"/>
        </w:rPr>
        <w:tab/>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申请生均公用经费的学生人数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按文件要求申请生均公用经费的学生人数</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生均公用经费使用的合规率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生均公用经费使用符合文件中的相关规定</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时效指标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用于保障学校正常运转项目完成及时率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使用生均公用经费，用于保障学校正常运转的项目完成情况</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成本指标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使用生均公用经费，用于保障学校正常运转的项目支出成本等于935元/生</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社会效益指标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义务教育/学前教育高质量发展</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该资金用于学校正常运转，改善办学条件，促进义务教育/学前教育均衡发展及学生素质提高</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服务对象满意度指标</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t>在校师生的满意程度</w:t>
      </w:r>
      <w:bookmarkStart w:id="2" w:name="_Toc_2_2_0000000003"/>
    </w:p>
    <w:p>
      <w:pPr>
        <w:snapToGrid w:val="0"/>
        <w:spacing w:after="156" w:line="580" w:lineRule="exact"/>
        <w:ind w:firstLine="630" w:firstLineChars="196"/>
        <w:jc w:val="left"/>
        <w:textAlignment w:val="baseline"/>
        <w:rPr>
          <w:rFonts w:hint="eastAsia" w:ascii="楷体" w:hAnsi="楷体" w:eastAsia="楷体" w:cs="楷体"/>
          <w:b/>
          <w:bCs w:val="0"/>
          <w:i w:val="0"/>
          <w:iCs w:val="0"/>
          <w:sz w:val="32"/>
          <w:szCs w:val="32"/>
        </w:rPr>
      </w:pPr>
      <w:r>
        <w:rPr>
          <w:rFonts w:hint="eastAsia" w:ascii="楷体" w:hAnsi="楷体" w:eastAsia="楷体" w:cs="楷体"/>
          <w:b/>
          <w:bCs w:val="0"/>
          <w:i w:val="0"/>
          <w:iCs w:val="0"/>
          <w:sz w:val="32"/>
          <w:szCs w:val="32"/>
          <w:lang w:eastAsia="zh-CN"/>
        </w:rPr>
        <w:t>（三）</w:t>
      </w:r>
      <w:r>
        <w:rPr>
          <w:rFonts w:hint="eastAsia" w:ascii="楷体" w:hAnsi="楷体" w:eastAsia="楷体" w:cs="楷体"/>
          <w:b/>
          <w:bCs w:val="0"/>
          <w:i w:val="0"/>
          <w:iCs w:val="0"/>
          <w:sz w:val="32"/>
          <w:szCs w:val="32"/>
        </w:rPr>
        <w:t>工作保障措施</w:t>
      </w:r>
      <w:bookmarkEnd w:id="2"/>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廊坊市第九中学主要职责是：</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、贯彻执行党和国家的教育方针、政策、法律法规，制定我校的长远规划和年度计划，并组织实施。</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、负责教育基本信息的统计、分析。</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、做好上级</w:t>
      </w:r>
      <w:r>
        <w:rPr>
          <w:rFonts w:hint="eastAsia" w:ascii="仿宋_GB2312" w:hAnsi="仿宋_GB2312" w:eastAsia="仿宋_GB2312" w:cs="仿宋_GB2312"/>
          <w:b w:val="0"/>
          <w:bCs/>
          <w:sz w:val="32"/>
          <w:szCs w:val="32"/>
          <w:lang w:eastAsia="zh-CN"/>
        </w:rPr>
        <w:t>单位</w:t>
      </w:r>
      <w:r>
        <w:rPr>
          <w:rFonts w:hint="eastAsia" w:ascii="仿宋_GB2312" w:hAnsi="仿宋_GB2312" w:eastAsia="仿宋_GB2312" w:cs="仿宋_GB2312"/>
          <w:b w:val="0"/>
          <w:bCs/>
          <w:sz w:val="32"/>
          <w:szCs w:val="32"/>
        </w:rPr>
        <w:t>交办的其他事项。</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、负责学校教师队伍的建设和管理，推进教育系统人事制度改革。</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负责本</w:t>
      </w:r>
      <w:r>
        <w:rPr>
          <w:rFonts w:hint="eastAsia" w:ascii="仿宋_GB2312" w:hAnsi="仿宋_GB2312" w:eastAsia="仿宋_GB2312" w:cs="仿宋_GB2312"/>
          <w:b w:val="0"/>
          <w:bCs/>
          <w:sz w:val="32"/>
          <w:szCs w:val="32"/>
          <w:lang w:eastAsia="zh-CN"/>
        </w:rPr>
        <w:t>单位</w:t>
      </w:r>
      <w:r>
        <w:rPr>
          <w:rFonts w:hint="eastAsia" w:ascii="仿宋_GB2312" w:hAnsi="仿宋_GB2312" w:eastAsia="仿宋_GB2312" w:cs="仿宋_GB2312"/>
          <w:b w:val="0"/>
          <w:bCs/>
          <w:sz w:val="32"/>
          <w:szCs w:val="32"/>
        </w:rPr>
        <w:t>教育经费的统筹管理，教育经费预决算工作，教育经费的管理和使用；负责统筹规划和管理学校基本建设和设施的配置及计划统计工作。</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、管理学校的党建、思想政治、宣传统战和维护稳定以及德育、体育、卫生防疫与艺术教育、国防教育工作；负责学校的安全监督管理。</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、加强绩效运行监控，做好绩效自评。</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、负责组织开展学校教育的督导评估、检查验收、质量监测等工作。</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、负责学校党的政治建设、思想建设、组织建设、作风建设、纪律建设和制度建设。</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、负责学校学生和教师的思想政治工作，学校思想政治队伍建设和德育课程教育教学。</w:t>
      </w:r>
    </w:p>
    <w:p>
      <w:pPr>
        <w:snapToGrid w:val="0"/>
        <w:spacing w:after="156" w:line="580" w:lineRule="exact"/>
        <w:ind w:firstLine="627" w:firstLineChars="196"/>
        <w:jc w:val="left"/>
        <w:textAlignment w:val="baseline"/>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、加强宣传培训调研。</w:t>
      </w:r>
    </w:p>
    <w:p>
      <w:pPr>
        <w:snapToGrid w:val="0"/>
        <w:spacing w:after="156" w:line="580" w:lineRule="exact"/>
        <w:ind w:firstLine="643" w:firstLineChars="200"/>
        <w:jc w:val="left"/>
        <w:textAlignment w:val="baseline"/>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1406"/>
        <w:gridCol w:w="54"/>
        <w:gridCol w:w="2322"/>
        <w:gridCol w:w="2413"/>
        <w:gridCol w:w="904"/>
        <w:gridCol w:w="650"/>
        <w:gridCol w:w="83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一级指标</w:t>
            </w:r>
          </w:p>
        </w:tc>
        <w:tc>
          <w:tcPr>
            <w:tcW w:w="992"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二级</w:t>
            </w:r>
          </w:p>
          <w:p>
            <w:pPr>
              <w:widowControl/>
              <w:snapToGrid w:val="0"/>
              <w:jc w:val="center"/>
              <w:textAlignment w:val="baseline"/>
              <w:rPr>
                <w:rFonts w:ascii="方正书宋_GBK" w:eastAsia="方正书宋_GBK"/>
                <w:b/>
                <w:sz w:val="20"/>
              </w:rPr>
            </w:pPr>
            <w:r>
              <w:rPr>
                <w:rFonts w:ascii="方正书宋_GBK" w:eastAsia="方正书宋_GBK"/>
                <w:b/>
              </w:rPr>
              <w:t>指标</w:t>
            </w:r>
          </w:p>
        </w:tc>
        <w:tc>
          <w:tcPr>
            <w:tcW w:w="1406"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三级</w:t>
            </w:r>
          </w:p>
          <w:p>
            <w:pPr>
              <w:widowControl/>
              <w:snapToGrid w:val="0"/>
              <w:jc w:val="center"/>
              <w:textAlignment w:val="baseline"/>
              <w:rPr>
                <w:rFonts w:ascii="方正书宋_GBK" w:eastAsia="方正书宋_GBK"/>
                <w:b/>
                <w:sz w:val="20"/>
              </w:rPr>
            </w:pPr>
            <w:r>
              <w:rPr>
                <w:rFonts w:ascii="方正书宋_GBK" w:eastAsia="方正书宋_GBK"/>
                <w:b/>
              </w:rPr>
              <w:t>指标</w:t>
            </w:r>
          </w:p>
        </w:tc>
        <w:tc>
          <w:tcPr>
            <w:tcW w:w="2376" w:type="dxa"/>
            <w:gridSpan w:val="2"/>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评（扣）分标准</w:t>
            </w:r>
          </w:p>
        </w:tc>
        <w:tc>
          <w:tcPr>
            <w:tcW w:w="2413"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绩效指标</w:t>
            </w:r>
          </w:p>
          <w:p>
            <w:pPr>
              <w:widowControl/>
              <w:snapToGrid w:val="0"/>
              <w:jc w:val="center"/>
              <w:textAlignment w:val="baseline"/>
              <w:rPr>
                <w:rFonts w:ascii="方正书宋_GBK" w:eastAsia="方正书宋_GBK"/>
                <w:b/>
                <w:sz w:val="20"/>
              </w:rPr>
            </w:pPr>
            <w:r>
              <w:rPr>
                <w:rFonts w:ascii="方正书宋_GBK" w:eastAsia="方正书宋_GBK"/>
                <w:b/>
              </w:rPr>
              <w:t>描述</w:t>
            </w:r>
          </w:p>
        </w:tc>
        <w:tc>
          <w:tcPr>
            <w:tcW w:w="2386" w:type="dxa"/>
            <w:gridSpan w:val="3"/>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指标值</w:t>
            </w:r>
          </w:p>
        </w:tc>
        <w:tc>
          <w:tcPr>
            <w:tcW w:w="2975" w:type="dxa"/>
            <w:vMerge w:val="restart"/>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指标值</w:t>
            </w:r>
          </w:p>
          <w:p>
            <w:pPr>
              <w:widowControl/>
              <w:snapToGrid w:val="0"/>
              <w:jc w:val="center"/>
              <w:textAlignment w:val="baseline"/>
              <w:rPr>
                <w:rFonts w:ascii="方正书宋_GBK" w:eastAsia="方正书宋_GBK"/>
                <w:b/>
                <w:sz w:val="20"/>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pPr>
              <w:textAlignment w:val="baseline"/>
              <w:rPr>
                <w:b/>
                <w:i/>
                <w:caps/>
              </w:rPr>
            </w:pPr>
          </w:p>
        </w:tc>
        <w:tc>
          <w:tcPr>
            <w:tcW w:w="992" w:type="dxa"/>
            <w:vMerge w:val="continue"/>
            <w:tcBorders>
              <w:tl2br w:val="nil"/>
              <w:tr2bl w:val="nil"/>
            </w:tcBorders>
            <w:vAlign w:val="center"/>
          </w:tcPr>
          <w:p>
            <w:pPr>
              <w:textAlignment w:val="baseline"/>
              <w:rPr>
                <w:b/>
                <w:i/>
                <w:caps/>
              </w:rPr>
            </w:pPr>
          </w:p>
        </w:tc>
        <w:tc>
          <w:tcPr>
            <w:tcW w:w="1406" w:type="dxa"/>
            <w:vMerge w:val="continue"/>
            <w:tcBorders>
              <w:tl2br w:val="nil"/>
              <w:tr2bl w:val="nil"/>
            </w:tcBorders>
            <w:vAlign w:val="center"/>
          </w:tcPr>
          <w:p>
            <w:pPr>
              <w:textAlignment w:val="baseline"/>
              <w:rPr>
                <w:b/>
                <w:i/>
                <w:caps/>
              </w:rPr>
            </w:pPr>
          </w:p>
        </w:tc>
        <w:tc>
          <w:tcPr>
            <w:tcW w:w="2376" w:type="dxa"/>
            <w:gridSpan w:val="2"/>
            <w:vMerge w:val="continue"/>
            <w:tcBorders>
              <w:tl2br w:val="nil"/>
              <w:tr2bl w:val="nil"/>
            </w:tcBorders>
            <w:vAlign w:val="center"/>
          </w:tcPr>
          <w:p>
            <w:pPr>
              <w:textAlignment w:val="baseline"/>
              <w:rPr>
                <w:b/>
                <w:i/>
                <w:caps/>
              </w:rPr>
            </w:pPr>
          </w:p>
        </w:tc>
        <w:tc>
          <w:tcPr>
            <w:tcW w:w="2413" w:type="dxa"/>
            <w:vMerge w:val="continue"/>
            <w:tcBorders>
              <w:tl2br w:val="nil"/>
              <w:tr2bl w:val="nil"/>
            </w:tcBorders>
            <w:vAlign w:val="center"/>
          </w:tcPr>
          <w:p>
            <w:pPr>
              <w:textAlignment w:val="baseline"/>
              <w:rPr>
                <w:b/>
                <w:i/>
                <w:caps/>
              </w:rPr>
            </w:pPr>
          </w:p>
        </w:tc>
        <w:tc>
          <w:tcPr>
            <w:tcW w:w="904" w:type="dxa"/>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符号</w:t>
            </w:r>
          </w:p>
        </w:tc>
        <w:tc>
          <w:tcPr>
            <w:tcW w:w="650" w:type="dxa"/>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值</w:t>
            </w:r>
          </w:p>
        </w:tc>
        <w:tc>
          <w:tcPr>
            <w:tcW w:w="832" w:type="dxa"/>
            <w:tcBorders>
              <w:tl2br w:val="nil"/>
              <w:tr2bl w:val="nil"/>
            </w:tcBorders>
            <w:vAlign w:val="center"/>
          </w:tcPr>
          <w:p>
            <w:pPr>
              <w:widowControl/>
              <w:snapToGrid w:val="0"/>
              <w:jc w:val="center"/>
              <w:textAlignment w:val="baseline"/>
              <w:rPr>
                <w:rFonts w:ascii="方正书宋_GBK" w:eastAsia="方正书宋_GBK"/>
                <w:b/>
                <w:sz w:val="20"/>
              </w:rPr>
            </w:pPr>
            <w:r>
              <w:rPr>
                <w:rFonts w:ascii="方正书宋_GBK" w:eastAsia="方正书宋_GBK"/>
                <w:b/>
              </w:rPr>
              <w:t>单位</w:t>
            </w:r>
          </w:p>
        </w:tc>
        <w:tc>
          <w:tcPr>
            <w:tcW w:w="2975" w:type="dxa"/>
            <w:vMerge w:val="continue"/>
            <w:tcBorders>
              <w:tl2br w:val="nil"/>
              <w:tr2bl w:val="nil"/>
            </w:tcBorders>
            <w:vAlign w:val="center"/>
          </w:tcPr>
          <w:p>
            <w:pPr>
              <w:textAlignment w:val="baseline"/>
              <w:rPr>
                <w:b/>
                <w:i/>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snapToGrid w:val="0"/>
              <w:jc w:val="center"/>
              <w:textAlignment w:val="baseline"/>
              <w:rPr>
                <w:rFonts w:ascii="方正书宋_GBK" w:eastAsia="方正书宋_GBK"/>
                <w:sz w:val="20"/>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数量</w:t>
            </w:r>
          </w:p>
        </w:tc>
        <w:tc>
          <w:tcPr>
            <w:tcW w:w="1460"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物资采购合格率</w:t>
            </w:r>
          </w:p>
        </w:tc>
        <w:tc>
          <w:tcPr>
            <w:tcW w:w="2322"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按进度及时完成</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按文件要求使用经费</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1</w:t>
            </w: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质量</w:t>
            </w:r>
          </w:p>
        </w:tc>
        <w:tc>
          <w:tcPr>
            <w:tcW w:w="1460"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保证教学工作正常运转</w:t>
            </w:r>
          </w:p>
        </w:tc>
        <w:tc>
          <w:tcPr>
            <w:tcW w:w="2322"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经费使用符合文件中的相关规定</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时效</w:t>
            </w:r>
          </w:p>
        </w:tc>
        <w:tc>
          <w:tcPr>
            <w:tcW w:w="1406"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是否按时保质保量的完成</w:t>
            </w:r>
          </w:p>
        </w:tc>
        <w:tc>
          <w:tcPr>
            <w:tcW w:w="2376"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按进度及时完成</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经费用于保障学校正常运转的项目完成情况</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按进度及时完成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成本</w:t>
            </w:r>
          </w:p>
        </w:tc>
        <w:tc>
          <w:tcPr>
            <w:tcW w:w="1406"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是否在项目预算的控制范围内</w:t>
            </w:r>
          </w:p>
        </w:tc>
        <w:tc>
          <w:tcPr>
            <w:tcW w:w="2376"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经费用于保障学校正常运转的项目</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关于印发教育领域省市、县财政事权和支出责任划分改革实施方案的通知（冀财教[2019]66号）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snapToGrid w:val="0"/>
              <w:jc w:val="center"/>
              <w:textAlignment w:val="baseline"/>
              <w:rPr>
                <w:rFonts w:ascii="方正书宋_GBK" w:eastAsia="方正书宋_GBK"/>
                <w:sz w:val="20"/>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snapToGrid w:val="0"/>
              <w:jc w:val="center"/>
              <w:textAlignment w:val="baseline"/>
              <w:rPr>
                <w:rFonts w:ascii="方正书宋_GBK" w:eastAsia="方正书宋_GBK"/>
                <w:sz w:val="20"/>
              </w:rPr>
            </w:pPr>
            <w:r>
              <w:rPr>
                <w:rFonts w:ascii="方正书宋_GBK" w:eastAsia="方正书宋_GBK"/>
              </w:rPr>
              <w:t>社会</w:t>
            </w:r>
          </w:p>
          <w:p>
            <w:pPr>
              <w:widowControl/>
              <w:snapToGrid w:val="0"/>
              <w:jc w:val="center"/>
              <w:textAlignment w:val="baseline"/>
              <w:rPr>
                <w:rFonts w:ascii="方正书宋_GBK" w:eastAsia="方正书宋_GBK"/>
                <w:sz w:val="20"/>
              </w:rPr>
            </w:pPr>
            <w:r>
              <w:rPr>
                <w:rFonts w:ascii="方正书宋_GBK" w:eastAsia="方正书宋_GBK"/>
              </w:rPr>
              <w:t>效益</w:t>
            </w:r>
          </w:p>
        </w:tc>
        <w:tc>
          <w:tcPr>
            <w:tcW w:w="1406"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促进在校生德智体美劳全面发展</w:t>
            </w:r>
          </w:p>
        </w:tc>
        <w:tc>
          <w:tcPr>
            <w:tcW w:w="2376" w:type="dxa"/>
            <w:gridSpan w:val="2"/>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冀财教【2019】66号文件</w:t>
            </w:r>
          </w:p>
        </w:tc>
        <w:tc>
          <w:tcPr>
            <w:tcW w:w="2413"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资金用于学校正常运转，改善办学条件，促进义务教育/学前教育均衡发展及学生素质提高</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冀财教【2019】66号文件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snapToGrid w:val="0"/>
              <w:jc w:val="center"/>
              <w:textAlignment w:val="baseline"/>
              <w:rPr>
                <w:rFonts w:hint="eastAsia" w:ascii="方正书宋_GBK" w:eastAsia="方正书宋_GBK"/>
                <w:lang w:eastAsia="zh-CN"/>
              </w:rPr>
            </w:pPr>
            <w:r>
              <w:rPr>
                <w:rFonts w:hint="eastAsia" w:ascii="方正书宋_GBK" w:eastAsia="方正书宋_GBK"/>
                <w:lang w:eastAsia="zh-CN"/>
              </w:rPr>
              <w:t>可持续影响</w:t>
            </w:r>
          </w:p>
        </w:tc>
        <w:tc>
          <w:tcPr>
            <w:tcW w:w="1406"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2376" w:type="dxa"/>
            <w:gridSpan w:val="2"/>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经费支出得满分，否则不得分</w:t>
            </w:r>
          </w:p>
        </w:tc>
        <w:tc>
          <w:tcPr>
            <w:tcW w:w="2413"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资金用于学校正常运转，改善办学条件，促进义务教育/学前教育均衡发展及学生素质提高</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完成岗位目标职责</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rPr>
              <w:t>冀财教【2019】66号文件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textAlignment w:val="baseline"/>
              <w:rPr>
                <w:b/>
                <w:i/>
                <w:caps/>
              </w:rPr>
            </w:pPr>
          </w:p>
        </w:tc>
        <w:tc>
          <w:tcPr>
            <w:tcW w:w="992" w:type="dxa"/>
            <w:tcBorders>
              <w:tl2br w:val="nil"/>
              <w:tr2bl w:val="nil"/>
            </w:tcBorders>
            <w:vAlign w:val="center"/>
          </w:tcPr>
          <w:p>
            <w:pPr>
              <w:snapToGrid w:val="0"/>
              <w:jc w:val="center"/>
              <w:textAlignment w:val="baseline"/>
              <w:rPr>
                <w:rFonts w:ascii="方正书宋_GBK" w:eastAsia="方正书宋_GBK"/>
                <w:sz w:val="20"/>
              </w:rPr>
            </w:pPr>
            <w:r>
              <w:rPr>
                <w:rFonts w:hint="eastAsia" w:ascii="方正书宋_GBK" w:eastAsia="方正书宋_GBK"/>
              </w:rPr>
              <w:t>满意度</w:t>
            </w:r>
          </w:p>
        </w:tc>
        <w:tc>
          <w:tcPr>
            <w:tcW w:w="1406"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教师、学生对学校的满意度</w:t>
            </w:r>
          </w:p>
        </w:tc>
        <w:tc>
          <w:tcPr>
            <w:tcW w:w="2376" w:type="dxa"/>
            <w:gridSpan w:val="2"/>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10分。调查问卷满意度≥90%得满分，每减少1%扣1分，扣完为止。</w:t>
            </w:r>
          </w:p>
        </w:tc>
        <w:tc>
          <w:tcPr>
            <w:tcW w:w="2413" w:type="dxa"/>
            <w:tcBorders>
              <w:tl2br w:val="nil"/>
              <w:tr2bl w:val="nil"/>
            </w:tcBorders>
            <w:noWrap/>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904"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vAlign w:val="center"/>
          </w:tcPr>
          <w:p>
            <w:pPr>
              <w:jc w:val="center"/>
              <w:textAlignment w:val="baseline"/>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9</w:t>
            </w:r>
            <w:r>
              <w:rPr>
                <w:rFonts w:hint="eastAsia" w:ascii="仿宋_GB2312" w:hAnsi="仿宋_GB2312" w:eastAsia="仿宋_GB2312" w:cs="仿宋_GB2312"/>
                <w:color w:val="000000"/>
                <w:sz w:val="22"/>
                <w:lang w:val="en-US" w:eastAsia="zh-CN"/>
              </w:rPr>
              <w:t>8</w:t>
            </w:r>
          </w:p>
        </w:tc>
        <w:tc>
          <w:tcPr>
            <w:tcW w:w="832" w:type="dxa"/>
            <w:tcBorders>
              <w:tl2br w:val="nil"/>
              <w:tr2bl w:val="nil"/>
            </w:tcBorders>
            <w:vAlign w:val="center"/>
          </w:tcPr>
          <w:p>
            <w:pPr>
              <w:jc w:val="cente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2975" w:type="dxa"/>
            <w:tcBorders>
              <w:tl2br w:val="nil"/>
              <w:tr2bl w:val="nil"/>
            </w:tcBorders>
            <w:vAlign w:val="center"/>
          </w:tcPr>
          <w:p>
            <w:pPr>
              <w:textAlignment w:val="baseline"/>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napToGrid w:val="0"/>
        <w:spacing w:after="156" w:line="580" w:lineRule="exact"/>
        <w:ind w:firstLine="630" w:firstLineChars="196"/>
        <w:jc w:val="left"/>
        <w:textAlignment w:val="baseline"/>
        <w:rPr>
          <w:rFonts w:ascii="楷体_GB2312" w:eastAsia="楷体_GB2312" w:cs="Times New Roman"/>
          <w:b/>
          <w:sz w:val="32"/>
          <w:szCs w:val="32"/>
        </w:rPr>
      </w:pPr>
    </w:p>
    <w:p>
      <w:pPr>
        <w:spacing w:line="584"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3" w:name="_Toc_4_4_0000000004"/>
      <w:r>
        <w:rPr>
          <w:rFonts w:hint="eastAsia" w:ascii="仿宋_GB2312" w:hAnsi="仿宋_GB2312" w:eastAsia="仿宋_GB2312" w:cs="仿宋_GB2312"/>
          <w:color w:val="000000"/>
          <w:sz w:val="28"/>
        </w:rPr>
        <w:t>1.城乡义务教育生均公用经费[区级]绩效目标表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1.目标内容：保障义务教育教学正常的进行，改善办公条件，提升教育环境。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337"/>
        <w:gridCol w:w="1488"/>
        <w:gridCol w:w="2427"/>
        <w:gridCol w:w="1110"/>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8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7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1215人</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印发教育领域省市、县财政事权和支出责任划分改革实施方案得通知（冀财政【2019】66号）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印发教育领域省市、县财政事权和支出责任划分改革实施方案得通知（冀财政【2019】66号）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Merge w:val="continue"/>
            <w:vAlign w:val="center"/>
          </w:tcPr>
          <w:p>
            <w:pPr>
              <w:rPr>
                <w:rFonts w:hint="eastAsia" w:ascii="仿宋_GB2312" w:hAnsi="仿宋_GB2312" w:eastAsia="仿宋_GB2312" w:cs="仿宋_GB2312"/>
              </w:rPr>
            </w:pP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w:t>
            </w:r>
          </w:p>
          <w:p>
            <w:pPr>
              <w:pStyle w:val="14"/>
              <w:rPr>
                <w:rFonts w:hint="eastAsia" w:ascii="仿宋_GB2312" w:hAnsi="仿宋_GB2312" w:eastAsia="仿宋_GB2312" w:cs="仿宋_GB2312"/>
              </w:rPr>
            </w:pP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印发教育领域省市、县财政事权和支出责任划分改革实施方案得通知（冀财政【2019】66号）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冀财政【2019】66号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5"/>
      <w:r>
        <w:rPr>
          <w:rFonts w:hint="eastAsia" w:ascii="仿宋_GB2312" w:hAnsi="仿宋_GB2312" w:eastAsia="仿宋_GB2312" w:cs="仿宋_GB2312"/>
          <w:color w:val="000000"/>
          <w:sz w:val="28"/>
        </w:rPr>
        <w:t>2.城乡义务教育生均公用经费[省级]绩效目标表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1.廊坊第六中学对2022年在校学生3978人，按照义务教育生均公用经费标准申请财政预算资金，通过合理、合规使用资金达到保证学校正常运转，改善办学条件，促进义务教育发展。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06"/>
        <w:gridCol w:w="1470"/>
        <w:gridCol w:w="2385"/>
        <w:gridCol w:w="960"/>
        <w:gridCol w:w="2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0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4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3978人</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6"/>
      <w:r>
        <w:rPr>
          <w:rFonts w:hint="eastAsia" w:ascii="仿宋_GB2312" w:hAnsi="仿宋_GB2312" w:eastAsia="仿宋_GB2312" w:cs="仿宋_GB2312"/>
          <w:color w:val="000000"/>
          <w:sz w:val="28"/>
        </w:rPr>
        <w:t>3.合同制教师人员经费绩效目标表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61"/>
        <w:gridCol w:w="1620"/>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6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46人工资福利</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46人</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6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07"/>
      <w:r>
        <w:rPr>
          <w:rFonts w:hint="eastAsia" w:ascii="仿宋_GB2312" w:hAnsi="仿宋_GB2312" w:eastAsia="仿宋_GB2312" w:cs="仿宋_GB2312"/>
          <w:color w:val="000000"/>
          <w:sz w:val="28"/>
        </w:rPr>
        <w:t>4.教育经费绩效目标表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1"/>
        <w:gridCol w:w="1324"/>
        <w:gridCol w:w="2724"/>
        <w:gridCol w:w="2476"/>
        <w:gridCol w:w="1048"/>
        <w:gridCol w:w="1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7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4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≤57.32万元</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1" w:type="dxa"/>
            <w:vMerge w:val="continue"/>
            <w:vAlign w:val="center"/>
          </w:tcPr>
          <w:p>
            <w:pPr>
              <w:rPr>
                <w:rFonts w:hint="eastAsia" w:ascii="仿宋_GB2312" w:hAnsi="仿宋_GB2312" w:eastAsia="仿宋_GB2312" w:cs="仿宋_GB2312"/>
              </w:rPr>
            </w:pPr>
          </w:p>
        </w:tc>
        <w:tc>
          <w:tcPr>
            <w:tcW w:w="13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4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0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textAlignment w:val="baseline"/>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textAlignment w:val="baseline"/>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p>
      <w:pPr>
        <w:textAlignment w:val="baseline"/>
        <w:rPr>
          <w:rFonts w:ascii="方正小标宋_GBK" w:eastAsia="方正小标宋_GBK" w:cs="Times New Roman"/>
          <w:sz w:val="32"/>
        </w:rPr>
      </w:pPr>
      <w:r>
        <w:rPr>
          <w:rFonts w:hint="eastAsia"/>
        </w:rPr>
        <w:t>[</w:t>
      </w:r>
      <w:r>
        <w:t>484001]</w:t>
      </w:r>
      <w:r>
        <w:rPr>
          <w:rFonts w:hint="eastAsia"/>
        </w:rPr>
        <w:t>廊坊市第九中学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textAlignment w:val="baseline"/>
            </w:pPr>
            <w:r>
              <w:t>政府采购项目来源</w:t>
            </w:r>
          </w:p>
        </w:tc>
        <w:tc>
          <w:tcPr>
            <w:tcW w:w="368" w:type="pct"/>
            <w:vMerge w:val="restart"/>
            <w:vAlign w:val="center"/>
          </w:tcPr>
          <w:p>
            <w:pPr>
              <w:pStyle w:val="12"/>
              <w:textAlignment w:val="baseline"/>
            </w:pPr>
            <w:r>
              <w:t>采购物品名称</w:t>
            </w:r>
          </w:p>
        </w:tc>
        <w:tc>
          <w:tcPr>
            <w:tcW w:w="368" w:type="pct"/>
            <w:vMerge w:val="restart"/>
            <w:vAlign w:val="center"/>
          </w:tcPr>
          <w:p>
            <w:pPr>
              <w:pStyle w:val="12"/>
              <w:textAlignment w:val="baseline"/>
            </w:pPr>
            <w:r>
              <w:t>政府采购目录序号</w:t>
            </w:r>
          </w:p>
        </w:tc>
        <w:tc>
          <w:tcPr>
            <w:tcW w:w="230" w:type="pct"/>
            <w:vMerge w:val="restart"/>
            <w:vAlign w:val="center"/>
          </w:tcPr>
          <w:p>
            <w:pPr>
              <w:pStyle w:val="12"/>
              <w:textAlignment w:val="baseline"/>
            </w:pPr>
            <w:r>
              <w:t>计量  单位</w:t>
            </w:r>
          </w:p>
        </w:tc>
        <w:tc>
          <w:tcPr>
            <w:tcW w:w="276" w:type="pct"/>
            <w:vMerge w:val="restart"/>
            <w:vAlign w:val="center"/>
          </w:tcPr>
          <w:p>
            <w:pPr>
              <w:pStyle w:val="12"/>
              <w:textAlignment w:val="baseline"/>
            </w:pPr>
            <w:r>
              <w:t>数量</w:t>
            </w:r>
          </w:p>
        </w:tc>
        <w:tc>
          <w:tcPr>
            <w:tcW w:w="276" w:type="pct"/>
            <w:vMerge w:val="restart"/>
            <w:vAlign w:val="center"/>
          </w:tcPr>
          <w:p>
            <w:pPr>
              <w:pStyle w:val="12"/>
              <w:textAlignment w:val="baseline"/>
            </w:pPr>
            <w:r>
              <w:t>单价</w:t>
            </w:r>
          </w:p>
        </w:tc>
        <w:tc>
          <w:tcPr>
            <w:tcW w:w="2503" w:type="pct"/>
            <w:gridSpan w:val="8"/>
            <w:vAlign w:val="center"/>
          </w:tcPr>
          <w:p>
            <w:pPr>
              <w:pStyle w:val="12"/>
              <w:textAlignment w:val="baseline"/>
            </w:pPr>
            <w:r>
              <w:t>政府采购金额（当年</w:t>
            </w:r>
            <w:r>
              <w:rPr>
                <w:rFonts w:hint="eastAsia"/>
                <w:lang w:eastAsia="zh-CN"/>
              </w:rPr>
              <w:t>单位</w:t>
            </w:r>
            <w:r>
              <w:t>预算安排资金）</w:t>
            </w:r>
          </w:p>
        </w:tc>
        <w:tc>
          <w:tcPr>
            <w:tcW w:w="309" w:type="pct"/>
            <w:vMerge w:val="restart"/>
            <w:vAlign w:val="center"/>
          </w:tcPr>
          <w:p>
            <w:pPr>
              <w:pStyle w:val="12"/>
              <w:textAlignment w:val="baseline"/>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textAlignment w:val="baseline"/>
            </w:pPr>
            <w:r>
              <w:t>项目名称</w:t>
            </w:r>
          </w:p>
        </w:tc>
        <w:tc>
          <w:tcPr>
            <w:tcW w:w="313" w:type="pct"/>
            <w:vAlign w:val="center"/>
          </w:tcPr>
          <w:p>
            <w:pPr>
              <w:pStyle w:val="12"/>
              <w:textAlignment w:val="baseline"/>
            </w:pPr>
            <w:r>
              <w:t>预算    资金</w:t>
            </w:r>
          </w:p>
        </w:tc>
        <w:tc>
          <w:tcPr>
            <w:tcW w:w="368" w:type="pct"/>
            <w:vMerge w:val="continue"/>
          </w:tcPr>
          <w:p>
            <w:pPr>
              <w:textAlignment w:val="baseline"/>
              <w:rPr>
                <w:sz w:val="20"/>
              </w:rPr>
            </w:pPr>
          </w:p>
        </w:tc>
        <w:tc>
          <w:tcPr>
            <w:tcW w:w="368" w:type="pct"/>
            <w:vMerge w:val="continue"/>
          </w:tcPr>
          <w:p>
            <w:pPr>
              <w:textAlignment w:val="baseline"/>
              <w:rPr>
                <w:sz w:val="20"/>
              </w:rPr>
            </w:pPr>
          </w:p>
        </w:tc>
        <w:tc>
          <w:tcPr>
            <w:tcW w:w="230" w:type="pct"/>
            <w:vMerge w:val="continue"/>
          </w:tcPr>
          <w:p>
            <w:pPr>
              <w:textAlignment w:val="baseline"/>
              <w:rPr>
                <w:sz w:val="20"/>
              </w:rPr>
            </w:pPr>
          </w:p>
        </w:tc>
        <w:tc>
          <w:tcPr>
            <w:tcW w:w="276" w:type="pct"/>
            <w:vMerge w:val="continue"/>
          </w:tcPr>
          <w:p>
            <w:pPr>
              <w:textAlignment w:val="baseline"/>
              <w:rPr>
                <w:sz w:val="20"/>
              </w:rPr>
            </w:pPr>
          </w:p>
        </w:tc>
        <w:tc>
          <w:tcPr>
            <w:tcW w:w="276" w:type="pct"/>
            <w:vMerge w:val="continue"/>
          </w:tcPr>
          <w:p>
            <w:pPr>
              <w:textAlignment w:val="baseline"/>
              <w:rPr>
                <w:sz w:val="20"/>
              </w:rPr>
            </w:pPr>
          </w:p>
        </w:tc>
        <w:tc>
          <w:tcPr>
            <w:tcW w:w="313" w:type="pct"/>
            <w:vAlign w:val="center"/>
          </w:tcPr>
          <w:p>
            <w:pPr>
              <w:pStyle w:val="12"/>
              <w:textAlignment w:val="baseline"/>
            </w:pPr>
            <w:r>
              <w:t>合计</w:t>
            </w:r>
          </w:p>
        </w:tc>
        <w:tc>
          <w:tcPr>
            <w:tcW w:w="313" w:type="pct"/>
            <w:vAlign w:val="center"/>
          </w:tcPr>
          <w:p>
            <w:pPr>
              <w:pStyle w:val="12"/>
              <w:textAlignment w:val="baseline"/>
            </w:pPr>
            <w:r>
              <w:t>一般公共预算拨款</w:t>
            </w:r>
          </w:p>
        </w:tc>
        <w:tc>
          <w:tcPr>
            <w:tcW w:w="313" w:type="pct"/>
            <w:vAlign w:val="center"/>
          </w:tcPr>
          <w:p>
            <w:pPr>
              <w:pStyle w:val="12"/>
              <w:textAlignment w:val="baseline"/>
            </w:pPr>
            <w:r>
              <w:t>基金预算拨款</w:t>
            </w:r>
          </w:p>
        </w:tc>
        <w:tc>
          <w:tcPr>
            <w:tcW w:w="313" w:type="pct"/>
            <w:vAlign w:val="center"/>
          </w:tcPr>
          <w:p>
            <w:pPr>
              <w:pStyle w:val="12"/>
              <w:textAlignment w:val="baseline"/>
            </w:pPr>
            <w:r>
              <w:t>国有资本经营预算拨款</w:t>
            </w:r>
          </w:p>
        </w:tc>
        <w:tc>
          <w:tcPr>
            <w:tcW w:w="313" w:type="pct"/>
            <w:vAlign w:val="center"/>
          </w:tcPr>
          <w:p>
            <w:pPr>
              <w:pStyle w:val="12"/>
              <w:textAlignment w:val="baseline"/>
            </w:pPr>
            <w:r>
              <w:t>财政专户核拨</w:t>
            </w:r>
          </w:p>
        </w:tc>
        <w:tc>
          <w:tcPr>
            <w:tcW w:w="313" w:type="pct"/>
            <w:vAlign w:val="center"/>
          </w:tcPr>
          <w:p>
            <w:pPr>
              <w:pStyle w:val="12"/>
              <w:textAlignment w:val="baseline"/>
            </w:pPr>
            <w:r>
              <w:t>单位    资金</w:t>
            </w:r>
          </w:p>
        </w:tc>
        <w:tc>
          <w:tcPr>
            <w:tcW w:w="313" w:type="pct"/>
            <w:vAlign w:val="center"/>
          </w:tcPr>
          <w:p>
            <w:pPr>
              <w:pStyle w:val="12"/>
              <w:textAlignment w:val="baseline"/>
            </w:pPr>
            <w:r>
              <w:t>财政拨    款结转</w:t>
            </w:r>
          </w:p>
        </w:tc>
        <w:tc>
          <w:tcPr>
            <w:tcW w:w="313" w:type="pct"/>
            <w:vAlign w:val="center"/>
          </w:tcPr>
          <w:p>
            <w:pPr>
              <w:pStyle w:val="12"/>
              <w:textAlignment w:val="baseline"/>
            </w:pPr>
            <w:r>
              <w:t>非财政    拨款结    转结余</w:t>
            </w:r>
          </w:p>
        </w:tc>
        <w:tc>
          <w:tcPr>
            <w:tcW w:w="309" w:type="pct"/>
            <w:vMerge w:val="continue"/>
          </w:tcPr>
          <w:p>
            <w:pPr>
              <w:textAlignment w:val="baseline"/>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textAlignment w:val="baseline"/>
            </w:pPr>
            <w:r>
              <w:t>合  计</w:t>
            </w:r>
          </w:p>
        </w:tc>
        <w:tc>
          <w:tcPr>
            <w:tcW w:w="313" w:type="pct"/>
            <w:vAlign w:val="center"/>
          </w:tcPr>
          <w:p>
            <w:pPr>
              <w:pStyle w:val="17"/>
              <w:textAlignment w:val="baseline"/>
            </w:pPr>
          </w:p>
        </w:tc>
        <w:tc>
          <w:tcPr>
            <w:tcW w:w="368" w:type="pct"/>
            <w:vAlign w:val="center"/>
          </w:tcPr>
          <w:p>
            <w:pPr>
              <w:pStyle w:val="18"/>
              <w:textAlignment w:val="baseline"/>
            </w:pPr>
          </w:p>
        </w:tc>
        <w:tc>
          <w:tcPr>
            <w:tcW w:w="368" w:type="pct"/>
            <w:vAlign w:val="center"/>
          </w:tcPr>
          <w:p>
            <w:pPr>
              <w:pStyle w:val="18"/>
              <w:textAlignment w:val="baseline"/>
            </w:pPr>
          </w:p>
        </w:tc>
        <w:tc>
          <w:tcPr>
            <w:tcW w:w="230" w:type="pct"/>
            <w:vAlign w:val="center"/>
          </w:tcPr>
          <w:p>
            <w:pPr>
              <w:pStyle w:val="16"/>
              <w:textAlignment w:val="baseline"/>
            </w:pPr>
          </w:p>
        </w:tc>
        <w:tc>
          <w:tcPr>
            <w:tcW w:w="276" w:type="pct"/>
            <w:vAlign w:val="center"/>
          </w:tcPr>
          <w:p>
            <w:pPr>
              <w:pStyle w:val="17"/>
              <w:textAlignment w:val="baseline"/>
            </w:pPr>
          </w:p>
        </w:tc>
        <w:tc>
          <w:tcPr>
            <w:tcW w:w="276"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09" w:type="pct"/>
            <w:vAlign w:val="center"/>
          </w:tcPr>
          <w:p>
            <w:pPr>
              <w:pStyle w:val="17"/>
              <w:textAlignment w:val="baseline"/>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textAlignment w:val="baseline"/>
            </w:pPr>
          </w:p>
        </w:tc>
        <w:tc>
          <w:tcPr>
            <w:tcW w:w="313" w:type="pct"/>
            <w:vAlign w:val="center"/>
          </w:tcPr>
          <w:p>
            <w:pPr>
              <w:pStyle w:val="17"/>
              <w:textAlignment w:val="baseline"/>
            </w:pPr>
          </w:p>
        </w:tc>
        <w:tc>
          <w:tcPr>
            <w:tcW w:w="368" w:type="pct"/>
            <w:vAlign w:val="center"/>
          </w:tcPr>
          <w:p>
            <w:pPr>
              <w:pStyle w:val="18"/>
              <w:textAlignment w:val="baseline"/>
            </w:pPr>
          </w:p>
        </w:tc>
        <w:tc>
          <w:tcPr>
            <w:tcW w:w="368" w:type="pct"/>
            <w:vAlign w:val="center"/>
          </w:tcPr>
          <w:p>
            <w:pPr>
              <w:pStyle w:val="18"/>
              <w:textAlignment w:val="baseline"/>
            </w:pPr>
          </w:p>
        </w:tc>
        <w:tc>
          <w:tcPr>
            <w:tcW w:w="230" w:type="pct"/>
            <w:vAlign w:val="center"/>
          </w:tcPr>
          <w:p>
            <w:pPr>
              <w:pStyle w:val="16"/>
              <w:textAlignment w:val="baseline"/>
            </w:pPr>
          </w:p>
        </w:tc>
        <w:tc>
          <w:tcPr>
            <w:tcW w:w="276" w:type="pct"/>
            <w:vAlign w:val="center"/>
          </w:tcPr>
          <w:p>
            <w:pPr>
              <w:pStyle w:val="17"/>
              <w:textAlignment w:val="baseline"/>
            </w:pPr>
          </w:p>
        </w:tc>
        <w:tc>
          <w:tcPr>
            <w:tcW w:w="276"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13" w:type="pct"/>
            <w:vAlign w:val="center"/>
          </w:tcPr>
          <w:p>
            <w:pPr>
              <w:pStyle w:val="17"/>
              <w:textAlignment w:val="baseline"/>
            </w:pPr>
          </w:p>
        </w:tc>
        <w:tc>
          <w:tcPr>
            <w:tcW w:w="309" w:type="pct"/>
            <w:vAlign w:val="center"/>
          </w:tcPr>
          <w:p>
            <w:pPr>
              <w:pStyle w:val="17"/>
              <w:textAlignment w:val="baseline"/>
            </w:pPr>
          </w:p>
        </w:tc>
      </w:tr>
    </w:tbl>
    <w:p>
      <w:pPr>
        <w:spacing w:line="500" w:lineRule="exact"/>
        <w:ind w:firstLine="420"/>
        <w:textAlignment w:val="baseline"/>
        <w:rPr>
          <w:rFonts w:ascii="方正仿宋_GBK" w:hAnsi="方正仿宋_GBK" w:eastAsia="方正仿宋_GBK" w:cs="方正仿宋_GBK"/>
          <w:color w:val="000000"/>
          <w:sz w:val="2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textAlignment w:val="baseline"/>
        <w:rPr>
          <w:rFonts w:ascii="方正仿宋_GBK" w:hAnsi="方正仿宋_GBK" w:eastAsia="方正仿宋_GBK" w:cs="方正仿宋_GBK"/>
          <w:color w:val="000000"/>
          <w:sz w:val="20"/>
        </w:rPr>
      </w:pPr>
    </w:p>
    <w:p>
      <w:pPr>
        <w:spacing w:line="500" w:lineRule="exact"/>
        <w:ind w:firstLine="42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上年末固定资产金额为1938.64万元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textAlignment w:val="baseline"/>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第九中学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第九中学</w:t>
            </w:r>
          </w:p>
        </w:tc>
        <w:tc>
          <w:tcPr>
            <w:tcW w:w="5103" w:type="dxa"/>
            <w:tcBorders>
              <w:top w:val="nil"/>
              <w:left w:val="nil"/>
              <w:bottom w:val="nil"/>
              <w:right w:val="nil"/>
            </w:tcBorders>
            <w:shd w:val="clear" w:color="auto" w:fill="auto"/>
            <w:noWrap/>
            <w:vAlign w:val="center"/>
          </w:tcPr>
          <w:p>
            <w:pPr>
              <w:widowControl/>
              <w:spacing w:line="584" w:lineRule="exact"/>
              <w:jc w:val="left"/>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1938.64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14085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1195.30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14085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1195.30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textAlignment w:val="baseline"/>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textAlignment w:val="baseline"/>
              <w:rPr>
                <w:rFonts w:ascii="Times New Roman" w:hAnsi="Times New Roman" w:eastAsia="仿宋_GB2312" w:cs="Times New Roman"/>
                <w:sz w:val="22"/>
                <w:highlight w:val="yellow"/>
              </w:rPr>
            </w:pPr>
            <w:r>
              <w:rPr>
                <w:rFonts w:ascii="Times New Roman" w:hAnsi="Times New Roman" w:eastAsia="仿宋_GB2312" w:cs="Times New Roman"/>
                <w:sz w:val="22"/>
              </w:rPr>
              <w:t>743.34</w:t>
            </w:r>
          </w:p>
        </w:tc>
      </w:tr>
    </w:tbl>
    <w:p>
      <w:pPr>
        <w:spacing w:line="584" w:lineRule="exact"/>
        <w:ind w:firstLine="640" w:firstLineChars="200"/>
        <w:jc w:val="left"/>
        <w:textAlignment w:val="baseline"/>
        <w:rPr>
          <w:rFonts w:ascii="Times New Roman" w:hAnsi="Times New Roman" w:eastAsia="黑体" w:cs="Times New Roman"/>
          <w:sz w:val="32"/>
          <w:szCs w:val="32"/>
        </w:rPr>
      </w:pPr>
    </w:p>
    <w:p>
      <w:pPr>
        <w:spacing w:line="584" w:lineRule="exact"/>
        <w:ind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textAlignment w:val="baseline"/>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spacing w:line="584" w:lineRule="exact"/>
        <w:ind w:firstLine="640" w:firstLineChars="200"/>
        <w:jc w:val="left"/>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966E27-594A-473B-9BB9-0B2BE1B08B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968A311A-5D4F-4A35-B3D4-1F655BBC05B7}"/>
  </w:font>
  <w:font w:name="仿宋_GB2312">
    <w:panose1 w:val="02010609030101010101"/>
    <w:charset w:val="86"/>
    <w:family w:val="modern"/>
    <w:pitch w:val="default"/>
    <w:sig w:usb0="00000001" w:usb1="080E0000" w:usb2="00000000" w:usb3="00000000" w:csb0="00040000" w:csb1="00000000"/>
    <w:embedRegular r:id="rId3" w:fontKey="{2D4278D0-A839-4CB5-999F-517ED5664151}"/>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55E1E"/>
    <w:rsid w:val="0025632D"/>
    <w:rsid w:val="00275ECB"/>
    <w:rsid w:val="0029157E"/>
    <w:rsid w:val="002A655B"/>
    <w:rsid w:val="002D686C"/>
    <w:rsid w:val="003059E0"/>
    <w:rsid w:val="00322505"/>
    <w:rsid w:val="003C2073"/>
    <w:rsid w:val="00477827"/>
    <w:rsid w:val="004A54AA"/>
    <w:rsid w:val="00633867"/>
    <w:rsid w:val="006728ED"/>
    <w:rsid w:val="00777E1A"/>
    <w:rsid w:val="00944233"/>
    <w:rsid w:val="00947248"/>
    <w:rsid w:val="00B40732"/>
    <w:rsid w:val="00B80935"/>
    <w:rsid w:val="00B84D39"/>
    <w:rsid w:val="00C31C96"/>
    <w:rsid w:val="00C95EE0"/>
    <w:rsid w:val="00CA6A92"/>
    <w:rsid w:val="00D347CC"/>
    <w:rsid w:val="00D445BE"/>
    <w:rsid w:val="00D95CF2"/>
    <w:rsid w:val="00DC72B4"/>
    <w:rsid w:val="00DE0654"/>
    <w:rsid w:val="00E6111E"/>
    <w:rsid w:val="00F93DD2"/>
    <w:rsid w:val="0CEC1180"/>
    <w:rsid w:val="3C3410C9"/>
    <w:rsid w:val="74C668FD"/>
    <w:rsid w:val="763A1DCF"/>
    <w:rsid w:val="7C24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1002</Words>
  <Characters>5718</Characters>
  <Lines>47</Lines>
  <Paragraphs>13</Paragraphs>
  <TotalTime>3</TotalTime>
  <ScaleCrop>false</ScaleCrop>
  <LinksUpToDate>false</LinksUpToDate>
  <CharactersWithSpaces>6707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2023-08-01T08:06:09Z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AA5FA1A517B1484E99D60DB362F4B666</vt:lpwstr>
  </property>
</Properties>
</file>