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广阳区白家务办事处北寺垡中心小学</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广阳区白家务办事处北寺垡中心小学</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1、贯彻执行党和国家的教育方针、政策、法律法规，制</w:t>
      </w:r>
      <w:r>
        <w:rPr>
          <w:rFonts w:hint="eastAsia" w:ascii="仿宋_GB2312" w:hAnsi="宋体" w:eastAsia="仿宋_GB2312" w:cs="宋体"/>
          <w:color w:val="000000"/>
          <w:kern w:val="0"/>
          <w:sz w:val="32"/>
          <w:szCs w:val="32"/>
          <w:lang w:eastAsia="zh-CN"/>
        </w:rPr>
        <w:t>订</w:t>
      </w:r>
      <w:r>
        <w:rPr>
          <w:rFonts w:hint="eastAsia" w:ascii="仿宋_GB2312" w:hAnsi="宋体" w:eastAsia="仿宋_GB2312" w:cs="宋体"/>
          <w:color w:val="000000"/>
          <w:kern w:val="0"/>
          <w:sz w:val="32"/>
          <w:szCs w:val="32"/>
        </w:rPr>
        <w:t>我校的长远规划和年度计划，并组织实施。</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2、负责教育基本信息的统计、分析。</w:t>
      </w:r>
      <w:bookmarkStart w:id="2" w:name="_GoBack"/>
      <w:bookmarkEnd w:id="2"/>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3、推进义务教育均衡发展和促进教育公平，全面实施素质教育。</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4、负责学校教师队伍的建设和管理，提高教师队伍素质</w:t>
      </w: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5、负责本部门教育经费的统筹管理，教育经费预决算工作，教育经费的管理和使用；统筹规划和管理学校基本建设和设施的配置及计划统计工作。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6、管理学校的党建、思想政治、宣传统战和维护稳定以及德育、体育、卫生防疫与艺术教育、国防教育工作。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7、负责做好学校的学生综合评价工作；负责管理本校教师学历教育及培训工作。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8、负责组织开展学校教育的督导评估、检查验收、质量监测等工作。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9、负责学校党的政治建设、思想建设、组织建设、作风建设、纪律建设和制度建设。</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10、负责学校学生和教师的思想政治工作，学校思想政治队伍建设和学校校本课程教育教学。</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11、负责学校安全稳定工作。</w:t>
      </w:r>
    </w:p>
    <w:p>
      <w:pPr>
        <w:widowControl/>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12、做好上级部门交办的其他事项。</w:t>
      </w:r>
    </w:p>
    <w:p>
      <w:pPr>
        <w:widowControl/>
        <w:jc w:val="left"/>
        <w:rPr>
          <w:rFonts w:hint="eastAsia" w:ascii="仿宋_GB2312" w:hAnsi="宋体" w:eastAsia="仿宋_GB2312" w:cs="宋体"/>
          <w:color w:val="000000"/>
          <w:kern w:val="0"/>
          <w:sz w:val="32"/>
          <w:szCs w:val="32"/>
        </w:rPr>
      </w:pPr>
    </w:p>
    <w:p>
      <w:pPr>
        <w:spacing w:line="584" w:lineRule="exact"/>
        <w:jc w:val="both"/>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廊坊市广阳区白家务办事处北寺垡中心小学</w:t>
            </w:r>
          </w:p>
        </w:tc>
        <w:tc>
          <w:tcPr>
            <w:tcW w:w="1134"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p>
        </w:tc>
        <w:tc>
          <w:tcPr>
            <w:tcW w:w="2902" w:type="dxa"/>
            <w:shd w:val="clear" w:color="auto" w:fill="auto"/>
            <w:vAlign w:val="center"/>
          </w:tcPr>
          <w:tbl>
            <w:tblPr>
              <w:tblStyle w:val="8"/>
              <w:tblW w:w="99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448"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84" w:lineRule="exact"/>
              <w:jc w:val="center"/>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lang w:eastAsia="zh-CN"/>
        </w:rPr>
        <w:t>广阳区白家务办事处北寺垡中心小学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7.36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7.36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numPr>
          <w:ilvl w:val="0"/>
          <w:numId w:val="1"/>
        </w:num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支出说明</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广阳区白家务办事处北寺垡中心小学</w:t>
      </w: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7.36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7.36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本级支出，主要为</w:t>
      </w:r>
      <w:r>
        <w:rPr>
          <w:rFonts w:hint="eastAsia" w:ascii="Times New Roman" w:hAnsi="Times New Roman" w:eastAsia="仿宋_GB2312" w:cs="Times New Roman"/>
          <w:sz w:val="32"/>
          <w:szCs w:val="32"/>
        </w:rPr>
        <w:t>城乡义务教育生均公</w:t>
      </w:r>
      <w:r>
        <w:rPr>
          <w:rFonts w:hint="eastAsia" w:ascii="Times New Roman" w:hAnsi="Times New Roman" w:eastAsia="仿宋_GB2312" w:cs="Times New Roman"/>
          <w:color w:val="000000" w:themeColor="text1"/>
          <w:sz w:val="32"/>
          <w:szCs w:val="32"/>
          <w14:textFill>
            <w14:solidFill>
              <w14:schemeClr w14:val="tx1"/>
            </w14:solidFill>
          </w14:textFill>
        </w:rPr>
        <w:t>用经费</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教育经费</w:t>
      </w:r>
      <w:r>
        <w:rPr>
          <w:rFonts w:ascii="Times New Roman" w:hAnsi="Times New Roman" w:eastAsia="仿宋_GB2312" w:cs="Times New Roman"/>
          <w:color w:val="000000" w:themeColor="text1"/>
          <w:sz w:val="32"/>
          <w:szCs w:val="32"/>
          <w14:textFill>
            <w14:solidFill>
              <w14:schemeClr w14:val="tx1"/>
            </w14:solidFill>
          </w14:textFill>
        </w:rPr>
        <w:t>等</w:t>
      </w:r>
      <w:r>
        <w:rPr>
          <w:rFonts w:hint="eastAsia" w:ascii="Times New Roman" w:hAnsi="Times New Roman" w:eastAsia="仿宋_GB2312" w:cs="Times New Roman"/>
          <w:color w:val="000000" w:themeColor="text1"/>
          <w:sz w:val="32"/>
          <w:szCs w:val="32"/>
          <w14:textFill>
            <w14:solidFill>
              <w14:schemeClr w14:val="tx1"/>
            </w14:solidFill>
          </w14:textFill>
        </w:rPr>
        <w:t>资金</w:t>
      </w:r>
      <w:r>
        <w:rPr>
          <w:rFonts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1"/>
        </w:numPr>
        <w:kinsoku/>
        <w:wordWrap/>
        <w:overflowPunct/>
        <w:topLinePunct w:val="0"/>
        <w:bidi w:val="0"/>
        <w:snapToGrid/>
        <w:spacing w:line="584" w:lineRule="exact"/>
        <w:ind w:left="0" w:leftChars="0"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比上年增减情况</w:t>
      </w:r>
    </w:p>
    <w:p>
      <w:pPr>
        <w:keepNext w:val="0"/>
        <w:keepLines w:val="0"/>
        <w:pageBreakBefore w:val="0"/>
        <w:widowControl w:val="0"/>
        <w:numPr>
          <w:ilvl w:val="0"/>
          <w:numId w:val="0"/>
        </w:numPr>
        <w:kinsoku/>
        <w:wordWrap/>
        <w:overflowPunct/>
        <w:topLinePunct w:val="0"/>
        <w:bidi w:val="0"/>
        <w:snapToGrid/>
        <w:spacing w:line="584" w:lineRule="exact"/>
        <w:ind w:left="0" w:leftChars="0" w:firstLine="640"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7.36</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7.36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lang w:val="en-US" w:eastAsia="zh-CN"/>
        </w:rPr>
        <w:t>7.36</w:t>
      </w:r>
      <w:r>
        <w:rPr>
          <w:rFonts w:ascii="Times New Roman" w:hAnsi="Times New Roman" w:eastAsia="仿宋_GB2312" w:cs="Times New Roman"/>
          <w:sz w:val="32"/>
          <w:szCs w:val="32"/>
        </w:rPr>
        <w:t>万元，主要为</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无三公经费预算安排，</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1年相比无增减变化。</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r>
        <w:rPr>
          <w:rFonts w:hint="eastAsia" w:ascii="仿宋_GB2312" w:eastAsia="仿宋_GB2312" w:cs="Times New Roman"/>
          <w:sz w:val="32"/>
          <w:szCs w:val="32"/>
        </w:rPr>
        <w:t>（与部门绩效文本内容保持一致）</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1、提高义务教育水平，免除</w:t>
      </w:r>
      <w:r>
        <w:rPr>
          <w:rFonts w:hint="eastAsia" w:ascii="仿宋_GB2312" w:hAnsi="宋体" w:eastAsia="仿宋_GB2312" w:cs="宋体"/>
          <w:color w:val="000000"/>
          <w:kern w:val="0"/>
          <w:sz w:val="32"/>
          <w:szCs w:val="32"/>
          <w:lang w:eastAsia="zh-CN"/>
        </w:rPr>
        <w:t>农村</w:t>
      </w:r>
      <w:r>
        <w:rPr>
          <w:rFonts w:hint="eastAsia" w:ascii="仿宋_GB2312" w:hAnsi="宋体" w:eastAsia="仿宋_GB2312" w:cs="宋体"/>
          <w:color w:val="000000"/>
          <w:kern w:val="0"/>
          <w:sz w:val="32"/>
          <w:szCs w:val="32"/>
        </w:rPr>
        <w:t>中小学生学杂费，提供免费教科书，解决大班额问题及入学难问题。对贫困中小学生进行补助。</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2、按质按量完成教育教学方面的各项任务，稳步提升学校的教育教学质量，学生综合素质评价优秀率达到85%,合格率达到100%。</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4、提升学校基础设施设备的整体水平。加强学校基础设施设备的维护,确保校园安全,落实校园防火及其他安全隐患的预防工作。确保校园各设施设备的正常运行。</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6、学校的文化宣传整体布局,加大学校办学理念、目标的宣传,形成具有特色的校园文化氛围。</w:t>
      </w:r>
    </w:p>
    <w:p>
      <w:pPr>
        <w:spacing w:line="584" w:lineRule="exact"/>
        <w:ind w:firstLine="640" w:firstLineChars="200"/>
        <w:rPr>
          <w:rFonts w:ascii="宋体" w:hAnsi="宋体" w:cs="宋体"/>
          <w:color w:val="000000"/>
          <w:kern w:val="0"/>
          <w:sz w:val="28"/>
          <w:szCs w:val="28"/>
        </w:rPr>
      </w:pPr>
      <w:r>
        <w:rPr>
          <w:rFonts w:hint="eastAsia" w:ascii="仿宋_GB2312" w:hAnsi="宋体" w:eastAsia="仿宋_GB2312" w:cs="宋体"/>
          <w:color w:val="000000"/>
          <w:kern w:val="0"/>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widowControl/>
        <w:ind w:firstLine="640" w:firstLineChars="2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1、成立学校监督小组，监督学校工作，强化工作落实。</w:t>
      </w:r>
    </w:p>
    <w:p>
      <w:pPr>
        <w:widowControl/>
        <w:ind w:firstLine="640" w:firstLineChars="2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widowControl/>
        <w:ind w:firstLine="640" w:firstLineChars="2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widowControl/>
        <w:ind w:firstLine="640" w:firstLineChars="2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widowControl/>
        <w:ind w:firstLine="640" w:firstLineChars="2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widowControl/>
        <w:ind w:firstLine="640" w:firstLineChars="2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、加强政治理论学习，强化党风廉政建设。做好师德传承活动，落实老中青传帮带。弘扬办学精神。加强师德宣传与学习活动。开展形式多样、扎实有效的师德教育活动。</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3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7"/>
        <w:gridCol w:w="992"/>
        <w:gridCol w:w="2126"/>
        <w:gridCol w:w="3544"/>
        <w:gridCol w:w="1984"/>
        <w:gridCol w:w="567"/>
        <w:gridCol w:w="581"/>
        <w:gridCol w:w="140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2" w:hRule="atLeast"/>
          <w:tblHeader/>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12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54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98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552"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35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27" w:hRule="atLeast"/>
          <w:tblHeader/>
          <w:jc w:val="center"/>
        </w:trPr>
        <w:tc>
          <w:tcPr>
            <w:tcW w:w="577" w:type="dxa"/>
            <w:vMerge w:val="continue"/>
            <w:tcBorders>
              <w:tl2br w:val="nil"/>
              <w:tr2bl w:val="nil"/>
            </w:tcBorders>
            <w:vAlign w:val="center"/>
          </w:tcPr>
          <w:p/>
        </w:tc>
        <w:tc>
          <w:tcPr>
            <w:tcW w:w="992" w:type="dxa"/>
            <w:vMerge w:val="continue"/>
            <w:tcBorders>
              <w:tl2br w:val="nil"/>
              <w:tr2bl w:val="nil"/>
            </w:tcBorders>
            <w:vAlign w:val="center"/>
          </w:tcPr>
          <w:p/>
        </w:tc>
        <w:tc>
          <w:tcPr>
            <w:tcW w:w="2126" w:type="dxa"/>
            <w:vMerge w:val="continue"/>
            <w:tcBorders>
              <w:tl2br w:val="nil"/>
              <w:tr2bl w:val="nil"/>
            </w:tcBorders>
            <w:vAlign w:val="center"/>
          </w:tcPr>
          <w:p/>
        </w:tc>
        <w:tc>
          <w:tcPr>
            <w:tcW w:w="3544" w:type="dxa"/>
            <w:vMerge w:val="continue"/>
            <w:tcBorders>
              <w:tl2br w:val="nil"/>
              <w:tr2bl w:val="nil"/>
            </w:tcBorders>
            <w:vAlign w:val="center"/>
          </w:tcPr>
          <w:p/>
        </w:tc>
        <w:tc>
          <w:tcPr>
            <w:tcW w:w="1984" w:type="dxa"/>
            <w:vMerge w:val="continue"/>
            <w:tcBorders>
              <w:tl2br w:val="nil"/>
              <w:tr2bl w:val="nil"/>
            </w:tcBorders>
            <w:vAlign w:val="center"/>
          </w:tcP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8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404"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35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6" w:hRule="atLeast"/>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eastAsia="zh-CN"/>
              </w:rPr>
              <w:t>小学生</w:t>
            </w:r>
            <w:r>
              <w:rPr>
                <w:rFonts w:hint="eastAsia" w:ascii="仿宋_GB2312" w:hAnsi="仿宋_GB2312" w:eastAsia="仿宋_GB2312" w:cs="仿宋_GB2312"/>
                <w:color w:val="000000"/>
                <w:sz w:val="22"/>
              </w:rPr>
              <w:t>毕业生合格率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eastAsia="zh-CN"/>
              </w:rPr>
              <w:t>小学生</w:t>
            </w:r>
            <w:r>
              <w:rPr>
                <w:rFonts w:hint="eastAsia" w:ascii="仿宋_GB2312" w:hAnsi="仿宋_GB2312" w:eastAsia="仿宋_GB2312" w:cs="仿宋_GB2312"/>
                <w:color w:val="000000"/>
                <w:sz w:val="22"/>
              </w:rPr>
              <w:t>毕业生合格率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10分不低于95%得满分，否则不得分每减少1%扣1分，扣完为止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决算数不大于调整预算数</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numPr>
          <w:ilvl w:val="0"/>
          <w:numId w:val="2"/>
        </w:numPr>
        <w:spacing w:line="584"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46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461" w:type="dxa"/>
            <w:vAlign w:val="center"/>
          </w:tcPr>
          <w:p>
            <w:pPr>
              <w:pStyle w:val="14"/>
              <w:numPr>
                <w:ilvl w:val="0"/>
                <w:numId w:val="3"/>
              </w:numPr>
              <w:rPr>
                <w:rFonts w:hint="eastAsia" w:ascii="仿宋_GB2312" w:hAnsi="仿宋_GB2312" w:eastAsia="仿宋_GB2312" w:cs="仿宋_GB2312"/>
              </w:rPr>
            </w:pPr>
            <w:r>
              <w:rPr>
                <w:rFonts w:hint="eastAsia" w:ascii="仿宋_GB2312" w:hAnsi="仿宋_GB2312" w:eastAsia="仿宋_GB2312" w:cs="仿宋_GB2312"/>
              </w:rPr>
              <w:t>"北寺垡中心小学2022年在校学生85人，按照义务教育生均公用经费标准申请财政预算资金，通过合理、合规使用资金达到保证学校正常运转，改善办学条件，促进义务教育发展。</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numPr>
                <w:ilvl w:val="0"/>
                <w:numId w:val="3"/>
              </w:numPr>
              <w:rPr>
                <w:rFonts w:hint="eastAsia" w:ascii="仿宋_GB2312" w:hAnsi="仿宋_GB2312" w:eastAsia="仿宋_GB2312" w:cs="仿宋_GB2312"/>
              </w:rPr>
            </w:pPr>
            <w:r>
              <w:rPr>
                <w:rFonts w:hint="eastAsia" w:ascii="仿宋_GB2312" w:hAnsi="仿宋_GB2312" w:eastAsia="仿宋_GB2312" w:cs="仿宋_GB2312"/>
              </w:rPr>
              <w:t>改善我校办学条件。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665"/>
        <w:gridCol w:w="34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6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41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6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85人</w:t>
            </w:r>
          </w:p>
        </w:tc>
        <w:tc>
          <w:tcPr>
            <w:tcW w:w="34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6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4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6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4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6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34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6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4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4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2.城乡义务教育生均公用经费[市级]绩效目标表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88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8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1.北寺垡中心小学2022年在校学生85人，按照义务教育生均公用经费标准申请财政预算资金，通过合理、合规使用资金达到保证学校正常运转，改善办学条件，促进义务教育发展。</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3"/>
        <w:gridCol w:w="723"/>
        <w:gridCol w:w="2439"/>
        <w:gridCol w:w="2178"/>
        <w:gridCol w:w="813"/>
        <w:gridCol w:w="48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2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2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3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17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1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81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1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8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85人</w:t>
            </w:r>
          </w:p>
        </w:tc>
        <w:tc>
          <w:tcPr>
            <w:tcW w:w="4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continue"/>
            <w:vAlign w:val="center"/>
          </w:tcPr>
          <w:p>
            <w:pPr>
              <w:rPr>
                <w:rFonts w:hint="eastAsia" w:ascii="仿宋_GB2312" w:hAnsi="仿宋_GB2312" w:eastAsia="仿宋_GB2312" w:cs="仿宋_GB2312"/>
              </w:rPr>
            </w:pPr>
          </w:p>
        </w:tc>
        <w:tc>
          <w:tcPr>
            <w:tcW w:w="7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1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8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continue"/>
            <w:vAlign w:val="center"/>
          </w:tcPr>
          <w:p>
            <w:pPr>
              <w:rPr>
                <w:rFonts w:hint="eastAsia" w:ascii="仿宋_GB2312" w:hAnsi="仿宋_GB2312" w:eastAsia="仿宋_GB2312" w:cs="仿宋_GB2312"/>
              </w:rPr>
            </w:pPr>
          </w:p>
        </w:tc>
        <w:tc>
          <w:tcPr>
            <w:tcW w:w="7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1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8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continue"/>
            <w:vAlign w:val="center"/>
          </w:tcPr>
          <w:p>
            <w:pPr>
              <w:rPr>
                <w:rFonts w:hint="eastAsia" w:ascii="仿宋_GB2312" w:hAnsi="仿宋_GB2312" w:eastAsia="仿宋_GB2312" w:cs="仿宋_GB2312"/>
              </w:rPr>
            </w:pPr>
          </w:p>
        </w:tc>
        <w:tc>
          <w:tcPr>
            <w:tcW w:w="7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1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8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4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4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1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8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4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1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numPr>
          <w:ilvl w:val="0"/>
          <w:numId w:val="4"/>
        </w:num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政府采购预算情况</w:t>
      </w:r>
    </w:p>
    <w:p>
      <w:pPr>
        <w:spacing w:line="584" w:lineRule="exact"/>
        <w:ind w:firstLine="640" w:firstLineChars="200"/>
        <w:outlineLvl w:val="0"/>
        <w:rPr>
          <w:rFonts w:ascii="Times New Roman" w:hAnsi="Times New Roman" w:eastAsia="仿宋_GB2312" w:cs="Times New Roman"/>
          <w:sz w:val="32"/>
          <w:szCs w:val="24"/>
        </w:rPr>
      </w:pPr>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p>
      <w:pPr>
        <w:jc w:val="center"/>
        <w:outlineLvl w:val="1"/>
        <w:rPr>
          <w:rFonts w:hint="eastAsia" w:ascii="方正小标宋_GBK" w:eastAsia="方正小标宋_GBK" w:cs="Times New Roman"/>
          <w:sz w:val="32"/>
        </w:rPr>
      </w:pPr>
    </w:p>
    <w:p>
      <w:pPr>
        <w:jc w:val="center"/>
        <w:outlineLvl w:val="1"/>
        <w:rPr>
          <w:rFonts w:ascii="方正小标宋_GBK" w:eastAsia="方正小标宋_GBK" w:cs="Times New Roman"/>
          <w:sz w:val="32"/>
        </w:rPr>
      </w:pPr>
      <w:r>
        <w:rPr>
          <w:rFonts w:hint="eastAsia" w:ascii="方正小标宋_GBK" w:eastAsia="方正小标宋_GBK" w:cs="Times New Roman"/>
          <w:sz w:val="32"/>
        </w:rPr>
        <w:t>部门政府采购预算</w:t>
      </w:r>
    </w:p>
    <w:p>
      <w:pPr>
        <w:jc w:val="left"/>
        <w:outlineLvl w:val="1"/>
        <w:rPr>
          <w:rFonts w:ascii="方正小标宋_GBK" w:eastAsia="方正小标宋_GBK" w:cs="Times New Roman"/>
          <w:sz w:val="32"/>
        </w:rPr>
      </w:pPr>
      <w:r>
        <w:rPr>
          <w:rFonts w:hint="eastAsia"/>
        </w:rPr>
        <w:t>廊坊市</w:t>
      </w:r>
      <w:r>
        <w:rPr>
          <w:rFonts w:hint="eastAsia"/>
          <w:lang w:eastAsia="zh-CN"/>
        </w:rPr>
        <w:t>广阳区白家务办事处北寺垡中心小学</w:t>
      </w:r>
      <w:r>
        <w:t xml:space="preserve">                                                                                   单位：万元</w:t>
      </w:r>
    </w:p>
    <w:tbl>
      <w:tblPr>
        <w:tblStyle w:val="8"/>
        <w:tblW w:w="155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3"/>
        <w:gridCol w:w="970"/>
        <w:gridCol w:w="1141"/>
        <w:gridCol w:w="1141"/>
        <w:gridCol w:w="713"/>
        <w:gridCol w:w="855"/>
        <w:gridCol w:w="855"/>
        <w:gridCol w:w="970"/>
        <w:gridCol w:w="970"/>
        <w:gridCol w:w="970"/>
        <w:gridCol w:w="970"/>
        <w:gridCol w:w="970"/>
        <w:gridCol w:w="970"/>
        <w:gridCol w:w="970"/>
        <w:gridCol w:w="970"/>
        <w:gridCol w:w="9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2073" w:type="dxa"/>
            <w:gridSpan w:val="2"/>
            <w:vAlign w:val="center"/>
          </w:tcPr>
          <w:p>
            <w:pPr>
              <w:pStyle w:val="12"/>
            </w:pPr>
            <w:r>
              <w:t>政府采购项目来源</w:t>
            </w:r>
          </w:p>
        </w:tc>
        <w:tc>
          <w:tcPr>
            <w:tcW w:w="1141" w:type="dxa"/>
            <w:vMerge w:val="restart"/>
            <w:vAlign w:val="center"/>
          </w:tcPr>
          <w:p>
            <w:pPr>
              <w:pStyle w:val="12"/>
            </w:pPr>
            <w:r>
              <w:t>采购物品名称</w:t>
            </w:r>
          </w:p>
        </w:tc>
        <w:tc>
          <w:tcPr>
            <w:tcW w:w="1141" w:type="dxa"/>
            <w:vMerge w:val="restart"/>
            <w:vAlign w:val="center"/>
          </w:tcPr>
          <w:p>
            <w:pPr>
              <w:pStyle w:val="12"/>
            </w:pPr>
            <w:r>
              <w:t>政府采购目录序号</w:t>
            </w:r>
          </w:p>
        </w:tc>
        <w:tc>
          <w:tcPr>
            <w:tcW w:w="713" w:type="dxa"/>
            <w:vMerge w:val="restart"/>
            <w:vAlign w:val="center"/>
          </w:tcPr>
          <w:p>
            <w:pPr>
              <w:pStyle w:val="12"/>
            </w:pPr>
            <w:r>
              <w:t>计量  单位</w:t>
            </w:r>
          </w:p>
        </w:tc>
        <w:tc>
          <w:tcPr>
            <w:tcW w:w="855" w:type="dxa"/>
            <w:vMerge w:val="restart"/>
            <w:vAlign w:val="center"/>
          </w:tcPr>
          <w:p>
            <w:pPr>
              <w:pStyle w:val="12"/>
            </w:pPr>
            <w:r>
              <w:t>数量</w:t>
            </w:r>
          </w:p>
        </w:tc>
        <w:tc>
          <w:tcPr>
            <w:tcW w:w="855" w:type="dxa"/>
            <w:vMerge w:val="restart"/>
            <w:vAlign w:val="center"/>
          </w:tcPr>
          <w:p>
            <w:pPr>
              <w:pStyle w:val="12"/>
            </w:pPr>
            <w:r>
              <w:t>单价</w:t>
            </w:r>
          </w:p>
        </w:tc>
        <w:tc>
          <w:tcPr>
            <w:tcW w:w="7760" w:type="dxa"/>
            <w:gridSpan w:val="8"/>
            <w:vAlign w:val="center"/>
          </w:tcPr>
          <w:p>
            <w:pPr>
              <w:pStyle w:val="12"/>
            </w:pPr>
            <w:r>
              <w:t>政府采购金额（当年部门预算安排资金）</w:t>
            </w:r>
          </w:p>
        </w:tc>
        <w:tc>
          <w:tcPr>
            <w:tcW w:w="970"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1103" w:type="dxa"/>
            <w:vAlign w:val="center"/>
          </w:tcPr>
          <w:p>
            <w:pPr>
              <w:pStyle w:val="12"/>
            </w:pPr>
            <w:r>
              <w:t>项目名称</w:t>
            </w:r>
          </w:p>
        </w:tc>
        <w:tc>
          <w:tcPr>
            <w:tcW w:w="970" w:type="dxa"/>
            <w:vAlign w:val="center"/>
          </w:tcPr>
          <w:p>
            <w:pPr>
              <w:pStyle w:val="12"/>
            </w:pPr>
            <w:r>
              <w:t>预算    资金</w:t>
            </w:r>
          </w:p>
        </w:tc>
        <w:tc>
          <w:tcPr>
            <w:tcW w:w="1141" w:type="dxa"/>
            <w:vMerge w:val="continue"/>
          </w:tcPr>
          <w:p/>
        </w:tc>
        <w:tc>
          <w:tcPr>
            <w:tcW w:w="1141" w:type="dxa"/>
            <w:vMerge w:val="continue"/>
          </w:tcPr>
          <w:p/>
        </w:tc>
        <w:tc>
          <w:tcPr>
            <w:tcW w:w="713" w:type="dxa"/>
            <w:vMerge w:val="continue"/>
          </w:tcPr>
          <w:p/>
        </w:tc>
        <w:tc>
          <w:tcPr>
            <w:tcW w:w="855" w:type="dxa"/>
            <w:vMerge w:val="continue"/>
          </w:tcPr>
          <w:p/>
        </w:tc>
        <w:tc>
          <w:tcPr>
            <w:tcW w:w="855" w:type="dxa"/>
            <w:vMerge w:val="continue"/>
          </w:tcPr>
          <w:p/>
        </w:tc>
        <w:tc>
          <w:tcPr>
            <w:tcW w:w="970" w:type="dxa"/>
            <w:vAlign w:val="center"/>
          </w:tcPr>
          <w:p>
            <w:pPr>
              <w:pStyle w:val="12"/>
            </w:pPr>
            <w:r>
              <w:t>合计</w:t>
            </w:r>
          </w:p>
        </w:tc>
        <w:tc>
          <w:tcPr>
            <w:tcW w:w="970" w:type="dxa"/>
            <w:vAlign w:val="center"/>
          </w:tcPr>
          <w:p>
            <w:pPr>
              <w:pStyle w:val="12"/>
            </w:pPr>
            <w:r>
              <w:t>一般公共预算拨款</w:t>
            </w:r>
          </w:p>
        </w:tc>
        <w:tc>
          <w:tcPr>
            <w:tcW w:w="970" w:type="dxa"/>
            <w:vAlign w:val="center"/>
          </w:tcPr>
          <w:p>
            <w:pPr>
              <w:pStyle w:val="12"/>
            </w:pPr>
            <w:r>
              <w:t>基金预算拨款</w:t>
            </w:r>
          </w:p>
        </w:tc>
        <w:tc>
          <w:tcPr>
            <w:tcW w:w="970" w:type="dxa"/>
            <w:vAlign w:val="center"/>
          </w:tcPr>
          <w:p>
            <w:pPr>
              <w:pStyle w:val="12"/>
            </w:pPr>
            <w:r>
              <w:t>国有资本经营预算拨款</w:t>
            </w:r>
          </w:p>
        </w:tc>
        <w:tc>
          <w:tcPr>
            <w:tcW w:w="970" w:type="dxa"/>
            <w:vAlign w:val="center"/>
          </w:tcPr>
          <w:p>
            <w:pPr>
              <w:pStyle w:val="12"/>
            </w:pPr>
            <w:r>
              <w:t>财政专户核拨</w:t>
            </w:r>
          </w:p>
        </w:tc>
        <w:tc>
          <w:tcPr>
            <w:tcW w:w="970" w:type="dxa"/>
            <w:vAlign w:val="center"/>
          </w:tcPr>
          <w:p>
            <w:pPr>
              <w:pStyle w:val="12"/>
            </w:pPr>
            <w:r>
              <w:t>单位    资金</w:t>
            </w:r>
          </w:p>
        </w:tc>
        <w:tc>
          <w:tcPr>
            <w:tcW w:w="970" w:type="dxa"/>
            <w:vAlign w:val="center"/>
          </w:tcPr>
          <w:p>
            <w:pPr>
              <w:pStyle w:val="12"/>
            </w:pPr>
            <w:r>
              <w:t>财政拨    款结转</w:t>
            </w:r>
          </w:p>
        </w:tc>
        <w:tc>
          <w:tcPr>
            <w:tcW w:w="970" w:type="dxa"/>
            <w:vAlign w:val="center"/>
          </w:tcPr>
          <w:p>
            <w:pPr>
              <w:pStyle w:val="12"/>
            </w:pPr>
            <w:r>
              <w:t>非财政    拨款结    转结余</w:t>
            </w:r>
          </w:p>
        </w:tc>
        <w:tc>
          <w:tcPr>
            <w:tcW w:w="9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103" w:type="dxa"/>
            <w:vAlign w:val="center"/>
          </w:tcPr>
          <w:p>
            <w:pPr>
              <w:pStyle w:val="16"/>
            </w:pPr>
            <w:r>
              <w:t>合  计</w:t>
            </w:r>
          </w:p>
        </w:tc>
        <w:tc>
          <w:tcPr>
            <w:tcW w:w="970" w:type="dxa"/>
            <w:vAlign w:val="center"/>
          </w:tcPr>
          <w:p>
            <w:pPr>
              <w:pStyle w:val="17"/>
            </w:pPr>
          </w:p>
        </w:tc>
        <w:tc>
          <w:tcPr>
            <w:tcW w:w="1141" w:type="dxa"/>
            <w:vAlign w:val="center"/>
          </w:tcPr>
          <w:p>
            <w:pPr>
              <w:pStyle w:val="18"/>
            </w:pPr>
          </w:p>
        </w:tc>
        <w:tc>
          <w:tcPr>
            <w:tcW w:w="1141" w:type="dxa"/>
            <w:vAlign w:val="center"/>
          </w:tcPr>
          <w:p>
            <w:pPr>
              <w:pStyle w:val="18"/>
            </w:pPr>
          </w:p>
        </w:tc>
        <w:tc>
          <w:tcPr>
            <w:tcW w:w="713" w:type="dxa"/>
            <w:vAlign w:val="center"/>
          </w:tcPr>
          <w:p>
            <w:pPr>
              <w:pStyle w:val="16"/>
            </w:pPr>
          </w:p>
        </w:tc>
        <w:tc>
          <w:tcPr>
            <w:tcW w:w="855" w:type="dxa"/>
            <w:vAlign w:val="center"/>
          </w:tcPr>
          <w:p>
            <w:pPr>
              <w:pStyle w:val="17"/>
            </w:pPr>
          </w:p>
        </w:tc>
        <w:tc>
          <w:tcPr>
            <w:tcW w:w="855"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1103" w:type="dxa"/>
            <w:vAlign w:val="center"/>
          </w:tcPr>
          <w:p>
            <w:pPr>
              <w:pStyle w:val="16"/>
            </w:pPr>
          </w:p>
        </w:tc>
        <w:tc>
          <w:tcPr>
            <w:tcW w:w="970" w:type="dxa"/>
            <w:vAlign w:val="center"/>
          </w:tcPr>
          <w:p>
            <w:pPr>
              <w:pStyle w:val="17"/>
            </w:pPr>
          </w:p>
        </w:tc>
        <w:tc>
          <w:tcPr>
            <w:tcW w:w="1141" w:type="dxa"/>
            <w:vAlign w:val="center"/>
          </w:tcPr>
          <w:p>
            <w:pPr>
              <w:pStyle w:val="18"/>
            </w:pPr>
          </w:p>
        </w:tc>
        <w:tc>
          <w:tcPr>
            <w:tcW w:w="1141" w:type="dxa"/>
            <w:vAlign w:val="center"/>
          </w:tcPr>
          <w:p>
            <w:pPr>
              <w:pStyle w:val="18"/>
            </w:pPr>
          </w:p>
        </w:tc>
        <w:tc>
          <w:tcPr>
            <w:tcW w:w="713" w:type="dxa"/>
            <w:vAlign w:val="center"/>
          </w:tcPr>
          <w:p>
            <w:pPr>
              <w:pStyle w:val="16"/>
            </w:pPr>
          </w:p>
        </w:tc>
        <w:tc>
          <w:tcPr>
            <w:tcW w:w="855" w:type="dxa"/>
            <w:vAlign w:val="center"/>
          </w:tcPr>
          <w:p>
            <w:pPr>
              <w:pStyle w:val="17"/>
            </w:pPr>
          </w:p>
        </w:tc>
        <w:tc>
          <w:tcPr>
            <w:tcW w:w="855"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103" w:type="dxa"/>
            <w:vAlign w:val="center"/>
          </w:tcPr>
          <w:p>
            <w:pPr>
              <w:pStyle w:val="14"/>
            </w:pPr>
          </w:p>
        </w:tc>
        <w:tc>
          <w:tcPr>
            <w:tcW w:w="970" w:type="dxa"/>
            <w:vAlign w:val="center"/>
          </w:tcPr>
          <w:p>
            <w:pPr>
              <w:pStyle w:val="13"/>
            </w:pPr>
          </w:p>
        </w:tc>
        <w:tc>
          <w:tcPr>
            <w:tcW w:w="1141" w:type="dxa"/>
            <w:vAlign w:val="center"/>
          </w:tcPr>
          <w:p>
            <w:pPr>
              <w:pStyle w:val="14"/>
            </w:pPr>
          </w:p>
        </w:tc>
        <w:tc>
          <w:tcPr>
            <w:tcW w:w="1141" w:type="dxa"/>
            <w:vAlign w:val="center"/>
          </w:tcPr>
          <w:p>
            <w:pPr>
              <w:pStyle w:val="14"/>
            </w:pPr>
          </w:p>
        </w:tc>
        <w:tc>
          <w:tcPr>
            <w:tcW w:w="713" w:type="dxa"/>
            <w:vAlign w:val="center"/>
          </w:tcPr>
          <w:p>
            <w:pPr>
              <w:pStyle w:val="15"/>
            </w:pPr>
          </w:p>
        </w:tc>
        <w:tc>
          <w:tcPr>
            <w:tcW w:w="855" w:type="dxa"/>
            <w:vAlign w:val="center"/>
          </w:tcPr>
          <w:p>
            <w:pPr>
              <w:pStyle w:val="13"/>
            </w:pPr>
          </w:p>
        </w:tc>
        <w:tc>
          <w:tcPr>
            <w:tcW w:w="855"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广阳区白家务办事处北寺垡中心小学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150.57028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广阳区白家务办事处北寺垡中心小学</w:t>
            </w:r>
            <w:r>
              <w:rPr>
                <w:rFonts w:ascii="Times New Roman" w:hAnsi="Times New Roman" w:eastAsia="仿宋_GB2312" w:cs="Times New Roman"/>
                <w:b/>
                <w:bCs/>
                <w:kern w:val="0"/>
                <w:sz w:val="32"/>
                <w:szCs w:val="32"/>
              </w:rPr>
              <w:t>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广阳区白家务办事处北寺垡中心小学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szCs w:val="22"/>
                <w:lang w:val="en-US" w:eastAsia="zh-CN"/>
              </w:rPr>
              <w:t>150.57028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1023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137.7805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866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125.3632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val="en-US" w:eastAsia="zh-CN"/>
              </w:rPr>
              <w:t xml:space="preserve"> </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12.78978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numPr>
          <w:ilvl w:val="0"/>
          <w:numId w:val="0"/>
        </w:numPr>
        <w:autoSpaceDE w:val="0"/>
        <w:autoSpaceDN w:val="0"/>
        <w:adjustRightInd w:val="0"/>
        <w:spacing w:line="584" w:lineRule="exact"/>
        <w:jc w:val="left"/>
        <w:rPr>
          <w:rFonts w:ascii="Times New Roman" w:hAnsi="Times New Roman" w:eastAsia="黑体" w:cs="Times New Roman"/>
          <w:sz w:val="32"/>
          <w:szCs w:val="32"/>
        </w:rPr>
      </w:pPr>
    </w:p>
    <w:p>
      <w:pPr>
        <w:spacing w:line="584" w:lineRule="exact"/>
        <w:rPr>
          <w:rFonts w:ascii="Times New Roman" w:hAnsi="Times New Roman" w:eastAsia="仿宋_GB2312" w:cs="Times New Roman"/>
          <w:sz w:val="32"/>
          <w:szCs w:val="32"/>
        </w:rPr>
      </w:pP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E7249"/>
    <w:multiLevelType w:val="singleLevel"/>
    <w:tmpl w:val="9E0E7249"/>
    <w:lvl w:ilvl="0" w:tentative="0">
      <w:start w:val="1"/>
      <w:numFmt w:val="decimal"/>
      <w:lvlText w:val="%1."/>
      <w:lvlJc w:val="left"/>
      <w:pPr>
        <w:tabs>
          <w:tab w:val="left" w:pos="312"/>
        </w:tabs>
      </w:pPr>
    </w:lvl>
  </w:abstractNum>
  <w:abstractNum w:abstractNumId="1">
    <w:nsid w:val="C930148F"/>
    <w:multiLevelType w:val="singleLevel"/>
    <w:tmpl w:val="C930148F"/>
    <w:lvl w:ilvl="0" w:tentative="0">
      <w:start w:val="2"/>
      <w:numFmt w:val="decimal"/>
      <w:suff w:val="nothing"/>
      <w:lvlText w:val="%1、"/>
      <w:lvlJc w:val="left"/>
    </w:lvl>
  </w:abstractNum>
  <w:abstractNum w:abstractNumId="2">
    <w:nsid w:val="3502A074"/>
    <w:multiLevelType w:val="singleLevel"/>
    <w:tmpl w:val="3502A074"/>
    <w:lvl w:ilvl="0" w:tentative="0">
      <w:start w:val="2"/>
      <w:numFmt w:val="chineseCounting"/>
      <w:suff w:val="space"/>
      <w:lvlText w:val="第%1部分"/>
      <w:lvlJc w:val="left"/>
      <w:rPr>
        <w:rFonts w:hint="eastAsia"/>
      </w:rPr>
    </w:lvl>
  </w:abstractNum>
  <w:abstractNum w:abstractNumId="3">
    <w:nsid w:val="62D6890F"/>
    <w:multiLevelType w:val="singleLevel"/>
    <w:tmpl w:val="62D6890F"/>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25632D"/>
    <w:rsid w:val="003059E0"/>
    <w:rsid w:val="004A54AA"/>
    <w:rsid w:val="00944233"/>
    <w:rsid w:val="00B40732"/>
    <w:rsid w:val="00B80935"/>
    <w:rsid w:val="00D347CC"/>
    <w:rsid w:val="00DC72B4"/>
    <w:rsid w:val="01B76100"/>
    <w:rsid w:val="06836A0E"/>
    <w:rsid w:val="0CEC1180"/>
    <w:rsid w:val="11120EB1"/>
    <w:rsid w:val="4A253017"/>
    <w:rsid w:val="4FCC28A5"/>
    <w:rsid w:val="52B837A5"/>
    <w:rsid w:val="72CF2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2643</Words>
  <Characters>2810</Characters>
  <Lines>23</Lines>
  <Paragraphs>6</Paragraphs>
  <TotalTime>2</TotalTime>
  <ScaleCrop>false</ScaleCrop>
  <LinksUpToDate>false</LinksUpToDate>
  <CharactersWithSpaces>2953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2024-05-22T06:49:56Z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F1506966DC7F41D9A9B5D96EA5AF6B89</vt:lpwstr>
  </property>
</Properties>
</file>