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r>
        <w:rPr>
          <w:rFonts w:hint="eastAsia" w:ascii="方正小标宋简体" w:eastAsia="方正小标宋简体" w:cs="宋体"/>
          <w:b/>
          <w:bCs/>
          <w:color w:val="000000"/>
          <w:kern w:val="0"/>
          <w:sz w:val="44"/>
          <w:szCs w:val="44"/>
        </w:rPr>
        <w:t>廊坊市广阳区</w:t>
      </w:r>
      <w:r>
        <w:rPr>
          <w:rFonts w:ascii="方正小标宋简体" w:eastAsia="方正小标宋简体" w:cs="宋体"/>
          <w:b/>
          <w:bCs/>
          <w:color w:val="000000"/>
          <w:kern w:val="0"/>
          <w:sz w:val="44"/>
          <w:szCs w:val="44"/>
        </w:rPr>
        <w:t>九州镇人民政府</w:t>
      </w:r>
      <w:r>
        <w:rPr>
          <w:rFonts w:hint="eastAsia" w:ascii="方正小标宋简体" w:eastAsia="方正小标宋简体" w:cs="宋体"/>
          <w:b/>
          <w:bCs/>
          <w:color w:val="000000"/>
          <w:kern w:val="0"/>
          <w:sz w:val="44"/>
          <w:szCs w:val="44"/>
        </w:rPr>
        <w:t>201</w:t>
      </w:r>
      <w:r>
        <w:rPr>
          <w:rFonts w:ascii="方正小标宋简体" w:eastAsia="方正小标宋简体" w:cs="宋体"/>
          <w:b/>
          <w:bCs/>
          <w:color w:val="000000"/>
          <w:kern w:val="0"/>
          <w:sz w:val="44"/>
          <w:szCs w:val="44"/>
        </w:rPr>
        <w:t>8</w:t>
      </w:r>
      <w:r>
        <w:rPr>
          <w:rFonts w:hint="eastAsia" w:ascii="方正小标宋简体" w:eastAsia="方正小标宋简体" w:cs="宋体"/>
          <w:b/>
          <w:bCs/>
          <w:color w:val="000000"/>
          <w:kern w:val="0"/>
          <w:sz w:val="44"/>
          <w:szCs w:val="44"/>
        </w:rPr>
        <w:t>年部门预算信息公开</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w:t>
      </w:r>
      <w:r>
        <w:rPr>
          <w:rFonts w:ascii="仿宋_GB2312" w:eastAsia="仿宋_GB2312" w:cs="宋体"/>
          <w:color w:val="000000"/>
          <w:kern w:val="0"/>
          <w:sz w:val="32"/>
          <w:szCs w:val="32"/>
        </w:rPr>
        <w:t>九州镇人民政府</w:t>
      </w:r>
      <w:r>
        <w:rPr>
          <w:rFonts w:hint="eastAsia" w:ascii="仿宋_GB2312" w:eastAsia="仿宋_GB2312"/>
          <w:sz w:val="32"/>
          <w:szCs w:val="32"/>
        </w:rPr>
        <w:t>201</w:t>
      </w:r>
      <w:r>
        <w:rPr>
          <w:rFonts w:ascii="仿宋_GB2312" w:eastAsia="仿宋_GB2312"/>
          <w:sz w:val="32"/>
          <w:szCs w:val="32"/>
        </w:rPr>
        <w:t>8</w:t>
      </w:r>
      <w:r>
        <w:rPr>
          <w:rFonts w:hint="eastAsia" w:ascii="仿宋_GB2312" w:eastAsia="仿宋_GB2312"/>
          <w:sz w:val="32"/>
          <w:szCs w:val="32"/>
        </w:rPr>
        <w:t>年部门预算公开如下：</w:t>
      </w:r>
    </w:p>
    <w:p>
      <w:pPr>
        <w:widowControl/>
        <w:numPr>
          <w:ilvl w:val="0"/>
          <w:numId w:val="1"/>
        </w:numPr>
        <w:spacing w:line="570" w:lineRule="exact"/>
        <w:jc w:val="left"/>
        <w:rPr>
          <w:rFonts w:ascii="仿宋_GB2312" w:eastAsia="仿宋_GB2312" w:cs="宋体"/>
          <w:b/>
          <w:bCs/>
          <w:color w:val="000000"/>
          <w:kern w:val="0"/>
          <w:sz w:val="32"/>
          <w:szCs w:val="32"/>
        </w:rPr>
      </w:pPr>
      <w:r>
        <w:rPr>
          <w:rFonts w:hint="eastAsia" w:ascii="黑体" w:eastAsia="黑体" w:cs="宋体"/>
          <w:b/>
          <w:bCs/>
          <w:color w:val="000000"/>
          <w:kern w:val="0"/>
          <w:sz w:val="32"/>
          <w:szCs w:val="32"/>
        </w:rPr>
        <w:t xml:space="preserve">部门职责及机构设置情况   </w:t>
      </w:r>
      <w:bookmarkStart w:id="0" w:name="_GoBack"/>
      <w:bookmarkEnd w:id="0"/>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部门职责：</w:t>
      </w:r>
    </w:p>
    <w:p>
      <w:pPr>
        <w:spacing w:line="570" w:lineRule="exact"/>
        <w:ind w:firstLine="640" w:firstLineChars="200"/>
        <w:rPr>
          <w:rFonts w:ascii="仿宋_GB2312" w:eastAsia="仿宋_GB2312"/>
          <w:kern w:val="0"/>
          <w:sz w:val="32"/>
          <w:szCs w:val="32"/>
        </w:rPr>
      </w:pPr>
      <w:r>
        <w:rPr>
          <w:rFonts w:hint="eastAsia" w:ascii="仿宋_GB2312" w:eastAsia="仿宋_GB2312"/>
          <w:kern w:val="0"/>
          <w:sz w:val="32"/>
          <w:szCs w:val="32"/>
        </w:rPr>
        <w:t>九州镇人民政府是广阳区人民政府的派出机关，受广阳区人民政府领导，依据法律、法规、规章的规定，对本镇村街服务、经济发展、社会治安、两文明建设等方面工作行使组织领导、综合协调、监督检查的职能。对镇内社会性、地区性、公益性、群众性工作负总责。具体职责是：</w:t>
      </w:r>
    </w:p>
    <w:p>
      <w:pPr>
        <w:spacing w:line="570" w:lineRule="exact"/>
        <w:ind w:firstLine="640" w:firstLineChars="200"/>
        <w:rPr>
          <w:rFonts w:ascii="仿宋_GB2312" w:eastAsia="仿宋_GB2312"/>
          <w:kern w:val="0"/>
          <w:sz w:val="32"/>
          <w:szCs w:val="32"/>
        </w:rPr>
      </w:pPr>
      <w:r>
        <w:rPr>
          <w:rFonts w:ascii="仿宋_GB2312" w:eastAsia="仿宋_GB2312"/>
          <w:kern w:val="0"/>
          <w:sz w:val="32"/>
          <w:szCs w:val="32"/>
        </w:rPr>
        <w:t>1.</w:t>
      </w:r>
      <w:r>
        <w:rPr>
          <w:rFonts w:hint="eastAsia" w:ascii="仿宋_GB2312" w:eastAsia="仿宋_GB2312"/>
          <w:kern w:val="0"/>
          <w:sz w:val="32"/>
          <w:szCs w:val="32"/>
        </w:rPr>
        <w:t>在镇委、镇政府的统一领导下，行使区人民政府赋予的权力，负责本镇的行政管理工作。</w:t>
      </w:r>
    </w:p>
    <w:p>
      <w:pPr>
        <w:spacing w:line="570" w:lineRule="exact"/>
        <w:ind w:firstLine="640" w:firstLineChars="200"/>
        <w:rPr>
          <w:rFonts w:ascii="仿宋_GB2312" w:eastAsia="仿宋_GB2312"/>
          <w:kern w:val="0"/>
          <w:sz w:val="32"/>
          <w:szCs w:val="32"/>
        </w:rPr>
      </w:pPr>
      <w:r>
        <w:rPr>
          <w:rFonts w:ascii="仿宋_GB2312" w:eastAsia="仿宋_GB2312"/>
          <w:kern w:val="0"/>
          <w:sz w:val="32"/>
          <w:szCs w:val="32"/>
        </w:rPr>
        <w:t>2.</w:t>
      </w:r>
      <w:r>
        <w:rPr>
          <w:rFonts w:hint="eastAsia" w:ascii="仿宋_GB2312" w:eastAsia="仿宋_GB2312"/>
          <w:kern w:val="0"/>
          <w:sz w:val="32"/>
          <w:szCs w:val="32"/>
        </w:rPr>
        <w:t>宣传和执行党的路线、方针、政策和国家的法律、法规，开展多种形式的政治文明建设、物质文明、精神文明、生态文明建设活动。</w:t>
      </w:r>
    </w:p>
    <w:p>
      <w:pPr>
        <w:spacing w:line="570" w:lineRule="exact"/>
        <w:ind w:firstLine="640" w:firstLineChars="200"/>
        <w:rPr>
          <w:rFonts w:ascii="仿宋_GB2312" w:eastAsia="仿宋_GB2312"/>
          <w:kern w:val="0"/>
          <w:sz w:val="32"/>
          <w:szCs w:val="32"/>
        </w:rPr>
      </w:pPr>
      <w:r>
        <w:rPr>
          <w:rFonts w:ascii="仿宋_GB2312" w:eastAsia="仿宋_GB2312"/>
          <w:kern w:val="0"/>
          <w:sz w:val="32"/>
          <w:szCs w:val="32"/>
        </w:rPr>
        <w:t>3.</w:t>
      </w:r>
      <w:r>
        <w:rPr>
          <w:rFonts w:hint="eastAsia" w:ascii="仿宋_GB2312" w:eastAsia="仿宋_GB2312"/>
          <w:kern w:val="0"/>
          <w:sz w:val="32"/>
          <w:szCs w:val="32"/>
        </w:rPr>
        <w:t>积极开展软环境建设和规范化服务型政府建设，推动本镇经济加快发展、科学发展，提升本镇经济实力。</w:t>
      </w:r>
    </w:p>
    <w:p>
      <w:pPr>
        <w:spacing w:line="570" w:lineRule="exact"/>
        <w:ind w:firstLine="640" w:firstLineChars="200"/>
        <w:rPr>
          <w:rFonts w:ascii="仿宋_GB2312" w:eastAsia="仿宋_GB2312"/>
          <w:kern w:val="0"/>
          <w:sz w:val="32"/>
          <w:szCs w:val="32"/>
        </w:rPr>
      </w:pPr>
      <w:r>
        <w:rPr>
          <w:rFonts w:ascii="仿宋_GB2312" w:eastAsia="仿宋_GB2312"/>
          <w:kern w:val="0"/>
          <w:sz w:val="32"/>
          <w:szCs w:val="32"/>
        </w:rPr>
        <w:t>4.</w:t>
      </w:r>
      <w:r>
        <w:rPr>
          <w:rFonts w:hint="eastAsia" w:ascii="仿宋_GB2312" w:eastAsia="仿宋_GB2312"/>
          <w:kern w:val="0"/>
          <w:sz w:val="32"/>
          <w:szCs w:val="32"/>
        </w:rPr>
        <w:t>对本镇的经济发展、社会治安、两个文明建设等方面的工作，行使组织领导、综合协调、监督检查的职能。</w:t>
      </w:r>
    </w:p>
    <w:p>
      <w:pPr>
        <w:spacing w:line="570" w:lineRule="exact"/>
        <w:ind w:firstLine="640" w:firstLineChars="200"/>
        <w:rPr>
          <w:rFonts w:ascii="仿宋_GB2312" w:eastAsia="仿宋_GB2312"/>
          <w:kern w:val="0"/>
          <w:sz w:val="32"/>
          <w:szCs w:val="32"/>
        </w:rPr>
      </w:pPr>
      <w:r>
        <w:rPr>
          <w:rFonts w:ascii="仿宋_GB2312" w:eastAsia="仿宋_GB2312"/>
          <w:kern w:val="0"/>
          <w:sz w:val="32"/>
          <w:szCs w:val="32"/>
        </w:rPr>
        <w:t>5.</w:t>
      </w:r>
      <w:r>
        <w:rPr>
          <w:rFonts w:hint="eastAsia" w:ascii="仿宋_GB2312" w:eastAsia="仿宋_GB2312"/>
          <w:kern w:val="0"/>
          <w:sz w:val="32"/>
          <w:szCs w:val="32"/>
        </w:rPr>
        <w:t>负责基层组织建设，指导、帮助村街群众自治组织开展工作，推动村街民主自治。</w:t>
      </w:r>
    </w:p>
    <w:p>
      <w:pPr>
        <w:spacing w:line="570" w:lineRule="exact"/>
        <w:ind w:firstLine="640" w:firstLineChars="200"/>
        <w:rPr>
          <w:rFonts w:ascii="仿宋_GB2312" w:eastAsia="仿宋_GB2312"/>
          <w:kern w:val="0"/>
          <w:sz w:val="32"/>
          <w:szCs w:val="32"/>
        </w:rPr>
      </w:pPr>
      <w:r>
        <w:rPr>
          <w:rFonts w:ascii="仿宋_GB2312" w:eastAsia="仿宋_GB2312"/>
          <w:kern w:val="0"/>
          <w:sz w:val="32"/>
          <w:szCs w:val="32"/>
        </w:rPr>
        <w:t>6.</w:t>
      </w:r>
      <w:r>
        <w:rPr>
          <w:rFonts w:hint="eastAsia" w:ascii="仿宋_GB2312" w:eastAsia="仿宋_GB2312"/>
          <w:kern w:val="0"/>
          <w:sz w:val="32"/>
          <w:szCs w:val="32"/>
        </w:rPr>
        <w:t>落实人口计划指标，加强流动人口的计划生育管理工作，搞好计划生育工作。</w:t>
      </w:r>
    </w:p>
    <w:p>
      <w:pPr>
        <w:spacing w:line="570" w:lineRule="exact"/>
        <w:ind w:firstLine="640" w:firstLineChars="200"/>
        <w:rPr>
          <w:rFonts w:ascii="仿宋_GB2312" w:eastAsia="仿宋_GB2312"/>
          <w:kern w:val="0"/>
          <w:sz w:val="32"/>
          <w:szCs w:val="32"/>
        </w:rPr>
      </w:pPr>
      <w:r>
        <w:rPr>
          <w:rFonts w:ascii="仿宋_GB2312" w:eastAsia="仿宋_GB2312"/>
          <w:kern w:val="0"/>
          <w:sz w:val="32"/>
          <w:szCs w:val="32"/>
        </w:rPr>
        <w:t>7.</w:t>
      </w:r>
      <w:r>
        <w:rPr>
          <w:rFonts w:hint="eastAsia" w:ascii="仿宋_GB2312" w:eastAsia="仿宋_GB2312"/>
          <w:kern w:val="0"/>
          <w:sz w:val="32"/>
          <w:szCs w:val="32"/>
        </w:rPr>
        <w:t>负责本镇的环境卫生、园林绿化和生态建设等项管理工作和环境整治工作。</w:t>
      </w:r>
    </w:p>
    <w:p>
      <w:pPr>
        <w:spacing w:line="570" w:lineRule="exact"/>
        <w:ind w:firstLine="640" w:firstLineChars="200"/>
        <w:rPr>
          <w:rFonts w:ascii="仿宋_GB2312" w:eastAsia="仿宋_GB2312"/>
          <w:kern w:val="0"/>
          <w:sz w:val="32"/>
          <w:szCs w:val="32"/>
        </w:rPr>
      </w:pPr>
      <w:r>
        <w:rPr>
          <w:rFonts w:ascii="仿宋_GB2312" w:eastAsia="仿宋_GB2312"/>
          <w:kern w:val="0"/>
          <w:sz w:val="32"/>
          <w:szCs w:val="32"/>
        </w:rPr>
        <w:t>8.</w:t>
      </w:r>
      <w:r>
        <w:rPr>
          <w:rFonts w:hint="eastAsia" w:ascii="仿宋_GB2312" w:eastAsia="仿宋_GB2312"/>
          <w:kern w:val="0"/>
          <w:sz w:val="32"/>
          <w:szCs w:val="32"/>
        </w:rPr>
        <w:t>加强社会治安综合治理，开展平安创建工作，维护政治稳定和社会安定。</w:t>
      </w:r>
    </w:p>
    <w:p>
      <w:pPr>
        <w:spacing w:line="570" w:lineRule="exact"/>
        <w:ind w:firstLine="640" w:firstLineChars="200"/>
        <w:rPr>
          <w:rFonts w:ascii="仿宋_GB2312" w:eastAsia="仿宋_GB2312"/>
          <w:kern w:val="0"/>
          <w:sz w:val="32"/>
          <w:szCs w:val="32"/>
        </w:rPr>
      </w:pPr>
      <w:r>
        <w:rPr>
          <w:rFonts w:ascii="仿宋_GB2312" w:eastAsia="仿宋_GB2312"/>
          <w:kern w:val="0"/>
          <w:sz w:val="32"/>
          <w:szCs w:val="32"/>
        </w:rPr>
        <w:t>9.</w:t>
      </w:r>
      <w:r>
        <w:rPr>
          <w:rFonts w:hint="eastAsia" w:ascii="仿宋_GB2312" w:eastAsia="仿宋_GB2312"/>
          <w:kern w:val="0"/>
          <w:sz w:val="32"/>
          <w:szCs w:val="32"/>
        </w:rPr>
        <w:t>承办上级政府交办的其它工作。</w:t>
      </w:r>
    </w:p>
    <w:p>
      <w:pPr>
        <w:widowControl/>
        <w:spacing w:line="570" w:lineRule="exact"/>
        <w:ind w:left="639" w:leftChars="228" w:hanging="160" w:hangingChars="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br w:type="textWrapping"/>
      </w:r>
      <w:r>
        <w:rPr>
          <w:rFonts w:hint="eastAsia" w:ascii="仿宋_GB2312" w:eastAsia="仿宋_GB2312" w:cs="宋体"/>
          <w:b/>
          <w:bCs/>
          <w:color w:val="000000"/>
          <w:kern w:val="0"/>
          <w:sz w:val="32"/>
          <w:szCs w:val="32"/>
        </w:rPr>
        <w:t>机构设置：</w:t>
      </w:r>
    </w:p>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12273" w:type="dxa"/>
        <w:tblCellSpacing w:w="0" w:type="dxa"/>
        <w:tblInd w:w="44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165"/>
        <w:gridCol w:w="2082"/>
        <w:gridCol w:w="1802"/>
        <w:gridCol w:w="422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58" w:hRule="atLeast"/>
          <w:tblHeader/>
          <w:tblCellSpacing w:w="0" w:type="dxa"/>
        </w:trPr>
        <w:tc>
          <w:tcPr>
            <w:tcW w:w="4165"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2082"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802"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4224"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3" w:hRule="atLeast"/>
          <w:tblCellSpacing w:w="0" w:type="dxa"/>
        </w:trPr>
        <w:tc>
          <w:tcPr>
            <w:tcW w:w="4165" w:type="dxa"/>
            <w:tcBorders>
              <w:top w:val="outset" w:color="auto" w:sz="6" w:space="0"/>
              <w:left w:val="outset" w:color="auto" w:sz="6" w:space="0"/>
              <w:bottom w:val="outset" w:color="auto" w:sz="6" w:space="0"/>
              <w:right w:val="outset" w:color="auto" w:sz="6" w:space="0"/>
            </w:tcBorders>
            <w:vAlign w:val="center"/>
          </w:tcPr>
          <w:p>
            <w:pPr>
              <w:spacing w:line="570" w:lineRule="exact"/>
              <w:jc w:val="left"/>
              <w:rPr>
                <w:rFonts w:ascii="方正书宋_GBK" w:eastAsia="方正书宋_GBK"/>
              </w:rPr>
            </w:pPr>
            <w:r>
              <w:rPr>
                <w:rFonts w:hint="eastAsia" w:ascii="方正书宋_GBK" w:eastAsia="方正书宋_GBK"/>
              </w:rPr>
              <w:t>廊坊市广阳区九州镇人民政府</w:t>
            </w:r>
          </w:p>
        </w:tc>
        <w:tc>
          <w:tcPr>
            <w:tcW w:w="2082"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ascii="方正书宋_GBK" w:eastAsia="方正书宋_GBK"/>
              </w:rPr>
            </w:pPr>
            <w:r>
              <w:rPr>
                <w:rFonts w:hint="eastAsia" w:ascii="方正书宋_GBK" w:eastAsia="方正书宋_GBK"/>
              </w:rPr>
              <w:t>行政</w:t>
            </w:r>
          </w:p>
        </w:tc>
        <w:tc>
          <w:tcPr>
            <w:tcW w:w="1802"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ascii="方正书宋_GBK" w:eastAsia="方正书宋_GBK"/>
              </w:rPr>
            </w:pPr>
            <w:r>
              <w:rPr>
                <w:rFonts w:hint="eastAsia" w:ascii="方正书宋_GBK" w:eastAsia="方正书宋_GBK"/>
              </w:rPr>
              <w:t>正科级</w:t>
            </w:r>
          </w:p>
        </w:tc>
        <w:tc>
          <w:tcPr>
            <w:tcW w:w="4224"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ascii="方正书宋_GBK" w:eastAsia="方正书宋_GBK"/>
              </w:rPr>
            </w:pPr>
            <w:r>
              <w:rPr>
                <w:rFonts w:hint="eastAsia" w:ascii="方正书宋_GBK" w:eastAsia="方正书宋_GBK"/>
              </w:rPr>
              <w:t>财政拨款</w:t>
            </w:r>
          </w:p>
        </w:tc>
      </w:tr>
    </w:tbl>
    <w:p>
      <w:pPr>
        <w:widowControl/>
        <w:spacing w:line="570" w:lineRule="exact"/>
        <w:jc w:val="left"/>
        <w:rPr>
          <w:rFonts w:ascii="仿宋_GB2312" w:eastAsia="仿宋_GB2312" w:cs="宋体"/>
          <w:color w:val="000000"/>
          <w:kern w:val="0"/>
          <w:sz w:val="32"/>
          <w:szCs w:val="32"/>
        </w:rPr>
      </w:pP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hAnsi="Times New Roman" w:eastAsia="仿宋_GB2312" w:cs="Times New Roman"/>
          <w:sz w:val="32"/>
          <w:szCs w:val="32"/>
        </w:rPr>
        <w:t>廊坊市</w:t>
      </w:r>
      <w:r>
        <w:rPr>
          <w:rFonts w:hint="eastAsia" w:ascii="仿宋_GB2312" w:eastAsia="仿宋_GB2312" w:cs="宋体"/>
          <w:kern w:val="0"/>
          <w:sz w:val="32"/>
          <w:szCs w:val="32"/>
        </w:rPr>
        <w:t>广阳区九州镇人民政府</w:t>
      </w:r>
      <w:r>
        <w:rPr>
          <w:rFonts w:hint="eastAsia" w:ascii="仿宋_GB2312" w:hAnsi="Times New Roman" w:eastAsia="仿宋_GB2312" w:cs="Times New Roman"/>
          <w:sz w:val="32"/>
          <w:szCs w:val="32"/>
        </w:rPr>
        <w:t>机关及所属事业单位的收支包含在部门预算中。</w:t>
      </w:r>
    </w:p>
    <w:p>
      <w:pPr>
        <w:widowControl/>
        <w:spacing w:line="570" w:lineRule="exac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1、</w:t>
      </w:r>
      <w:r>
        <w:rPr>
          <w:rFonts w:hint="eastAsia" w:ascii="楷体_GB2312" w:eastAsia="楷体_GB2312" w:cs="宋体"/>
          <w:b/>
          <w:bCs/>
          <w:color w:val="000000"/>
          <w:kern w:val="0"/>
          <w:sz w:val="32"/>
          <w:szCs w:val="32"/>
        </w:rPr>
        <w:t>收入说明</w:t>
      </w:r>
    </w:p>
    <w:p>
      <w:pPr>
        <w:widowControl/>
        <w:spacing w:line="570" w:lineRule="exact"/>
        <w:ind w:firstLine="640" w:firstLineChars="200"/>
        <w:jc w:val="left"/>
        <w:rPr>
          <w:rFonts w:ascii="仿宋_GB2312" w:eastAsia="仿宋_GB2312" w:cs="宋体"/>
          <w:bCs/>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年预算收入</w:t>
      </w:r>
      <w:r>
        <w:rPr>
          <w:rFonts w:ascii="仿宋_GB2312" w:eastAsia="仿宋_GB2312" w:cs="宋体"/>
          <w:color w:val="000000"/>
          <w:kern w:val="0"/>
          <w:sz w:val="32"/>
          <w:szCs w:val="32"/>
        </w:rPr>
        <w:t>4783.47</w:t>
      </w:r>
      <w:r>
        <w:rPr>
          <w:rFonts w:hint="eastAsia" w:ascii="仿宋_GB2312" w:eastAsia="仿宋_GB2312" w:cs="宋体"/>
          <w:color w:val="000000"/>
          <w:kern w:val="0"/>
          <w:sz w:val="32"/>
          <w:szCs w:val="32"/>
        </w:rPr>
        <w:t>万元，其中：一般公共预算收入</w:t>
      </w:r>
      <w:r>
        <w:rPr>
          <w:rFonts w:ascii="仿宋_GB2312" w:eastAsia="仿宋_GB2312" w:cs="宋体"/>
          <w:color w:val="000000"/>
          <w:kern w:val="0"/>
          <w:sz w:val="32"/>
          <w:szCs w:val="32"/>
        </w:rPr>
        <w:t>4783.47</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 xml:space="preserve"> 政府性基金收入0万元，财政专户核拨收入0万元，其他来源收入0万元。</w:t>
      </w:r>
    </w:p>
    <w:p>
      <w:pPr>
        <w:widowControl/>
        <w:spacing w:line="570" w:lineRule="exact"/>
        <w:ind w:firstLine="643" w:firstLineChars="200"/>
        <w:jc w:val="left"/>
        <w:rPr>
          <w:rFonts w:ascii="仿宋_GB2312" w:eastAsia="仿宋_GB2312" w:cs="宋体"/>
          <w:color w:val="000000"/>
          <w:kern w:val="0"/>
          <w:sz w:val="32"/>
          <w:szCs w:val="32"/>
        </w:rPr>
      </w:pPr>
      <w:r>
        <w:rPr>
          <w:rFonts w:hint="eastAsia" w:ascii="楷体_GB2312" w:eastAsia="楷体_GB2312" w:cs="宋体"/>
          <w:b/>
          <w:bCs/>
          <w:color w:val="000000"/>
          <w:kern w:val="0"/>
          <w:sz w:val="32"/>
          <w:szCs w:val="32"/>
        </w:rPr>
        <w:t>2、支出说明</w:t>
      </w:r>
    </w:p>
    <w:p>
      <w:pPr>
        <w:spacing w:line="570" w:lineRule="exact"/>
        <w:ind w:firstLine="640"/>
        <w:rPr>
          <w:rFonts w:ascii="仿宋_GB2312" w:eastAsia="仿宋_GB2312" w:cs="宋体"/>
          <w:color w:val="000000"/>
          <w:kern w:val="0"/>
          <w:sz w:val="32"/>
          <w:szCs w:val="32"/>
        </w:rPr>
      </w:pPr>
      <w:r>
        <w:rPr>
          <w:rFonts w:ascii="仿宋_GB2312" w:eastAsia="仿宋_GB2312" w:cs="宋体"/>
          <w:color w:val="000000"/>
          <w:kern w:val="0"/>
          <w:sz w:val="32"/>
          <w:szCs w:val="32"/>
        </w:rPr>
        <w:t>收支预算总表支出栏、基本支出表、项目支出表按经济分类和支出功能分类科目编制，反映河北省廊坊市广阳区九州镇人民政府2017年度部门预算中支出预算的总体情况。2018年支出预算4783.47万元，其中基本支出</w:t>
      </w:r>
      <w:r>
        <w:rPr>
          <w:rFonts w:hint="eastAsia" w:ascii="仿宋_GB2312" w:eastAsia="仿宋_GB2312" w:cs="宋体"/>
          <w:color w:val="000000"/>
          <w:kern w:val="0"/>
          <w:sz w:val="32"/>
          <w:szCs w:val="32"/>
          <w:lang w:val="en-US" w:eastAsia="zh-CN"/>
        </w:rPr>
        <w:t>4746.85</w:t>
      </w:r>
      <w:r>
        <w:rPr>
          <w:rFonts w:ascii="仿宋_GB2312" w:eastAsia="仿宋_GB2312" w:cs="宋体"/>
          <w:color w:val="000000"/>
          <w:kern w:val="0"/>
          <w:sz w:val="32"/>
          <w:szCs w:val="32"/>
        </w:rPr>
        <w:t>万元，包括人员经费4543.02万元和日常公用经费203.83万元。项目支出36.62万元</w:t>
      </w:r>
      <w:r>
        <w:rPr>
          <w:rFonts w:hint="eastAsia" w:ascii="仿宋_GB2312" w:eastAsia="仿宋_GB2312" w:cs="宋体"/>
          <w:color w:val="000000"/>
          <w:kern w:val="0"/>
          <w:sz w:val="32"/>
          <w:szCs w:val="32"/>
        </w:rPr>
        <w:t>，为民办教师经费</w:t>
      </w:r>
      <w:r>
        <w:rPr>
          <w:rFonts w:ascii="仿宋_GB2312" w:eastAsia="仿宋_GB2312" w:cs="宋体"/>
          <w:color w:val="000000"/>
          <w:kern w:val="0"/>
          <w:sz w:val="32"/>
          <w:szCs w:val="32"/>
        </w:rPr>
        <w:t>。</w:t>
      </w:r>
    </w:p>
    <w:p>
      <w:pPr>
        <w:widowControl/>
        <w:spacing w:line="570" w:lineRule="exact"/>
        <w:ind w:firstLine="643" w:firstLineChars="200"/>
        <w:jc w:val="left"/>
        <w:rPr>
          <w:rFonts w:ascii="楷体_GB2312" w:eastAsia="楷体_GB2312" w:cs="宋体"/>
          <w:b/>
          <w:bCs/>
          <w:color w:val="000000"/>
          <w:kern w:val="0"/>
          <w:sz w:val="32"/>
          <w:szCs w:val="32"/>
        </w:rPr>
      </w:pPr>
      <w:r>
        <w:rPr>
          <w:rFonts w:hint="eastAsia" w:ascii="楷体_GB2312" w:eastAsia="楷体_GB2312" w:cs="宋体"/>
          <w:b/>
          <w:bCs/>
          <w:color w:val="000000"/>
          <w:kern w:val="0"/>
          <w:sz w:val="32"/>
          <w:szCs w:val="32"/>
        </w:rPr>
        <w:t>3、比上年增减情况</w:t>
      </w:r>
    </w:p>
    <w:p>
      <w:pPr>
        <w:widowControl/>
        <w:spacing w:line="570" w:lineRule="exact"/>
        <w:ind w:firstLine="640" w:firstLineChars="200"/>
        <w:jc w:val="left"/>
        <w:rPr>
          <w:rFonts w:ascii="黑体" w:eastAsia="黑体" w:cs="宋体"/>
          <w:b/>
          <w:bCs/>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年预算收支安排</w:t>
      </w:r>
      <w:r>
        <w:rPr>
          <w:rFonts w:ascii="仿宋_GB2312" w:eastAsia="仿宋_GB2312" w:cs="宋体"/>
          <w:color w:val="000000"/>
          <w:kern w:val="0"/>
          <w:sz w:val="32"/>
          <w:szCs w:val="32"/>
        </w:rPr>
        <w:t>4783.47</w:t>
      </w:r>
      <w:r>
        <w:rPr>
          <w:rFonts w:hint="eastAsia" w:ascii="仿宋_GB2312" w:eastAsia="仿宋_GB2312" w:cs="宋体"/>
          <w:color w:val="000000"/>
          <w:kern w:val="0"/>
          <w:sz w:val="32"/>
          <w:szCs w:val="32"/>
        </w:rPr>
        <w:t>万元，较201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年预算增加</w:t>
      </w:r>
      <w:r>
        <w:rPr>
          <w:rFonts w:ascii="仿宋_GB2312" w:eastAsia="仿宋_GB2312" w:cs="宋体"/>
          <w:color w:val="000000"/>
          <w:kern w:val="0"/>
          <w:sz w:val="32"/>
          <w:szCs w:val="32"/>
        </w:rPr>
        <w:t>796.09</w:t>
      </w:r>
      <w:r>
        <w:rPr>
          <w:rFonts w:hint="eastAsia" w:ascii="仿宋_GB2312" w:eastAsia="仿宋_GB2312" w:cs="宋体"/>
          <w:color w:val="000000"/>
          <w:kern w:val="0"/>
          <w:sz w:val="32"/>
          <w:szCs w:val="32"/>
        </w:rPr>
        <w:t>万元，其中：基本支出增加</w:t>
      </w:r>
      <w:r>
        <w:rPr>
          <w:rFonts w:ascii="仿宋_GB2312" w:eastAsia="仿宋_GB2312" w:cs="宋体"/>
          <w:color w:val="000000"/>
          <w:kern w:val="0"/>
          <w:sz w:val="32"/>
          <w:szCs w:val="32"/>
        </w:rPr>
        <w:t>759.47</w:t>
      </w:r>
      <w:r>
        <w:rPr>
          <w:rFonts w:hint="eastAsia" w:ascii="仿宋_GB2312" w:eastAsia="仿宋_GB2312" w:cs="宋体"/>
          <w:color w:val="000000"/>
          <w:kern w:val="0"/>
          <w:sz w:val="32"/>
          <w:szCs w:val="32"/>
        </w:rPr>
        <w:t>万元，主要为增加人员经费支出；项目支出增加36.62万元，主要增加</w:t>
      </w:r>
      <w:r>
        <w:rPr>
          <w:rFonts w:ascii="仿宋_GB2312" w:eastAsia="仿宋_GB2312" w:cs="宋体"/>
          <w:color w:val="000000"/>
          <w:kern w:val="0"/>
          <w:sz w:val="32"/>
          <w:szCs w:val="32"/>
        </w:rPr>
        <w:t>民办教师项目支出</w:t>
      </w:r>
      <w:r>
        <w:rPr>
          <w:rFonts w:hint="eastAsia" w:ascii="仿宋_GB2312" w:eastAsia="仿宋_GB2312" w:cs="宋体"/>
          <w:color w:val="000000"/>
          <w:kern w:val="0"/>
          <w:sz w:val="32"/>
          <w:szCs w:val="32"/>
        </w:rPr>
        <w:t>。</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p>
    <w:p>
      <w:pPr>
        <w:widowControl/>
        <w:spacing w:line="570" w:lineRule="exac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年预算安排我部门机关运行经费</w:t>
      </w:r>
      <w:r>
        <w:rPr>
          <w:rFonts w:ascii="仿宋_GB2312" w:eastAsia="仿宋_GB2312" w:cs="宋体"/>
          <w:color w:val="000000"/>
          <w:kern w:val="0"/>
          <w:sz w:val="32"/>
          <w:szCs w:val="32"/>
        </w:rPr>
        <w:t>100.53</w:t>
      </w:r>
      <w:r>
        <w:rPr>
          <w:rFonts w:hint="eastAsia" w:ascii="仿宋_GB2312" w:eastAsia="仿宋_GB2312" w:cs="宋体"/>
          <w:color w:val="000000"/>
          <w:kern w:val="0"/>
          <w:sz w:val="32"/>
          <w:szCs w:val="32"/>
        </w:rPr>
        <w:t>万元，其中办公经费</w:t>
      </w:r>
      <w:r>
        <w:rPr>
          <w:rFonts w:ascii="仿宋_GB2312" w:eastAsia="仿宋_GB2312" w:cs="宋体"/>
          <w:color w:val="000000"/>
          <w:kern w:val="0"/>
          <w:sz w:val="32"/>
          <w:szCs w:val="32"/>
        </w:rPr>
        <w:t>25.53</w:t>
      </w:r>
      <w:r>
        <w:rPr>
          <w:rFonts w:hint="eastAsia" w:ascii="仿宋_GB2312" w:eastAsia="仿宋_GB2312" w:cs="宋体"/>
          <w:color w:val="000000"/>
          <w:kern w:val="0"/>
          <w:sz w:val="32"/>
          <w:szCs w:val="32"/>
        </w:rPr>
        <w:t>万元，其他业务费</w:t>
      </w:r>
      <w:r>
        <w:rPr>
          <w:rFonts w:ascii="仿宋_GB2312" w:eastAsia="仿宋_GB2312" w:cs="宋体"/>
          <w:color w:val="000000"/>
          <w:kern w:val="0"/>
          <w:sz w:val="32"/>
          <w:szCs w:val="32"/>
        </w:rPr>
        <w:t>75万元。</w:t>
      </w:r>
      <w:r>
        <w:rPr>
          <w:rFonts w:hint="eastAsia" w:ascii="仿宋_GB2312" w:eastAsia="仿宋_GB2312" w:cs="宋体"/>
          <w:color w:val="000000"/>
          <w:kern w:val="0"/>
          <w:sz w:val="32"/>
          <w:szCs w:val="32"/>
        </w:rPr>
        <w:t>主要用于</w:t>
      </w:r>
      <w:r>
        <w:rPr>
          <w:rFonts w:ascii="仿宋_GB2312" w:eastAsia="仿宋_GB2312" w:cs="宋体"/>
          <w:color w:val="000000"/>
          <w:kern w:val="0"/>
          <w:sz w:val="32"/>
          <w:szCs w:val="32"/>
        </w:rPr>
        <w:t>九州镇人民政府及校园</w:t>
      </w:r>
      <w:r>
        <w:rPr>
          <w:rFonts w:hint="eastAsia" w:ascii="仿宋_GB2312" w:eastAsia="仿宋_GB2312" w:cs="宋体"/>
          <w:color w:val="000000"/>
          <w:kern w:val="0"/>
          <w:sz w:val="32"/>
          <w:szCs w:val="32"/>
        </w:rPr>
        <w:t>办公区的日常维修、办公用房水电费、办公用房取暖费、办公用房物业管理费等日常运行支出</w:t>
      </w:r>
      <w:r>
        <w:rPr>
          <w:rFonts w:ascii="仿宋_GB2312" w:eastAsia="仿宋_GB2312" w:cs="宋体"/>
          <w:color w:val="000000"/>
          <w:kern w:val="0"/>
          <w:sz w:val="32"/>
          <w:szCs w:val="32"/>
        </w:rPr>
        <w:t>。</w:t>
      </w:r>
    </w:p>
    <w:p>
      <w:pPr>
        <w:widowControl/>
        <w:spacing w:line="570" w:lineRule="exact"/>
        <w:jc w:val="left"/>
        <w:rPr>
          <w:rFonts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年，我部门“三公”经费预算安排4.6万元，</w:t>
      </w:r>
      <w:r>
        <w:rPr>
          <w:rFonts w:hint="eastAsia" w:ascii="仿宋_GB2312" w:eastAsia="仿宋_GB2312" w:cs="Times New Roman"/>
          <w:sz w:val="32"/>
          <w:szCs w:val="32"/>
        </w:rPr>
        <w:t>其中因公出国（境）费</w:t>
      </w:r>
      <w:r>
        <w:rPr>
          <w:rFonts w:ascii="仿宋_GB2312" w:eastAsia="仿宋_GB2312" w:cs="Times New Roman"/>
          <w:sz w:val="32"/>
          <w:szCs w:val="32"/>
        </w:rPr>
        <w:t>0</w:t>
      </w:r>
      <w:r>
        <w:rPr>
          <w:rFonts w:hint="eastAsia" w:ascii="仿宋_GB2312" w:eastAsia="仿宋_GB2312" w:cs="Times New Roman"/>
          <w:sz w:val="32"/>
          <w:szCs w:val="32"/>
        </w:rPr>
        <w:t>万元；</w:t>
      </w:r>
      <w:r>
        <w:rPr>
          <w:rFonts w:hint="eastAsia" w:ascii="仿宋_GB2312" w:eastAsia="仿宋_GB2312" w:cs="宋体"/>
          <w:color w:val="000000"/>
          <w:kern w:val="0"/>
          <w:sz w:val="32"/>
          <w:szCs w:val="32"/>
        </w:rPr>
        <w:t>公务用车购置及运维费4.6万元（其中：公务用车购置费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，公务用车运行费为4.6万元)；公务接待费无。</w:t>
      </w:r>
      <w:r>
        <w:rPr>
          <w:rFonts w:ascii="仿宋_GB2312" w:eastAsia="仿宋_GB2312" w:cs="宋体"/>
          <w:color w:val="000000"/>
          <w:kern w:val="0"/>
          <w:sz w:val="32"/>
          <w:szCs w:val="32"/>
        </w:rPr>
        <w:t>较</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年增公务用车运行费4.6万元，主要原因是</w:t>
      </w:r>
      <w:r>
        <w:rPr>
          <w:rFonts w:ascii="仿宋_GB2312" w:eastAsia="仿宋_GB2312" w:cs="宋体"/>
          <w:color w:val="000000"/>
          <w:kern w:val="0"/>
          <w:sz w:val="32"/>
          <w:szCs w:val="32"/>
        </w:rPr>
        <w:t>2018年环保、信访等工作形势严峻，公车使用频率增加。</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方正仿宋_GBK" w:eastAsia="方正仿宋_GBK"/>
          <w:sz w:val="28"/>
        </w:rPr>
        <w:t xml:space="preserve"> </w:t>
      </w:r>
      <w:r>
        <w:rPr>
          <w:rFonts w:ascii="方正仿宋_GBK" w:eastAsia="方正仿宋_GBK"/>
          <w:sz w:val="28"/>
        </w:rPr>
        <w:t xml:space="preserve">    </w:t>
      </w:r>
      <w:r>
        <w:rPr>
          <w:rFonts w:hint="eastAsia" w:ascii="仿宋_GB2312" w:eastAsia="仿宋_GB2312" w:cs="宋体"/>
          <w:color w:val="000000"/>
          <w:kern w:val="0"/>
          <w:sz w:val="32"/>
          <w:szCs w:val="32"/>
        </w:rPr>
        <w:t>2018年是实施“十三五”规划的开始之年，更是镇党委、政府履职担责、推动发展、实现突破的关键年，规划并做好2018年经济社会发展的各项工作，对保持九州镇经济平稳较快发展具有十分重要意义。九州镇将以落实科学发展观指导，贯彻十八届五中全会及省市区委全会精神，继续坚持“两手抓，两手都要硬”的工作方针，按照全区“三产兴区，开发带动、城乡并进”的经济发展思路，推进三产升级，着眼于本镇经济发展的潜力和经济特色，实现本镇经济的跨越式发展。着力发展税源经济。进一步加强社区服务中心建设，立足社区、面向居民，大力发展与群众生活密切相关的餐饮、娱乐、中介、家政等社区服务型经济。加大招商引资力度。深入开展“五个一活动”即：为发展经济提供一条信息，介绍一个项目，引进一项技术，引进一名人才，引进一笔资金。做到人人有任务，个个有指标，加大招商引资力度，为全镇经济赢得新发展而努力。</w:t>
      </w:r>
    </w:p>
    <w:p>
      <w:pPr>
        <w:widowControl/>
        <w:spacing w:line="570" w:lineRule="exact"/>
        <w:ind w:firstLine="643" w:firstLineChars="2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九州镇人民政府是广阳区人民政府的派出机关，受广阳区人民政府领导，依据法律、法规、规章的规定，对本镇村街服务、经济发展、社会治安、两个文明建设等方面工作行使组织领导、综合协调、监督检查的职能。对镇内社会性、地区性、公益性、群众性工作负总责。具体职责是：</w:t>
      </w:r>
    </w:p>
    <w:p>
      <w:pPr>
        <w:autoSpaceDE w:val="0"/>
        <w:autoSpaceDN w:val="0"/>
        <w:adjustRightInd w:val="0"/>
        <w:spacing w:line="570" w:lineRule="exact"/>
        <w:ind w:left="198" w:firstLine="960" w:firstLineChars="3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1、在镇委、镇政府的统一领导下，行使区人民政府赋予的权力，负责本镇的行政管理工作。</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2、宣传和执行党的路线、方针、政策和国家的法律、法规，开展多种形式的政治文明建设、物质文明、精神文明、生态文明建设活动。</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3、积极开展软环境建设和规范化服务型政府建设，推动本镇经济加快发展、科学发展，提升本镇经济实力。</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4、对本镇的经济发展、社会治安、两个文明建设等方面的工作，行使组织领导、综合协调、监督检查的职能。</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5、负责基层组织建设，指导、帮助村街群众自治组织开展工作，推动村街民主自治。</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   6、落实人口计划指标，加强流动人口的计划生育管理工作，搞好计划生育工作。</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7、负责本镇的环境卫生、园林绿化和生态建设等项管理工作和环境整治工作。</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8、加强社会治安综合治理，开展平安创建工作，维护政治稳定和社会安定。</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9、承办上级政府交办的其它工作</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二、实现年度发展规划目标的保障措施</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2018年，我镇将在区委、区政府的正确领导下，在各级各部门的大力支持下，继续坚持以科学发展观为指导，紧紧围绕“壮大三产服务业，培育新兴产业群，加快城乡一体化，建设和谐主城区”的全区总体要求，进一步解放思想，凝心聚力，攻坚克难，脚踏实地的开展各项工作，推动全镇经济社会更好更快发展。</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一）强化服务功能，多为群众办好事、办实事。改进便民服务中心服务手段，提高服务水平。利用部门集中办公的优势，发挥“中心”的协调作用，切实解决群众及企业反映的实际问题。完善制度，提高监控，规范内部管理。继续坚持以制度管人、引导人。对中心《日常管理制度》、《文明服务用语》、《日常行为规范》、《工作考核办法》等制度进行全面修订和完善，加强对窗口部门工作人员出勤、执勤、工作态度、服务质量等方面的监督和检查，做到“门好进，脸好看，事好办”。</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二）做到勤政廉政，树立务实清廉良好形象。我们深入贯彻习近平总书记系列讲话重要精神，进一步落实中央纪委部署，对镇、村干部进行再提醒、再警醒、再要求，务必严守“八项规定”，坚决反对“四风”，防微杜渐、警钟长鸣。先后组织镇、村党员干部学习了《中国共产党纪律处分条例》、</w:t>
      </w:r>
      <w:r>
        <w:rPr>
          <w:rFonts w:hint="eastAsia" w:ascii="仿宋_GB2312" w:eastAsia="仿宋_GB2312" w:cs="宋体"/>
          <w:color w:val="000000"/>
          <w:kern w:val="0"/>
          <w:sz w:val="32"/>
          <w:szCs w:val="32"/>
          <w:lang w:eastAsia="zh-CN"/>
        </w:rPr>
        <w:t>《中国共产党廉洁自律准则》</w:t>
      </w:r>
      <w:r>
        <w:rPr>
          <w:rFonts w:hint="eastAsia" w:ascii="仿宋_GB2312" w:eastAsia="仿宋_GB2312" w:cs="宋体"/>
          <w:color w:val="000000"/>
          <w:kern w:val="0"/>
          <w:sz w:val="32"/>
          <w:szCs w:val="32"/>
        </w:rPr>
        <w:t>教育和引导党员干部树立共产主义信念，切实提高广大党员干部责任意识、纪律意识和拒腐防变能力，做遵守廉洁自律的表率,认真遵照制度办事，树立为民、务实、清廉的良好形象。党委机关多次召开班子会议强调作风问题。同时加大对村街重大事项的管理力度，设立“三资”管理中心，规范集体资金的使用，防止贪污腐败现象的发生，切实保护村街集体利益。</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三）加大招商引资，促全镇经济快速发展。始终将招商项目的落实工作作为招商引资工作的出发点和落脚点，加强项目管理，建立招商引资重点项目领导责任制，坚持“谁分包，谁负责，谁协调，谁落实”的原则，推动各类项目的建设进度，随时掌握项目进展情况，尤其是重点项目进行定期不定期跟踪，协调解决项目建设中遇到的各种困难和问题，加快项目建设进度，切实保护投资者的合法权益，同时进一步加大基础设施建设投入，着力培育优美的硬环境，促进经济指标提升。</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四）联系走访群众，促进干群关系和谐。倾听百姓呼声，解决实际问题。要求包村干部每周必须不少于3天在村街工作，包村街领导、干部对群众进行走访，对群众关心的热点、难点问题广泛听取意见和建议，将群众关心的生产生活问题摆到桌面上分析解决。</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p>
    <w:p>
      <w:pPr>
        <w:widowControl/>
        <w:spacing w:line="570" w:lineRule="exac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部门职责-工作活动绩效目标</w:t>
      </w:r>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912廊坊市广阳区九州镇</w:t>
            </w:r>
          </w:p>
        </w:tc>
        <w:tc>
          <w:tcPr>
            <w:tcW w:w="2948" w:type="dxa"/>
            <w:gridSpan w:val="4"/>
            <w:tcBorders>
              <w:top w:val="single" w:color="FFFFFF" w:sz="6" w:space="0"/>
              <w:left w:val="single" w:color="FFFFFF" w:sz="6" w:space="0"/>
              <w:right w:val="single" w:color="FFFFFF" w:sz="6" w:space="0"/>
              <w:tl2br w:val="nil"/>
              <w:tr2bl w:val="nil"/>
            </w:tcBorders>
            <w:shd w:val="clear" w:color="auto" w:fill="auto"/>
            <w:vAlign w:val="center"/>
          </w:tcPr>
          <w:p>
            <w:pPr>
              <w:spacing w:line="570" w:lineRule="exact"/>
              <w:jc w:val="right"/>
              <w:rPr>
                <w:rFonts w:ascii="仿宋_GB2312" w:eastAsia="仿宋_GB2312" w:cs="宋体"/>
                <w:color w:val="000000"/>
                <w:kern w:val="0"/>
                <w:sz w:val="32"/>
                <w:szCs w:val="32"/>
              </w:rPr>
            </w:pPr>
            <w:r>
              <w:rPr>
                <w:rFonts w:hint="eastAsia" w:ascii="仿宋_GB2312" w:eastAsia="仿宋_GB2312" w:cs="宋体"/>
                <w:color w:val="000000"/>
                <w:kern w:val="0"/>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职责活动</w:t>
            </w:r>
          </w:p>
        </w:tc>
        <w:tc>
          <w:tcPr>
            <w:tcW w:w="1276" w:type="dxa"/>
            <w:vMerge w:val="restart"/>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年度预算数</w:t>
            </w:r>
          </w:p>
        </w:tc>
        <w:tc>
          <w:tcPr>
            <w:tcW w:w="2976" w:type="dxa"/>
            <w:vMerge w:val="restart"/>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内容描述</w:t>
            </w:r>
          </w:p>
        </w:tc>
        <w:tc>
          <w:tcPr>
            <w:tcW w:w="2976" w:type="dxa"/>
            <w:vMerge w:val="restart"/>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绩效目标</w:t>
            </w:r>
          </w:p>
        </w:tc>
        <w:tc>
          <w:tcPr>
            <w:tcW w:w="1417" w:type="dxa"/>
            <w:vMerge w:val="restart"/>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绩效指标</w:t>
            </w:r>
          </w:p>
        </w:tc>
        <w:tc>
          <w:tcPr>
            <w:tcW w:w="2948" w:type="dxa"/>
            <w:gridSpan w:val="4"/>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vMerge w:val="continue"/>
            <w:tcBorders>
              <w:tl2br w:val="nil"/>
              <w:tr2bl w:val="nil"/>
            </w:tcBorders>
            <w:shd w:val="clear" w:color="auto" w:fill="auto"/>
            <w:vAlign w:val="center"/>
          </w:tc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优</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良</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中</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一、政务服务</w:t>
            </w:r>
          </w:p>
        </w:tc>
        <w:tc>
          <w:tcPr>
            <w:tcW w:w="12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36.62</w:t>
            </w:r>
          </w:p>
        </w:tc>
        <w:tc>
          <w:tcPr>
            <w:tcW w:w="29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政务公开、镇政府、街办处会议管理、督察督办、政务联络等工作。</w:t>
            </w:r>
          </w:p>
        </w:tc>
        <w:tc>
          <w:tcPr>
            <w:tcW w:w="29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突出政务、加强事务、提升服务，力求重点工作出精品，难点工作求突破、基础工作有创新、常规工作见特色。以机关干部作风量化指标为依据，增强了工作综合服务实力。</w:t>
            </w: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1、政务公开</w:t>
            </w:r>
          </w:p>
        </w:tc>
        <w:tc>
          <w:tcPr>
            <w:tcW w:w="12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承担镇、街办处政务公开暨行政权力公开透明运行工作领导小组的日常工作，指导和协调全镇政务公开及政务服务中心建设、推进行政服务体系标准化建设工作。</w:t>
            </w:r>
          </w:p>
        </w:tc>
        <w:tc>
          <w:tcPr>
            <w:tcW w:w="29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通过完成乡镇政务信息公开工作的指导监督工作，使全乡镇信息公开业务队伍素质不断提高，业务水平进一步提升；政府政务信息公开范围不断扩大，公开内容得到进一步细化。</w:t>
            </w: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政务公开率</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政务公开次数</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政务公开内容</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2、政务联络</w:t>
            </w:r>
          </w:p>
        </w:tc>
        <w:tc>
          <w:tcPr>
            <w:tcW w:w="12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负责管理县政府驻外办事处工作。负责县领导、县有关部门公务活动的接待安排；</w:t>
            </w:r>
          </w:p>
        </w:tc>
        <w:tc>
          <w:tcPr>
            <w:tcW w:w="29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做好区际间与本乡镇政务往来服务保障工作</w:t>
            </w: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重大活动联络服务工作完成率</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重大会议的协调安保工作完成率</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重大会议的内容完成情况</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对外联络任务完成次数</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对外联络任务完成程度</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对外联络任务效果</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3、会议管理</w:t>
            </w:r>
          </w:p>
        </w:tc>
        <w:tc>
          <w:tcPr>
            <w:tcW w:w="12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政府会议的准备和服务工作，协助政府领导组织会议决定事项的落实。</w:t>
            </w:r>
          </w:p>
        </w:tc>
        <w:tc>
          <w:tcPr>
            <w:tcW w:w="29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做好村街会议保障；严格召开的会议审批，控制会议费开支规模。</w:t>
            </w: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大型会议控制率</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重大会议的协调安保工作完成率</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大型会议执行度</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4、督查督办</w:t>
            </w:r>
          </w:p>
        </w:tc>
        <w:tc>
          <w:tcPr>
            <w:tcW w:w="12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36.62</w:t>
            </w:r>
          </w:p>
        </w:tc>
        <w:tc>
          <w:tcPr>
            <w:tcW w:w="29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督促检查街道各部门对政府决定事项及政府领导重要指示的执行落实情况并跟踪调研，及时向领导报告。组织承办人大代表和政协提案工作。</w:t>
            </w:r>
          </w:p>
        </w:tc>
        <w:tc>
          <w:tcPr>
            <w:tcW w:w="29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确保村街决定事项及村街领导重要指示得到贯彻落实。</w:t>
            </w: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决策部署督查反馈率</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督察督办次数</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督察督办程度</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二、应急管理</w:t>
            </w:r>
          </w:p>
        </w:tc>
        <w:tc>
          <w:tcPr>
            <w:tcW w:w="12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基层政府值班工作，及时报告重要情况，传达和督促落实镇政府领导指示。协助镇政府领导做好需由基层政府组织处理的突发事件应急处置工作。</w:t>
            </w:r>
          </w:p>
        </w:tc>
        <w:tc>
          <w:tcPr>
            <w:tcW w:w="29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w:t>
            </w: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1、应急管理</w:t>
            </w:r>
          </w:p>
        </w:tc>
        <w:tc>
          <w:tcPr>
            <w:tcW w:w="12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政府值班工作，及时报告重要情况，传达和督促落实镇政府领导指示。协助镇政府领导做好需由镇政府组织处理的突发事件应急处置工作。</w:t>
            </w:r>
          </w:p>
        </w:tc>
        <w:tc>
          <w:tcPr>
            <w:tcW w:w="29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维护好本地政府应急平台，确保乡镇应急工作顺利完成；各类突发事件得到及时妥善处置</w:t>
            </w: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突发事件处理率</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突发事件处理程度</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突发事件处理效果</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三、残疾人综合业务管理</w:t>
            </w:r>
          </w:p>
        </w:tc>
        <w:tc>
          <w:tcPr>
            <w:tcW w:w="12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对持证残疾人需求情况进行调查，对残疾人状况进行动态监测，加强和规范残疾人基层组织建设，加大残疾人就业保障金的征收力度，加强残疾人工作信息化建设和基础研究</w:t>
            </w:r>
          </w:p>
        </w:tc>
        <w:tc>
          <w:tcPr>
            <w:tcW w:w="29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摸清残疾人底数，增强基层服务残疾人的能力，确保残疾人就业保障金的稳定增收；构建残疾人公共服务网络化平台。</w:t>
            </w: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1、综合业务管理</w:t>
            </w:r>
          </w:p>
        </w:tc>
        <w:tc>
          <w:tcPr>
            <w:tcW w:w="12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设施设备运转保障、残疾人组织建设、工作信息化建设等项工作</w:t>
            </w:r>
          </w:p>
        </w:tc>
        <w:tc>
          <w:tcPr>
            <w:tcW w:w="29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发挥专门协会桥梁纽带作用，联系广大残疾人；提高残疾人证办证率；增强基层服务残疾人的能力；保障正常运转，促进残疾人事业发展。</w:t>
            </w: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专门活动</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已开展活动</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人员情况调查</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四、维护妇女儿童合法权益促进妇女儿童发展</w:t>
            </w:r>
          </w:p>
        </w:tc>
        <w:tc>
          <w:tcPr>
            <w:tcW w:w="12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关注并加强研究涉及妇女切身利益的热点、难点问题，及时向镇委和镇政府反映社情民意，提出对策建议。</w:t>
            </w:r>
          </w:p>
        </w:tc>
        <w:tc>
          <w:tcPr>
            <w:tcW w:w="29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妇女综合素质和发展能力有较大提升。妇女儿童合法权益得到有效维护，男女平等基本国策宣传进一步深入人心。</w:t>
            </w: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1、维权服务</w:t>
            </w:r>
          </w:p>
        </w:tc>
        <w:tc>
          <w:tcPr>
            <w:tcW w:w="12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关注并加强研究涉及妇女切身利益的热点、难点问题，及时向县委和县政府反映社情民意，提出对策建议；参与有关妇女儿童政策和法律、法规草案的拟定，从源头上强化维护妇女儿童合法权益工作。</w:t>
            </w:r>
          </w:p>
        </w:tc>
        <w:tc>
          <w:tcPr>
            <w:tcW w:w="29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帮助权益受到侵害的妇女儿童解决困难和问题，提高广大妇女儿童的维权意识和维权能力，维护妇女儿童合法权益；规范妇女信访秩序，促进社会和谐稳定。</w:t>
            </w: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答复妇女来电来访情况</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妇女信访代理工作开展情况</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法律援助妇女侵权案件办理情况</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五、工会事务管理</w:t>
            </w:r>
          </w:p>
        </w:tc>
        <w:tc>
          <w:tcPr>
            <w:tcW w:w="12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研究指导全镇工会自身建设；承担镇委、镇政府及全国总工会交办的其他事项。</w:t>
            </w:r>
          </w:p>
        </w:tc>
        <w:tc>
          <w:tcPr>
            <w:tcW w:w="29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加强组织和干部队伍建设，提高干部业务素质和大型企事业单位工会领导干部水平，促进工会事业发展。</w:t>
            </w: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1、综合事务管理</w:t>
            </w:r>
          </w:p>
        </w:tc>
        <w:tc>
          <w:tcPr>
            <w:tcW w:w="12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研究指导全镇工会自身改革和建设；负责工会干部管理制度和培训规划制定以及培训工作；承担镇委、镇政府及全国总工会交办的其他事项。</w:t>
            </w:r>
          </w:p>
        </w:tc>
        <w:tc>
          <w:tcPr>
            <w:tcW w:w="29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切实提高工会综合事务管理水平，保障单位的正常运转</w:t>
            </w: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综合事务保障率</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职工定期活动率</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对困难职工关注率</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六、团委事务管理</w:t>
            </w:r>
          </w:p>
        </w:tc>
        <w:tc>
          <w:tcPr>
            <w:tcW w:w="12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负责团委综合业务管理。</w:t>
            </w:r>
          </w:p>
        </w:tc>
        <w:tc>
          <w:tcPr>
            <w:tcW w:w="29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年度工作任务圆满完成，促进共青团事业发展。</w:t>
            </w: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1、综合业务管理</w:t>
            </w:r>
          </w:p>
        </w:tc>
        <w:tc>
          <w:tcPr>
            <w:tcW w:w="12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参与制定全镇的青少年事业发展规划和青少年工作方针、政策;承担镇委、镇政府和团中央交办的有关事项。</w:t>
            </w:r>
          </w:p>
        </w:tc>
        <w:tc>
          <w:tcPr>
            <w:tcW w:w="29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高质量完成全镇青少年发展规划和方针政策的制定，圆满完成省委、省政府和团中央交办的各项任务。</w:t>
            </w: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综合业务完成率</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青少年团员率</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青少年团员定期活动率</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七、宣传事务管理</w:t>
            </w:r>
          </w:p>
        </w:tc>
        <w:tc>
          <w:tcPr>
            <w:tcW w:w="12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负责系统综合业务管理和机关综合事务管理。</w:t>
            </w:r>
          </w:p>
        </w:tc>
        <w:tc>
          <w:tcPr>
            <w:tcW w:w="29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确保各项业务工作谋划到位、顺利开展。保障机关工作正常高效运转。</w:t>
            </w: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1、综合业务管理</w:t>
            </w:r>
          </w:p>
        </w:tc>
        <w:tc>
          <w:tcPr>
            <w:tcW w:w="12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开展宣传文化业务管理，加强政策业务宣传等。</w:t>
            </w:r>
          </w:p>
        </w:tc>
        <w:tc>
          <w:tcPr>
            <w:tcW w:w="29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确保各项业务工作谋划到位、顺利开展。</w:t>
            </w: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重点工作督察督办数</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重点工作宣传次数</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重点工作宣传内容办数</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八、选举和任免</w:t>
            </w:r>
          </w:p>
        </w:tc>
        <w:tc>
          <w:tcPr>
            <w:tcW w:w="12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检查监督代表法、选举法及其实施办法的贯彻实施；承担人大换届选举及人事任免服务工作；负责对镇政府组成人员主要负责人的目标责任书、述职报告的督办工作。</w:t>
            </w:r>
          </w:p>
        </w:tc>
        <w:tc>
          <w:tcPr>
            <w:tcW w:w="29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根据工作需要和镇委的建议，在充分酝酿和审议的基础上，选举产生一府两院的领导成员，确保选出能力突出、责任心强、有开拓精神的同志担任。2、为确保有关选举的法律法规符合实际，在充分考察调研的基础上，实施对其进行修改。3、对镇政府组成人员主要负责人进行目标责任监督，确保依法履行职责，完成目标任务。</w:t>
            </w: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1、换届选举及人事任免</w:t>
            </w:r>
          </w:p>
        </w:tc>
        <w:tc>
          <w:tcPr>
            <w:tcW w:w="12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承担镇人大换届选举、镇领导人的选举和常委会人事任免的服务工作；指导镇人大换届选举工作；负责对镇政府组成人员和镇人民法院、镇人民检察院主要负责人的目标责任书、述职报告的督办工作。</w:t>
            </w:r>
          </w:p>
        </w:tc>
        <w:tc>
          <w:tcPr>
            <w:tcW w:w="29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确保镇镇人大换届选举工作顺利完成，提高组织换届选举工作水平；高质量完成机关领导人选举和常委会人事任免服务工作；高效督办有关部门负责人的目标责任书和述职报告。</w:t>
            </w: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调研计划完成率</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巡视工作完成率</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组织系统互联网建设率</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九、电子政务管理</w:t>
            </w:r>
          </w:p>
        </w:tc>
        <w:tc>
          <w:tcPr>
            <w:tcW w:w="12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政务信息服务工作和政府系统机关电子政务工作。</w:t>
            </w:r>
          </w:p>
        </w:tc>
        <w:tc>
          <w:tcPr>
            <w:tcW w:w="29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确保各类会议顺利进行；保障街道网络系统安全、稳定运行，技术设备安全可用。严格执行会议技术保障服务流程和电视电话会议室管理制度。切实提高技术保障和服务能力，力争领导满意、群众满意、部门满意。</w:t>
            </w: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1、政府电子政务管理与服务</w:t>
            </w:r>
          </w:p>
        </w:tc>
        <w:tc>
          <w:tcPr>
            <w:tcW w:w="12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政务信息服务工作和政府系统机关电子政务工作。</w:t>
            </w:r>
          </w:p>
        </w:tc>
        <w:tc>
          <w:tcPr>
            <w:tcW w:w="29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确保各类会议顺利进行；保障村街网络系统安全、稳定运行，技术设备安全可用</w:t>
            </w: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网站事故次数</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网站内容</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网站作用</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十、地方志事务</w:t>
            </w:r>
          </w:p>
        </w:tc>
        <w:tc>
          <w:tcPr>
            <w:tcW w:w="12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全街道地方志事务管理。</w:t>
            </w:r>
          </w:p>
        </w:tc>
        <w:tc>
          <w:tcPr>
            <w:tcW w:w="29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弘扬和传承优秀文化传统，充分发挥志书“资政、存史、教化”的综合功能，为社会各界方便快捷提供县情，为本县经济社会建设服务，为地方志工作者提供资料和工具。</w:t>
            </w: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1、地方志事务管理</w:t>
            </w:r>
          </w:p>
        </w:tc>
        <w:tc>
          <w:tcPr>
            <w:tcW w:w="12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拟订全街道地方志工作规划并组织实施；搜集、保存、管理地方文献和资料；组织开发利用地方志资源；建设和维护街道地方志县情网络。</w:t>
            </w:r>
          </w:p>
        </w:tc>
        <w:tc>
          <w:tcPr>
            <w:tcW w:w="29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为社会各界方便快捷提供村街情，为经济社会建设服务</w:t>
            </w: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编印差错率</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真实程度</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影响范围</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十一、街道政务管理</w:t>
            </w:r>
          </w:p>
        </w:tc>
        <w:tc>
          <w:tcPr>
            <w:tcW w:w="12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按照有关要求，做好机关办公区房屋与附属设施的维修、维护工作；做好机关办公区绿化、美化工作；做好后勤保障和老干部管理服务工作。</w:t>
            </w:r>
          </w:p>
        </w:tc>
        <w:tc>
          <w:tcPr>
            <w:tcW w:w="29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以服务领导和机关保障有力为目标，增强了优质后勤管理水平，通过加强公车管理，降低运行成本，为创建节约型机关打下了良好的基础。采取保障街道领导和机关工作办公环境的措施，提升了服务管理水平，保障了街道和机关工作的正常运转。及时了解国内外形势、党和国家的方针政策以及街道办公室的重要部署和要求，及时为老干部提供优质高效服务。</w:t>
            </w: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1、综合业务管理</w:t>
            </w:r>
          </w:p>
        </w:tc>
        <w:tc>
          <w:tcPr>
            <w:tcW w:w="12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协助街道领导组织起草或审核上报区政府以及以街道办公室名义发布的公文；办理街道各部门和下级政府报送的文电；对街道部门间出现的争议问题提出处理意见；组织起草街道领导重要讲话及其他重要文稿；组织专题调研；承办街道领导交办的其他事项。</w:t>
            </w:r>
          </w:p>
        </w:tc>
        <w:tc>
          <w:tcPr>
            <w:tcW w:w="29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十二、建设与环保政务管理</w:t>
            </w:r>
          </w:p>
        </w:tc>
        <w:tc>
          <w:tcPr>
            <w:tcW w:w="12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负责环境保护系统综合业务管理和机关综合事务管理。</w:t>
            </w:r>
          </w:p>
        </w:tc>
        <w:tc>
          <w:tcPr>
            <w:tcW w:w="2976"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加强城乡建设与环保保护管理工作。</w:t>
            </w: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1、综合业务管理</w:t>
            </w:r>
          </w:p>
        </w:tc>
        <w:tc>
          <w:tcPr>
            <w:tcW w:w="12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p>
        </w:tc>
        <w:tc>
          <w:tcPr>
            <w:tcW w:w="29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加强污染治理技术研究及推广、排污费征收管理及环保专项资金使用。完善环保公共服务体系，加强环保创新能力，加大重点实验室及环境监测、监察的建设力度。</w:t>
            </w:r>
          </w:p>
        </w:tc>
        <w:tc>
          <w:tcPr>
            <w:tcW w:w="2976" w:type="dxa"/>
            <w:vMerge w:val="restart"/>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加强全省住房城镇建设人才队伍建设，提高人才业务素质，激励工作热情，提高行业水平</w:t>
            </w: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保障各项业务工作畅通</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工作完成率</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57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工作完成进度</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737" w:type="dxa"/>
            <w:tcBorders>
              <w:tl2br w:val="nil"/>
              <w:tr2bl w:val="nil"/>
            </w:tcBorders>
            <w:shd w:val="clear" w:color="auto" w:fill="auto"/>
            <w:vAlign w:val="center"/>
          </w:tcPr>
          <w:p>
            <w:pPr>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bl>
    <w:p>
      <w:pPr>
        <w:widowControl/>
        <w:spacing w:line="570" w:lineRule="exact"/>
        <w:ind w:firstLine="320" w:firstLineChars="100"/>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spacing w:line="570" w:lineRule="exact"/>
        <w:outlineLvl w:val="0"/>
        <w:rPr>
          <w:rFonts w:ascii="黑体" w:eastAsia="黑体" w:cs="宋体"/>
          <w:b/>
          <w:bCs/>
          <w:color w:val="000000"/>
          <w:kern w:val="0"/>
          <w:sz w:val="32"/>
          <w:szCs w:val="32"/>
        </w:rPr>
      </w:pPr>
    </w:p>
    <w:p>
      <w:pPr>
        <w:spacing w:line="570" w:lineRule="exact"/>
        <w:outlineLvl w:val="0"/>
        <w:rPr>
          <w:rFonts w:ascii="仿宋_GB2312" w:eastAsia="仿宋_GB2312" w:cs="宋体"/>
          <w:color w:val="000000"/>
          <w:kern w:val="0"/>
          <w:sz w:val="32"/>
          <w:szCs w:val="32"/>
        </w:rPr>
      </w:pP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年，我部门无安排政府采购预算</w:t>
      </w:r>
    </w:p>
    <w:tbl>
      <w:tblPr>
        <w:tblStyle w:val="4"/>
        <w:tblW w:w="137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68"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left"/>
              <w:rPr>
                <w:rFonts w:ascii="仿宋_GB2312" w:eastAsia="仿宋_GB2312" w:cs="Times New Roman"/>
                <w:sz w:val="28"/>
                <w:szCs w:val="28"/>
              </w:rPr>
            </w:pPr>
          </w:p>
          <w:p>
            <w:pPr>
              <w:spacing w:line="570" w:lineRule="exact"/>
              <w:jc w:val="left"/>
              <w:rPr>
                <w:rFonts w:ascii="仿宋_GB2312" w:eastAsia="仿宋_GB2312" w:cs="Times New Roman"/>
                <w:sz w:val="28"/>
                <w:szCs w:val="28"/>
              </w:rPr>
            </w:pPr>
            <w:r>
              <w:rPr>
                <w:rFonts w:hint="eastAsia" w:ascii="仿宋_GB2312" w:eastAsia="仿宋_GB2312" w:cs="Times New Roman"/>
                <w:sz w:val="28"/>
                <w:szCs w:val="28"/>
              </w:rPr>
              <w:t>912-廊坊市广阳区</w:t>
            </w:r>
            <w:r>
              <w:rPr>
                <w:rFonts w:ascii="仿宋_GB2312" w:eastAsia="仿宋_GB2312" w:cs="Times New Roman"/>
                <w:sz w:val="28"/>
                <w:szCs w:val="28"/>
              </w:rPr>
              <w:t>九州镇人民政府</w:t>
            </w:r>
          </w:p>
        </w:tc>
        <w:tc>
          <w:tcPr>
            <w:tcW w:w="5793"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83" w:type="dxa"/>
            <w:gridSpan w:val="2"/>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1327"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856"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5793" w:type="dxa"/>
            <w:gridSpan w:val="7"/>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0"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1013"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4156" w:type="dxa"/>
            <w:gridSpan w:val="5"/>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78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70" w:type="dxa"/>
            <w:vMerge w:val="continue"/>
            <w:shd w:val="clear" w:color="auto" w:fill="auto"/>
            <w:vAlign w:val="center"/>
          </w:tcPr>
          <w:p/>
        </w:tc>
        <w:tc>
          <w:tcPr>
            <w:tcW w:w="1013" w:type="dxa"/>
            <w:vMerge w:val="continue"/>
            <w:shd w:val="clear" w:color="auto" w:fill="auto"/>
            <w:vAlign w:val="center"/>
          </w:tcP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continue"/>
            <w:shd w:val="clear" w:color="auto" w:fill="auto"/>
            <w:vAlign w:val="center"/>
          </w:tcPr>
          <w:p/>
        </w:tc>
        <w:tc>
          <w:tcPr>
            <w:tcW w:w="853"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853"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776"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837"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837"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784"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1013"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1327"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56"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776"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784" w:type="dxa"/>
            <w:shd w:val="clear" w:color="auto" w:fill="auto"/>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shd w:val="clear" w:color="auto" w:fill="auto"/>
            <w:vAlign w:val="center"/>
          </w:tcPr>
          <w:p>
            <w:pPr>
              <w:spacing w:line="570" w:lineRule="exact"/>
              <w:jc w:val="center"/>
              <w:rPr>
                <w:rFonts w:ascii="仿宋_GB2312" w:eastAsia="仿宋_GB2312" w:cs="Times New Roman"/>
                <w:b/>
                <w:sz w:val="28"/>
                <w:szCs w:val="28"/>
              </w:rPr>
            </w:pPr>
          </w:p>
        </w:tc>
        <w:tc>
          <w:tcPr>
            <w:tcW w:w="1013"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1327"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56"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776"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784" w:type="dxa"/>
            <w:shd w:val="clear" w:color="auto" w:fill="auto"/>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shd w:val="clear" w:color="auto" w:fill="auto"/>
            <w:vAlign w:val="center"/>
          </w:tcPr>
          <w:p>
            <w:pPr>
              <w:spacing w:line="570" w:lineRule="exact"/>
              <w:jc w:val="center"/>
              <w:rPr>
                <w:rFonts w:ascii="仿宋_GB2312" w:eastAsia="仿宋_GB2312" w:cs="Times New Roman"/>
                <w:sz w:val="28"/>
                <w:szCs w:val="28"/>
              </w:rPr>
            </w:pPr>
          </w:p>
        </w:tc>
        <w:tc>
          <w:tcPr>
            <w:tcW w:w="1013"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1327"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56"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776"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784" w:type="dxa"/>
            <w:shd w:val="clear" w:color="auto" w:fill="auto"/>
            <w:vAlign w:val="center"/>
          </w:tcPr>
          <w:p>
            <w:pPr>
              <w:spacing w:line="570" w:lineRule="exact"/>
              <w:jc w:val="center"/>
              <w:rPr>
                <w:rFonts w:ascii="仿宋_GB2312" w:eastAsia="仿宋_GB2312" w:cs="Times New Roman"/>
                <w:sz w:val="28"/>
                <w:szCs w:val="28"/>
              </w:rPr>
            </w:pPr>
          </w:p>
        </w:tc>
      </w:tr>
    </w:tbl>
    <w:p>
      <w:pPr>
        <w:spacing w:line="570" w:lineRule="exact"/>
        <w:outlineLvl w:val="0"/>
        <w:rPr>
          <w:rFonts w:ascii="仿宋_GB2312" w:eastAsia="仿宋_GB2312" w:cs="宋体"/>
          <w:color w:val="000000"/>
          <w:kern w:val="0"/>
          <w:sz w:val="32"/>
          <w:szCs w:val="32"/>
        </w:rPr>
      </w:pPr>
    </w:p>
    <w:p>
      <w:pPr>
        <w:widowControl/>
        <w:spacing w:line="570" w:lineRule="exact"/>
        <w:ind w:left="161" w:hanging="161" w:hangingChars="50"/>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广阳区九州镇人民政府</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上年末固定资产金额为</w:t>
      </w:r>
      <w:r>
        <w:rPr>
          <w:rFonts w:ascii="仿宋_GB2312" w:eastAsia="仿宋_GB2312" w:cs="宋体"/>
          <w:color w:val="000000"/>
          <w:kern w:val="0"/>
          <w:sz w:val="32"/>
          <w:szCs w:val="32"/>
        </w:rPr>
        <w:t>691.4113</w:t>
      </w:r>
      <w:r>
        <w:rPr>
          <w:rFonts w:hint="eastAsia" w:ascii="仿宋_GB2312" w:eastAsia="仿宋_GB2312" w:cs="宋体"/>
          <w:color w:val="000000"/>
          <w:kern w:val="0"/>
          <w:sz w:val="32"/>
          <w:szCs w:val="32"/>
        </w:rPr>
        <w:t>万元，我部门本年度无拟购置固定资产，详见下表。</w:t>
      </w:r>
    </w:p>
    <w:tbl>
      <w:tblPr>
        <w:tblStyle w:val="4"/>
        <w:tblW w:w="10400" w:type="dxa"/>
        <w:jc w:val="center"/>
        <w:tblCellSpacing w:w="0" w:type="dxa"/>
        <w:tblLayout w:type="fixed"/>
        <w:tblCellMar>
          <w:top w:w="0" w:type="dxa"/>
          <w:left w:w="0" w:type="dxa"/>
          <w:bottom w:w="0" w:type="dxa"/>
          <w:right w:w="0" w:type="dxa"/>
        </w:tblCellMar>
      </w:tblPr>
      <w:tblGrid>
        <w:gridCol w:w="4025"/>
        <w:gridCol w:w="2585"/>
        <w:gridCol w:w="3790"/>
      </w:tblGrid>
      <w:tr>
        <w:tblPrEx>
          <w:tblCellMar>
            <w:top w:w="0" w:type="dxa"/>
            <w:left w:w="0" w:type="dxa"/>
            <w:bottom w:w="0" w:type="dxa"/>
            <w:right w:w="0" w:type="dxa"/>
          </w:tblCellMar>
        </w:tblPrEx>
        <w:trPr>
          <w:trHeight w:val="705" w:hRule="atLeast"/>
          <w:tblCellSpacing w:w="0" w:type="dxa"/>
          <w:jc w:val="center"/>
        </w:trPr>
        <w:tc>
          <w:tcPr>
            <w:tcW w:w="10400" w:type="dxa"/>
            <w:gridSpan w:val="3"/>
            <w:noWrap/>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610" w:type="dxa"/>
            <w:gridSpan w:val="2"/>
            <w:noWrap/>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编制部门：912</w:t>
            </w:r>
            <w:r>
              <w:rPr>
                <w:rFonts w:hint="eastAsia" w:ascii="仿宋_GB2312" w:eastAsia="仿宋_GB2312" w:cs="宋体"/>
                <w:b/>
                <w:bCs/>
                <w:kern w:val="0"/>
                <w:sz w:val="28"/>
                <w:szCs w:val="28"/>
              </w:rPr>
              <w:t>廊坊市广阳区</w:t>
            </w:r>
            <w:r>
              <w:rPr>
                <w:rFonts w:ascii="仿宋_GB2312" w:eastAsia="仿宋_GB2312" w:cs="宋体"/>
                <w:b/>
                <w:bCs/>
                <w:kern w:val="0"/>
                <w:sz w:val="28"/>
                <w:szCs w:val="28"/>
              </w:rPr>
              <w:t>九州镇人民政府</w:t>
            </w:r>
          </w:p>
        </w:tc>
        <w:tc>
          <w:tcPr>
            <w:tcW w:w="3790" w:type="dxa"/>
            <w:noWrap/>
            <w:vAlign w:val="center"/>
          </w:tcPr>
          <w:p>
            <w:pPr>
              <w:widowControl/>
              <w:spacing w:line="570" w:lineRule="exact"/>
              <w:jc w:val="center"/>
              <w:rPr>
                <w:rFonts w:ascii="宋体" w:hAnsi="宋体" w:eastAsia="仿宋_GB2312" w:cs="宋体"/>
                <w:kern w:val="0"/>
                <w:sz w:val="28"/>
                <w:szCs w:val="28"/>
              </w:rPr>
            </w:pPr>
            <w:r>
              <w:rPr>
                <w:rFonts w:hint="eastAsia" w:ascii="仿宋_GB2312" w:eastAsia="仿宋_GB2312" w:cs="宋体"/>
                <w:kern w:val="0"/>
                <w:sz w:val="28"/>
                <w:szCs w:val="28"/>
              </w:rPr>
              <w:t>截止时间：201</w:t>
            </w:r>
            <w:r>
              <w:rPr>
                <w:rFonts w:ascii="仿宋_GB2312" w:eastAsia="仿宋_GB2312" w:cs="宋体"/>
                <w:kern w:val="0"/>
                <w:sz w:val="28"/>
                <w:szCs w:val="28"/>
              </w:rPr>
              <w:t>7</w:t>
            </w:r>
            <w:r>
              <w:rPr>
                <w:rFonts w:hint="eastAsia" w:ascii="仿宋_GB2312" w:eastAsia="仿宋_GB2312" w:cs="宋体"/>
                <w:kern w:val="0"/>
                <w:sz w:val="28"/>
                <w:szCs w:val="28"/>
              </w:rPr>
              <w:t>年12月31日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691.4113</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10455</w:t>
            </w: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490.0411</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10455</w:t>
            </w: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490.0411</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3</w:t>
            </w: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38.25</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宋体" w:hAnsi="宋体"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163.1202</w:t>
            </w:r>
          </w:p>
        </w:tc>
      </w:tr>
    </w:tbl>
    <w:p>
      <w:pPr>
        <w:pStyle w:val="7"/>
        <w:spacing w:line="570" w:lineRule="exact"/>
        <w:rPr>
          <w:rFonts w:ascii="黑体" w:eastAsia="黑体" w:cs="宋体"/>
          <w:b/>
          <w:bCs/>
          <w:sz w:val="32"/>
          <w:szCs w:val="32"/>
        </w:rPr>
      </w:pPr>
    </w:p>
    <w:p>
      <w:pPr>
        <w:pStyle w:val="7"/>
        <w:spacing w:line="570" w:lineRule="exact"/>
        <w:rPr>
          <w:rFonts w:ascii="仿宋_GB2312" w:eastAsia="仿宋_GB2312"/>
          <w:b/>
          <w:bCs/>
          <w:sz w:val="32"/>
          <w:szCs w:val="32"/>
        </w:rPr>
      </w:pPr>
      <w:r>
        <w:rPr>
          <w:rFonts w:ascii="黑体" w:eastAsia="黑体" w:cs="宋体"/>
          <w:b/>
          <w:bCs/>
          <w:sz w:val="32"/>
          <w:szCs w:val="32"/>
        </w:rPr>
        <w:br w:type="page"/>
      </w: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spacing w:line="570" w:lineRule="exact"/>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spacing w:line="570" w:lineRule="exact"/>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570" w:lineRule="exact"/>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rPr>
        <w:t>九、其他需要说明的事项</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无其他需要说明的事项。</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p>
    <w:p>
      <w:pPr>
        <w:spacing w:line="570" w:lineRule="exact"/>
        <w:rPr>
          <w:rFonts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 w:name="FZFangSong-Z02">
    <w:altName w:val="Arial"/>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A1474"/>
    <w:multiLevelType w:val="multilevel"/>
    <w:tmpl w:val="AFBA1474"/>
    <w:lvl w:ilvl="0" w:tentative="0">
      <w:start w:val="1"/>
      <w:numFmt w:val="chineseCountingThousand"/>
      <w:lvlText w:val="%1、"/>
      <w:lvlJc w:val="left"/>
      <w:pPr>
        <w:tabs>
          <w:tab w:val="left" w:pos="647"/>
        </w:tabs>
        <w:ind w:left="647" w:hanging="647"/>
      </w:pPr>
      <w:rPr>
        <w:rFonts w:hint="default"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D22C91"/>
    <w:rsid w:val="00203C04"/>
    <w:rsid w:val="008644A5"/>
    <w:rsid w:val="00D22C91"/>
    <w:rsid w:val="2C8B0CE8"/>
    <w:rsid w:val="33FF6CE9"/>
    <w:rsid w:val="497D1D8B"/>
    <w:rsid w:val="58C13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1481</Words>
  <Characters>8445</Characters>
  <Lines>70</Lines>
  <Paragraphs>19</Paragraphs>
  <TotalTime>2</TotalTime>
  <ScaleCrop>false</ScaleCrop>
  <LinksUpToDate>false</LinksUpToDate>
  <CharactersWithSpaces>9907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2017-10-27T09:23:00Z</dcterms:created>
  <dc:creator>lenovo</dc:creator>
  <cp:lastModifiedBy>111</cp:lastModifiedBy>
  <dcterms:modified xsi:type="dcterms:W3CDTF">2024-05-22T07:08:41Z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1834F44A8EC74567A91272978C381EDD</vt:lpwstr>
  </property>
</Properties>
</file>