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广阳区北旺镇人民政府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广阳区北旺镇人民政府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（一）宣传贯彻执行党的路线方针政策和党中央、上级党组织及镇党员代表大会（党员大会）的决议； 贯彻执行法律、法规、规章和上级人民代表大会及其常务委员会决议及上级政府的决定、命令，执行本级人民代表大会的决议。</w:t>
      </w:r>
    </w:p>
    <w:p>
      <w:pPr>
        <w:widowControl/>
        <w:spacing w:line="579" w:lineRule="exact"/>
        <w:ind w:firstLine="200"/>
        <w:rPr>
          <w:rFonts w:ascii="仿宋_GB2312" w:hAnsi="仿宋" w:eastAsia="仿宋_GB2312"/>
          <w:sz w:val="32"/>
          <w:szCs w:val="32"/>
        </w:rPr>
      </w:pPr>
      <w:r>
        <w:rPr>
          <w:rFonts w:hint="eastAsia" w:ascii="仿宋_GB2312" w:eastAsia="仿宋_GB2312" w:cs="宋体"/>
          <w:kern w:val="0"/>
          <w:sz w:val="30"/>
          <w:szCs w:val="30"/>
        </w:rPr>
        <w:t>（二）</w:t>
      </w:r>
      <w:r>
        <w:rPr>
          <w:rFonts w:hint="eastAsia" w:ascii="仿宋_GB2312" w:hAnsi="仿宋" w:eastAsia="仿宋_GB2312"/>
          <w:sz w:val="32"/>
          <w:szCs w:val="32"/>
        </w:rPr>
        <w:t>讨论和决定镇经济建设、政治建设、文化建设、社会建设、生态文明建设和党的建设以及乡村振兴中的重大问题。</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（三）组织召开本级人民代表大会，充分行使重大事项决定权、监督权和任免权，做好人大代表工作，联系选民、反映群众意见和要求。</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（六）加强镇党委自身建设和村党组织建设，以及其他隶属镇党委的党组织建设，抓好发展党员工作，加强党员队伍建设，维护和执行党的纪律，监督党员干部和其他任何工作人员严格遵守国家法律法规。</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（七）按照干部管理权限，负责对干部的教育、培训、选拔、考核和监督工作；协助管理上级有关部门驻镇单位的干部。做好人才服务工作。</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的各项权利。</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十）指导居民委员会等基层群众性自治组织建设，健全自治平台。组织东亚社区居民、单位和社会力量参与社区治理，整合辖区内社会力量，形成社区共治合力，为社区发展服务。对社区工作者队伍进行教育管理。承担物业管理的监督指导工作。</w:t>
      </w:r>
    </w:p>
    <w:p>
      <w:pPr>
        <w:autoSpaceDE w:val="0"/>
        <w:autoSpaceDN w:val="0"/>
        <w:adjustRightInd w:val="0"/>
        <w:spacing w:line="579" w:lineRule="exact"/>
        <w:ind w:firstLine="200"/>
        <w:jc w:val="left"/>
        <w:rPr>
          <w:rFonts w:ascii="仿宋_GB2312" w:eastAsia="仿宋_GB2312" w:cs="宋体"/>
          <w:kern w:val="0"/>
          <w:sz w:val="30"/>
          <w:szCs w:val="30"/>
        </w:rPr>
      </w:pPr>
      <w:r>
        <w:rPr>
          <w:rFonts w:hint="eastAsia" w:ascii="仿宋_GB2312" w:eastAsia="仿宋_GB2312" w:cs="宋体"/>
          <w:kern w:val="0"/>
          <w:sz w:val="30"/>
          <w:szCs w:val="30"/>
        </w:rPr>
        <w:t xml:space="preserve">（十一）承办上级党委、人大、政府交办的其他事项。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02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355"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blHeader/>
          <w:jc w:val="center"/>
        </w:trPr>
        <w:tc>
          <w:tcPr>
            <w:tcW w:w="4443" w:type="dxa"/>
            <w:vMerge w:val="continue"/>
            <w:shd w:val="clear" w:color="auto" w:fill="auto"/>
            <w:vAlign w:val="center"/>
          </w:tcPr>
          <w:p>
            <w:pPr>
              <w:spacing w:line="400" w:lineRule="exact"/>
            </w:pPr>
          </w:p>
        </w:tc>
        <w:tc>
          <w:tcPr>
            <w:tcW w:w="1134" w:type="dxa"/>
            <w:vMerge w:val="continue"/>
            <w:shd w:val="clear" w:color="auto" w:fill="auto"/>
            <w:vAlign w:val="center"/>
          </w:tcPr>
          <w:p>
            <w:pPr>
              <w:spacing w:line="400" w:lineRule="exact"/>
            </w:pPr>
          </w:p>
        </w:tc>
        <w:tc>
          <w:tcPr>
            <w:tcW w:w="1276" w:type="dxa"/>
            <w:vMerge w:val="continue"/>
            <w:shd w:val="clear" w:color="auto" w:fill="auto"/>
            <w:vAlign w:val="center"/>
          </w:tcPr>
          <w:p>
            <w:pPr>
              <w:spacing w:line="400" w:lineRule="exact"/>
            </w:pPr>
          </w:p>
        </w:tc>
        <w:tc>
          <w:tcPr>
            <w:tcW w:w="3355" w:type="dxa"/>
            <w:vMerge w:val="continue"/>
            <w:shd w:val="clear" w:color="auto" w:fill="auto"/>
            <w:vAlign w:val="center"/>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北旺镇人民政府本级</w:t>
            </w:r>
          </w:p>
        </w:tc>
        <w:tc>
          <w:tcPr>
            <w:tcW w:w="1134"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正科级</w:t>
            </w:r>
          </w:p>
        </w:tc>
        <w:tc>
          <w:tcPr>
            <w:tcW w:w="3355"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left"/>
              <w:rPr>
                <w:rFonts w:ascii="Times New Roman" w:hAnsi="Times New Roman" w:eastAsia="仿宋_GB2312" w:cs="Times New Roman"/>
              </w:rPr>
            </w:pPr>
          </w:p>
        </w:tc>
        <w:tc>
          <w:tcPr>
            <w:tcW w:w="1276" w:type="dxa"/>
            <w:shd w:val="clear" w:color="auto" w:fill="auto"/>
            <w:vAlign w:val="center"/>
          </w:tcPr>
          <w:p>
            <w:pPr>
              <w:spacing w:line="584" w:lineRule="exact"/>
              <w:jc w:val="left"/>
              <w:rPr>
                <w:rFonts w:ascii="Times New Roman" w:hAnsi="Times New Roman" w:eastAsia="仿宋_GB2312" w:cs="Times New Roman"/>
              </w:rPr>
            </w:pPr>
          </w:p>
        </w:tc>
        <w:tc>
          <w:tcPr>
            <w:tcW w:w="33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广阳区北旺镇</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7819.45</w:t>
      </w:r>
      <w:r>
        <w:rPr>
          <w:rFonts w:ascii="Times New Roman" w:hAnsi="Times New Roman" w:eastAsia="仿宋_GB2312" w:cs="Times New Roman"/>
          <w:sz w:val="32"/>
          <w:szCs w:val="32"/>
        </w:rPr>
        <w:t>万元，其中：一般公共预算收</w:t>
      </w:r>
      <w:r>
        <w:rPr>
          <w:rFonts w:hint="eastAsia" w:ascii="Times New Roman" w:hAnsi="Times New Roman" w:eastAsia="仿宋_GB2312" w:cs="Times New Roman"/>
          <w:sz w:val="32"/>
          <w:szCs w:val="32"/>
        </w:rPr>
        <w:t>7539.14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280.31万元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广阳区北旺镇2022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7819.45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5758.72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5513.4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245.32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2060.73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农村综合改革支出、拆除违建支出、东外环徽派围墙工程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7819.45</w:t>
      </w:r>
      <w:r>
        <w:rPr>
          <w:rFonts w:ascii="Times New Roman" w:hAnsi="Times New Roman" w:eastAsia="仿宋_GB2312" w:cs="Times New Roman"/>
          <w:sz w:val="32"/>
          <w:szCs w:val="32"/>
        </w:rPr>
        <w:t>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982.92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50.87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932.05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农村综合改革支出、拆除违建支出、东外环徽派围墙工程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245.32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黑体" w:cs="Times New Roman"/>
          <w:sz w:val="32"/>
          <w:szCs w:val="32"/>
        </w:rPr>
        <w:t>20</w:t>
      </w:r>
      <w:r>
        <w:rPr>
          <w:rFonts w:hint="eastAsia" w:ascii="Times New Roman" w:hAnsi="Times New Roman" w:eastAsia="黑体" w:cs="Times New Roman"/>
          <w:sz w:val="32"/>
          <w:szCs w:val="32"/>
        </w:rPr>
        <w:t>2</w:t>
      </w:r>
      <w:r>
        <w:rPr>
          <w:rFonts w:ascii="Times New Roman" w:hAnsi="Times New Roman" w:eastAsia="黑体" w:cs="Times New Roman"/>
          <w:sz w:val="32"/>
          <w:szCs w:val="32"/>
        </w:rPr>
        <w:t>2年，我</w:t>
      </w:r>
      <w:r>
        <w:rPr>
          <w:rFonts w:ascii="Times New Roman" w:hAnsi="Times New Roman" w:eastAsia="仿宋_GB2312" w:cs="Times New Roman"/>
          <w:sz w:val="32"/>
          <w:szCs w:val="32"/>
        </w:rPr>
        <w:t>局财政拨款“三公”经费预算安排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803" w:firstLineChars="25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left="141" w:leftChars="67" w:firstLine="496" w:firstLineChars="155"/>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以习近平新时代中国特色社会主义思想为指导，全面贯彻落实党的</w:t>
      </w:r>
      <w:r>
        <w:rPr>
          <w:rFonts w:hint="eastAsia" w:ascii="仿宋_GB2312" w:eastAsia="仿宋_GB2312" w:cs="Times New Roman"/>
          <w:sz w:val="32"/>
          <w:szCs w:val="32"/>
          <w:lang w:eastAsia="zh-CN"/>
        </w:rPr>
        <w:t>十九届六中全会精神</w:t>
      </w:r>
      <w:r>
        <w:rPr>
          <w:rFonts w:hint="eastAsia" w:ascii="仿宋_GB2312" w:eastAsia="仿宋_GB2312" w:cs="Times New Roman"/>
          <w:sz w:val="32"/>
          <w:szCs w:val="32"/>
        </w:rPr>
        <w:t>，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1、持续提升政务服务与管理工作水平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公文及时起草或办理，公文起草及办理的质量和效率满足《机关工作标准化流程》要求，拟办意见采纳率90%以上；会议计划100%执行，大型会议圆满完成率达到100%；政务公开及村务公开的完成率达到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2、持续提升政府政务管理水平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政务网络的建设和维护以及数据资源中心建设和运维管理，保障政府网络系统安全、稳定运行。严格执行会议保障服务流程、视频会议管理制度，提高及时保障和服务能力。做好设备器材保障，确保日常工作运转硬件设备完好。做好政府门户网站建设和运维管理，确保政府门户网站正常运转。</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政府政务网络对各个应用信息系统提供支撑的满足情况达到99%以上；网络可用性：网络具有高可靠性，保证应用系统的正常运行，可用率达到99%；做好政府门户网站日常管理，保障门户网站符合国办相关要求，确保正常运行；异常报告及时率、异常漏报率符合标准，确保网络安全、可靠和稳定运行；用户满意度高于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3、提升应急管理水平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绩效指标：保障日常应急值守和突发事件及时处理，处理率达到95%；做好应急宣传工作，宣传覆盖面积达到95%以上。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4、持续提升综合业务事务管理水平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辖区内散乱污、饭店油烟、工地扬尘治理管控工作，使得环境得到改善，天气优良率提升；进一步健全城乡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rPr>
          <w:rFonts w:ascii="仿宋_GB2312" w:hAnsi="Calibri" w:eastAsia="仿宋_GB2312"/>
          <w:sz w:val="32"/>
          <w:szCs w:val="32"/>
        </w:rPr>
      </w:pPr>
      <w:r>
        <w:rPr>
          <w:rFonts w:hint="eastAsia" w:ascii="仿宋_GB2312" w:hAnsi="Calibri" w:eastAsia="仿宋_GB2312"/>
          <w:sz w:val="32"/>
          <w:szCs w:val="32"/>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pStyle w:val="20"/>
        <w:rPr>
          <w:rFonts w:ascii="仿宋_GB2312" w:hAnsi="Calibri" w:eastAsia="仿宋_GB2312"/>
          <w:sz w:val="32"/>
          <w:szCs w:val="32"/>
        </w:rPr>
      </w:pPr>
      <w:r>
        <w:rPr>
          <w:rFonts w:hint="eastAsia" w:ascii="仿宋_GB2312" w:hAnsi="Calibri" w:eastAsia="仿宋_GB2312"/>
          <w:sz w:val="32"/>
          <w:szCs w:val="32"/>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pStyle w:val="20"/>
        <w:rPr>
          <w:rFonts w:ascii="仿宋_GB2312" w:hAnsi="Calibri" w:eastAsia="仿宋_GB2312"/>
          <w:sz w:val="32"/>
          <w:szCs w:val="32"/>
        </w:rPr>
      </w:pPr>
      <w:r>
        <w:rPr>
          <w:rFonts w:hint="eastAsia" w:ascii="仿宋_GB2312" w:hAnsi="Calibri" w:eastAsia="仿宋_GB2312"/>
          <w:sz w:val="32"/>
          <w:szCs w:val="32"/>
        </w:rPr>
        <w:t>3、加强内控建设。建立健全内部控制体系，认真执行财经法规和政策要求，对重大支出、资产处置及其他重要经济事项进行有效监督，并完善内部审计，配合做好审计、财政等外部检查，确保资金使用安全有效。</w:t>
      </w:r>
    </w:p>
    <w:p>
      <w:pPr>
        <w:pStyle w:val="20"/>
        <w:rPr>
          <w:rFonts w:ascii="仿宋_GB2312" w:hAnsi="Calibri" w:eastAsia="仿宋_GB2312"/>
          <w:sz w:val="32"/>
          <w:szCs w:val="32"/>
        </w:rPr>
      </w:pPr>
      <w:r>
        <w:rPr>
          <w:rFonts w:hint="eastAsia" w:ascii="仿宋_GB2312" w:hAnsi="Calibri" w:eastAsia="仿宋_GB2312"/>
          <w:sz w:val="32"/>
          <w:szCs w:val="32"/>
        </w:rP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06"/>
        <w:gridCol w:w="1319"/>
        <w:gridCol w:w="2055"/>
        <w:gridCol w:w="3090"/>
        <w:gridCol w:w="3596"/>
        <w:gridCol w:w="645"/>
        <w:gridCol w:w="630"/>
        <w:gridCol w:w="75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0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59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2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06" w:type="dxa"/>
            <w:vMerge w:val="continue"/>
            <w:tcBorders>
              <w:tl2br w:val="nil"/>
              <w:tr2bl w:val="nil"/>
            </w:tcBorders>
            <w:vAlign w:val="center"/>
          </w:tcPr>
          <w:p/>
        </w:tc>
        <w:tc>
          <w:tcPr>
            <w:tcW w:w="1319" w:type="dxa"/>
            <w:vMerge w:val="continue"/>
            <w:tcBorders>
              <w:tl2br w:val="nil"/>
              <w:tr2bl w:val="nil"/>
            </w:tcBorders>
            <w:vAlign w:val="center"/>
          </w:tcPr>
          <w:p/>
        </w:tc>
        <w:tc>
          <w:tcPr>
            <w:tcW w:w="2055" w:type="dxa"/>
            <w:vMerge w:val="continue"/>
            <w:tcBorders>
              <w:tl2br w:val="nil"/>
              <w:tr2bl w:val="nil"/>
            </w:tcBorders>
            <w:vAlign w:val="center"/>
          </w:tcPr>
          <w:p/>
        </w:tc>
        <w:tc>
          <w:tcPr>
            <w:tcW w:w="3090" w:type="dxa"/>
            <w:vMerge w:val="continue"/>
            <w:tcBorders>
              <w:tl2br w:val="nil"/>
              <w:tr2bl w:val="nil"/>
            </w:tcBorders>
            <w:vAlign w:val="center"/>
          </w:tcPr>
          <w:p/>
        </w:tc>
        <w:tc>
          <w:tcPr>
            <w:tcW w:w="3596"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5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0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辖区内村街数</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此项15分，每少10%扣1分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辖区内村街数</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23</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个</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工资补贴发放准确率</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此项15分，每少10%扣1分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准确发放工资补贴人数占享受补贴人数的比例</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工资补贴发放及时率</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此项15分，每少10%扣1分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反映补贴发放及时情况</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4"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人均资金成本</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此项15分，每多10%扣1分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人均资金成本</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按实际标准</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0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确保人员稳定，实现进一步提升</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 基本实现目标80%-100%，部分实现目标60%-80%，实现目标较低不得分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反映人员稳定提升情况</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进一步提升</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55"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09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分，每少10%扣1分</w:t>
            </w:r>
          </w:p>
        </w:tc>
        <w:tc>
          <w:tcPr>
            <w:tcW w:w="3596"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接受服务的群众满意度调查达到完全满意或满意的占全部调查对象的比例</w:t>
            </w:r>
          </w:p>
        </w:tc>
        <w:tc>
          <w:tcPr>
            <w:tcW w:w="64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调查指标</w:t>
            </w:r>
          </w:p>
        </w:tc>
      </w:tr>
    </w:tbl>
    <w:p>
      <w:pPr>
        <w:spacing w:line="584" w:lineRule="exact"/>
        <w:rPr>
          <w:rFonts w:hint="eastAsia" w:ascii="仿宋_GB2312" w:eastAsia="仿宋_GB2312" w:cs="Times New Roman"/>
          <w:sz w:val="32"/>
          <w:szCs w:val="32"/>
        </w:rPr>
      </w:pPr>
    </w:p>
    <w:p>
      <w:pPr>
        <w:pStyle w:val="2"/>
      </w:pPr>
    </w:p>
    <w:p>
      <w:pPr>
        <w:spacing w:line="584" w:lineRule="exact"/>
        <w:ind w:firstLine="640" w:firstLineChars="200"/>
        <w:rPr>
          <w:rFonts w:hint="eastAsia" w:ascii="Times New Roman" w:hAnsi="Times New Roman" w:eastAsia="黑体" w:cs="Times New Roman"/>
          <w:sz w:val="32"/>
          <w:szCs w:val="32"/>
        </w:rPr>
      </w:pPr>
    </w:p>
    <w:p>
      <w:pPr>
        <w:pStyle w:val="2"/>
        <w:rPr>
          <w:rFonts w:hint="eastAsia"/>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jc w:val="left"/>
        <w:outlineLvl w:val="3"/>
        <w:rPr>
          <w:rFonts w:hint="eastAsia" w:ascii="仿宋_GB2312" w:hAnsi="仿宋_GB2312" w:eastAsia="仿宋_GB2312" w:cs="仿宋_GB2312"/>
          <w:sz w:val="28"/>
        </w:rPr>
      </w:pPr>
      <w:bookmarkStart w:id="0" w:name="_Toc29799657"/>
      <w:bookmarkEnd w:id="0"/>
      <w:bookmarkStart w:id="1" w:name="_Toc_4_4_0000000004"/>
      <w:r>
        <w:rPr>
          <w:rFonts w:hint="eastAsia" w:ascii="仿宋_GB2312" w:hAnsi="仿宋_GB2312" w:eastAsia="仿宋_GB2312" w:cs="仿宋_GB2312"/>
          <w:sz w:val="28"/>
        </w:rPr>
        <w:t>1.机关事务管理经费绩效目标表</w:t>
      </w:r>
      <w:bookmarkEnd w:id="1"/>
    </w:p>
    <w:tbl>
      <w:tblPr>
        <w:tblStyle w:val="9"/>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2316"/>
        <w:gridCol w:w="2316"/>
        <w:gridCol w:w="26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678"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1.维持机关正常运转</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634"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保障机关数</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保障机关数</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1个</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规定时间</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≤60万元/年</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维持社区办公正常运转</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问卷</w:t>
            </w:r>
          </w:p>
        </w:tc>
      </w:tr>
    </w:tbl>
    <w:p>
      <w:pPr>
        <w:jc w:val="center"/>
        <w:rPr>
          <w:rFonts w:hint="eastAsia" w:ascii="仿宋_GB2312" w:hAnsi="仿宋_GB2312" w:eastAsia="仿宋_GB2312" w:cs="仿宋_GB2312"/>
        </w:rPr>
      </w:pPr>
    </w:p>
    <w:p>
      <w:pPr>
        <w:jc w:val="left"/>
        <w:outlineLvl w:val="3"/>
        <w:rPr>
          <w:rFonts w:hint="eastAsia" w:ascii="仿宋_GB2312" w:hAnsi="仿宋_GB2312" w:eastAsia="仿宋_GB2312" w:cs="仿宋_GB2312"/>
          <w:sz w:val="28"/>
        </w:rPr>
      </w:pPr>
      <w:bookmarkStart w:id="2" w:name="_Toc_4_4_0000000010"/>
      <w:r>
        <w:rPr>
          <w:rFonts w:hint="eastAsia" w:ascii="仿宋_GB2312" w:hAnsi="仿宋_GB2312" w:eastAsia="仿宋_GB2312" w:cs="仿宋_GB2312"/>
          <w:sz w:val="28"/>
        </w:rPr>
        <w:t>2.拆除违建工作经费绩效目标表</w:t>
      </w:r>
      <w:bookmarkEnd w:id="2"/>
    </w:p>
    <w:tbl>
      <w:tblPr>
        <w:tblStyle w:val="9"/>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526"/>
        <w:gridCol w:w="2946"/>
        <w:gridCol w:w="1091"/>
        <w:gridCol w:w="30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681"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1.坚决遏制辖区内“两违”行为，打响“两违”治理“清零”攻坚战，死守耕地红线。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52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94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91"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022"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两违图斑拆除</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拆除”两违“图斑占总图斑率</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退还耕地占违法占用耕地率</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遏制辖区内“两违”行为</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遏制辖区内“两违”行为</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≥20个</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≤70万元</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恢复耕地可种粮人数</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≥100人</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廊广北政【2021】70号</w:t>
            </w:r>
          </w:p>
        </w:tc>
      </w:tr>
    </w:tbl>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3" w:name="_Toc_4_4_0000000011"/>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3.拆除违建工作经费绩效目标表</w:t>
      </w:r>
      <w:bookmarkEnd w:id="3"/>
    </w:p>
    <w:tbl>
      <w:tblPr>
        <w:tblStyle w:val="9"/>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106"/>
        <w:gridCol w:w="2946"/>
        <w:gridCol w:w="1214"/>
        <w:gridCol w:w="3014"/>
        <w:gridCol w:w="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 w:type="dxa"/>
          <w:trHeight w:val="369" w:hRule="atLeast"/>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76"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1.对辖区内违法图斑依法依规进行拆除，坚决遏制辖区内“两违”行为，打响“两违”治理“清零”攻坚战，死守耕地红线，主要用于违法建筑的拆除，建筑垃圾清理、违章建筑占地的整理。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10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94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14"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021"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两违图斑拆除</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拆除”两违“图斑占总图斑率</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退还耕地占违法占用耕地率</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及时</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≤240万元</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恢复耕地可种粮人数</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≥200人</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bl>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4" w:name="_Toc_4_4_0000000012"/>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pStyle w:val="2"/>
        <w:rPr>
          <w:rFonts w:hint="eastAsia" w:ascii="仿宋_GB2312" w:hAnsi="仿宋_GB2312" w:eastAsia="仿宋_GB2312" w:cs="仿宋_GB2312"/>
          <w:sz w:val="28"/>
        </w:rPr>
      </w:pPr>
    </w:p>
    <w:p>
      <w:pPr>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4.村党组织活动经费[区级]绩效目标表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3"/>
        <w:gridCol w:w="273"/>
        <w:gridCol w:w="1309"/>
        <w:gridCol w:w="2015"/>
        <w:gridCol w:w="4772"/>
        <w:gridCol w:w="2567"/>
        <w:gridCol w:w="19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662"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1.通过开展党组织各项活动，达到提升基层党建水平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03"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582" w:type="dxa"/>
            <w:gridSpan w:val="2"/>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015"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4772"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567"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1999"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restart"/>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村街数量</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需要经费予以保障的村街数</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反映各党组织工作保障情况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反映及时保障各党组织活动需要情况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反映小于等于50名党员村级党组织经费情况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1万元/年/村</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反映大于50名党员村级党组织经费情况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200元/人/年</w:t>
            </w:r>
          </w:p>
        </w:tc>
        <w:tc>
          <w:tcPr>
            <w:tcW w:w="1999" w:type="dxa"/>
            <w:vAlign w:val="center"/>
          </w:tcPr>
          <w:p>
            <w:pPr>
              <w:pStyle w:val="15"/>
              <w:spacing w:line="320" w:lineRule="exac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提升基层党建整体工作水平</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反应提升基层党建整体工作水平</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进一步提升基层党建整体工作水平</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辖区村街党员满意度</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调查中对村街党组织发挥作用满意和较满意党员数占调查总人数的比率</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left"/>
        <w:outlineLvl w:val="3"/>
        <w:rPr>
          <w:rFonts w:hint="eastAsia" w:ascii="仿宋_GB2312" w:hAnsi="仿宋_GB2312" w:eastAsia="仿宋_GB2312" w:cs="仿宋_GB2312"/>
          <w:sz w:val="28"/>
        </w:rPr>
      </w:pPr>
      <w:bookmarkStart w:id="5" w:name="_Toc_4_4_0000000013"/>
    </w:p>
    <w:p>
      <w:pPr>
        <w:jc w:val="left"/>
        <w:outlineLvl w:val="3"/>
        <w:rPr>
          <w:rFonts w:hint="eastAsia" w:ascii="仿宋_GB2312" w:hAnsi="仿宋_GB2312" w:eastAsia="仿宋_GB2312" w:cs="仿宋_GB2312"/>
          <w:sz w:val="28"/>
        </w:rPr>
      </w:pPr>
    </w:p>
    <w:p>
      <w:pPr>
        <w:jc w:val="left"/>
        <w:outlineLvl w:val="3"/>
        <w:rPr>
          <w:rFonts w:hint="eastAsia" w:ascii="仿宋_GB2312" w:hAnsi="仿宋_GB2312" w:eastAsia="仿宋_GB2312" w:cs="仿宋_GB2312"/>
          <w:sz w:val="28"/>
        </w:rPr>
      </w:pPr>
    </w:p>
    <w:p>
      <w:pPr>
        <w:jc w:val="left"/>
        <w:outlineLvl w:val="3"/>
        <w:rPr>
          <w:rFonts w:hint="eastAsia" w:ascii="仿宋_GB2312" w:hAnsi="仿宋_GB2312" w:eastAsia="仿宋_GB2312" w:cs="仿宋_GB2312"/>
          <w:sz w:val="28"/>
        </w:rPr>
      </w:pPr>
    </w:p>
    <w:p>
      <w:pPr>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5.村干部基本报酬[区级]绩效目标表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8"/>
        <w:gridCol w:w="1870"/>
        <w:gridCol w:w="2621"/>
        <w:gridCol w:w="4757"/>
        <w:gridCol w:w="1357"/>
        <w:gridCol w:w="21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0" w:type="auto"/>
            <w:gridSpan w:val="5"/>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1.通过给予干部基础报酬，提高村干部的工作积极性，保持村干部队伍稳定。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tblHeader/>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restart"/>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保障村干部人数</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反映享受此项待遇村干部人员数情况</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≥124人</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工资等发放精准性</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反映工资等发放人员范围和发放数据准确性</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经费拨付及时率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准时拨付经费与总经费拨付次数的比率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书记主任一人兼每月发放标准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4410.75元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村党组织书记每月发放标准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2940.5元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村委会主任每月发放标准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2205.37元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其他两委干部每发放标准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1470.25万元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村街“两委”班子履职合格率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两委班子履职合格村街数与村街总数的比率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≥85%</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村干部满意度</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调查中对村干部满意和较满意村民数占调查总人数的比率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6" w:name="_Toc_4_4_0000000014"/>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6.村级组织办公经费[区级]绩效目标表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176"/>
        <w:gridCol w:w="1598"/>
        <w:gridCol w:w="2996"/>
        <w:gridCol w:w="4681"/>
        <w:gridCol w:w="1344"/>
        <w:gridCol w:w="20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662" w:type="dxa"/>
            <w:gridSpan w:val="5"/>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1.通过支付村街日常办公经费，实现村级组织的正常运转，达到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00"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774" w:type="dxa"/>
            <w:gridSpan w:val="2"/>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996"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4681"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44"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043"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restart"/>
            <w:vAlign w:val="center"/>
          </w:tcPr>
          <w:p>
            <w:pPr>
              <w:pStyle w:val="16"/>
              <w:spacing w:line="36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保障村街数量</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反映保障村街数量情况</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continue"/>
            <w:vAlign w:val="center"/>
          </w:tcPr>
          <w:p>
            <w:pPr>
              <w:spacing w:line="360" w:lineRule="exact"/>
              <w:rPr>
                <w:rFonts w:hint="eastAsia" w:ascii="仿宋_GB2312" w:hAnsi="仿宋_GB2312" w:eastAsia="仿宋_GB2312" w:cs="仿宋_GB2312"/>
              </w:rPr>
            </w:pP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反映各项日常工作保障情况</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continue"/>
            <w:vAlign w:val="center"/>
          </w:tcPr>
          <w:p>
            <w:pPr>
              <w:spacing w:line="360" w:lineRule="exact"/>
              <w:rPr>
                <w:rFonts w:hint="eastAsia" w:ascii="仿宋_GB2312" w:hAnsi="仿宋_GB2312" w:eastAsia="仿宋_GB2312" w:cs="仿宋_GB2312"/>
              </w:rPr>
            </w:pP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反映及时保障各项日常办公需要</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continue"/>
            <w:vAlign w:val="center"/>
          </w:tcPr>
          <w:p>
            <w:pPr>
              <w:spacing w:line="360" w:lineRule="exact"/>
              <w:rPr>
                <w:rFonts w:hint="eastAsia" w:ascii="仿宋_GB2312" w:hAnsi="仿宋_GB2312" w:eastAsia="仿宋_GB2312" w:cs="仿宋_GB2312"/>
              </w:rPr>
            </w:pP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反应村级组织办公经费单位成本</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2万元/村/年</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Align w:val="center"/>
          </w:tcPr>
          <w:p>
            <w:pPr>
              <w:pStyle w:val="16"/>
              <w:spacing w:line="36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保障村组织办公需要，维持正常运转</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反映日常办公需要，维持单位正常运转</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Align w:val="center"/>
          </w:tcPr>
          <w:p>
            <w:pPr>
              <w:pStyle w:val="16"/>
              <w:spacing w:line="36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辖区村街村民满意度</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调查中对村街办公活动满意和较满意村民占调查总人数比例</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ind w:firstLine="560"/>
        <w:jc w:val="left"/>
        <w:outlineLvl w:val="3"/>
        <w:rPr>
          <w:rFonts w:hint="eastAsia" w:ascii="仿宋_GB2312" w:hAnsi="仿宋_GB2312" w:eastAsia="仿宋_GB2312" w:cs="仿宋_GB2312"/>
          <w:sz w:val="28"/>
        </w:rPr>
      </w:pPr>
      <w:bookmarkStart w:id="7" w:name="_Toc_4_4_0000000016"/>
      <w:r>
        <w:rPr>
          <w:rFonts w:hint="eastAsia" w:ascii="仿宋_GB2312" w:hAnsi="仿宋_GB2312" w:eastAsia="仿宋_GB2312" w:cs="仿宋_GB2312"/>
          <w:sz w:val="28"/>
        </w:rPr>
        <w:t>7.村民小组长误工补贴[区级]绩效目标表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3156"/>
        <w:gridCol w:w="1585"/>
        <w:gridCol w:w="22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421"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1.通过按季按标准发放小组长误工补贴，实现调动小组长工作积极性，</w:t>
            </w:r>
            <w:r>
              <w:rPr>
                <w:rFonts w:hint="eastAsia" w:ascii="仿宋_GB2312" w:hAnsi="仿宋_GB2312" w:eastAsia="仿宋_GB2312" w:cs="仿宋_GB2312"/>
                <w:lang w:eastAsia="zh-CN"/>
              </w:rPr>
              <w:t>更好地为</w:t>
            </w:r>
            <w:r>
              <w:rPr>
                <w:rFonts w:hint="eastAsia" w:ascii="仿宋_GB2312" w:hAnsi="仿宋_GB2312" w:eastAsia="仿宋_GB2312" w:cs="仿宋_GB2312"/>
              </w:rPr>
              <w:t>村街服务。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tblHeader/>
          <w:jc w:val="cent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15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85"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268"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补贴发放村街数</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反映享受此项待遇村街数</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反映各村小组长工作保障情况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经费发放及时率</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反映补贴发放及时情况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反映村小组长工作经费单位成本</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0.3万元/村/年</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提高小组长工作积极性</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反映提高小组长工作积极性情况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进一步提高</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村民小组长满意度</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反映村民小组长满意情况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8" w:name="_Toc_4_4_0000000017"/>
      <w:r>
        <w:rPr>
          <w:rFonts w:hint="eastAsia" w:ascii="仿宋_GB2312" w:hAnsi="仿宋_GB2312" w:eastAsia="仿宋_GB2312" w:cs="仿宋_GB2312"/>
          <w:sz w:val="28"/>
        </w:rPr>
        <w:t>8.非公办教师经费绩效目标表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5"/>
        <w:gridCol w:w="1663"/>
        <w:gridCol w:w="3573"/>
        <w:gridCol w:w="3982"/>
        <w:gridCol w:w="1293"/>
        <w:gridCol w:w="23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0" w:type="auto"/>
            <w:gridSpan w:val="5"/>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1.通过按时按月发放民师工资，及时足额缴纳各项保险，切实维护全区非公办教师利益，促进全区教师队伍的整体稳定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tblHeader/>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restart"/>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发放人数</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教师享受此项待遇人员数</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≥3人</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工资发放准确率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反映工资等发放人员范围的精确性和发放数据的准确性</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个人保险申报率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反映保险申报情况</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工资发放及时率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准时发放工资的次数与总发放工资次数的比率</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非公办教师人员工资标准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非公办教师人员工资标准</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2500元/人/月</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非公办教师人员保险标准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非公办教师人员保险标准</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1548元/人/月</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促进非公办教师队伍的整体稳定，提升师资水平</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反映促进非公办教师队伍的整体稳定提升师资水平情况</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进一步提升</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调查满意和较满意的非公办教师占调查总人数的比率</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9" w:name="_Toc_4_4_0000000018"/>
      <w:r>
        <w:rPr>
          <w:rFonts w:hint="eastAsia" w:ascii="仿宋_GB2312" w:hAnsi="仿宋_GB2312" w:eastAsia="仿宋_GB2312" w:cs="仿宋_GB2312"/>
          <w:sz w:val="28"/>
        </w:rPr>
        <w:t>9.服务群众专项经费[区级]绩效目标表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3156"/>
        <w:gridCol w:w="1535"/>
        <w:gridCol w:w="22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76" w:type="dxa"/>
            <w:gridSpan w:val="2"/>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73"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1.通过党组织服务群众专项支出，实现群众日常生产生活及公共设备的正常运转等，达到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广大群众提供服务。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tblHeader/>
          <w:jc w:val="center"/>
        </w:trPr>
        <w:tc>
          <w:tcPr>
            <w:tcW w:w="126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15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3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270"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公共设施的维护次数</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反映公共设施的维护次数</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≥1次/月</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日常运转的保障村街数</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反映日常运转的保障村街数</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反映各项日常工作保障情况</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反映及时保障各项日常办公需要</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反映每村每年支出标准</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10万元/村/年</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反映村街正常运转情况</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服务群众的满意度</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满意群众占村街总人数比例</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0" w:name="_Toc_4_4_0000000019"/>
      <w:r>
        <w:rPr>
          <w:rFonts w:hint="eastAsia" w:ascii="仿宋_GB2312" w:hAnsi="仿宋_GB2312" w:eastAsia="仿宋_GB2312" w:cs="仿宋_GB2312"/>
          <w:sz w:val="28"/>
        </w:rPr>
        <w:t>10.社区党组织服务群众专项经费[区级]绩效目标表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3156"/>
        <w:gridCol w:w="1535"/>
        <w:gridCol w:w="22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76" w:type="dxa"/>
            <w:gridSpan w:val="2"/>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73" w:type="dxa"/>
            <w:gridSpan w:val="5"/>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1.1通过党组织服务群众专项支出，实现群众日常生产生活及公共设备的正常运转等，达到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广大群众提供服务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tblHeader/>
          <w:jc w:val="center"/>
        </w:trPr>
        <w:tc>
          <w:tcPr>
            <w:tcW w:w="1266"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156"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35"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270"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restart"/>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公共设施的维护次数</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反映公共设施的维护次数</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≥1次/月</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日常运转的保障村街数</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反映日常运转的保障村街数</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反映各项日常工作保障情况</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反映及时保障各项日常办公需要</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restart"/>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反映每社区每年支出标准</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15万元/村/年</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反映村街正常运转情况</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服务群众的满意度</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满意群众占村街总人数比例</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1" w:name="_Toc_4_4_0000000020"/>
      <w:r>
        <w:rPr>
          <w:rFonts w:hint="eastAsia" w:ascii="仿宋_GB2312" w:hAnsi="仿宋_GB2312" w:eastAsia="仿宋_GB2312" w:cs="仿宋_GB2312"/>
          <w:sz w:val="28"/>
        </w:rPr>
        <w:t>11.社区工作经费[区级]绩效目标表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4"/>
        <w:gridCol w:w="1642"/>
        <w:gridCol w:w="3221"/>
        <w:gridCol w:w="3221"/>
        <w:gridCol w:w="1381"/>
        <w:gridCol w:w="27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257" w:type="dxa"/>
            <w:gridSpan w:val="5"/>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1.通过社区工作经费项目开展，保障基层社区日常工作运转，实现社区稳定和基层和谐。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tblHeader/>
          <w:jc w:val="center"/>
        </w:trPr>
        <w:tc>
          <w:tcPr>
            <w:tcW w:w="1034"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642"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3221"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221"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81"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792"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restart"/>
            <w:vAlign w:val="center"/>
          </w:tcPr>
          <w:p>
            <w:pPr>
              <w:pStyle w:val="16"/>
              <w:spacing w:line="34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经费保障社区数量</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经费保障社区数量</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≥3个</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continue"/>
            <w:vAlign w:val="center"/>
          </w:tcPr>
          <w:p>
            <w:pPr>
              <w:spacing w:line="340" w:lineRule="exact"/>
              <w:rPr>
                <w:rFonts w:hint="eastAsia" w:ascii="仿宋_GB2312" w:hAnsi="仿宋_GB2312" w:eastAsia="仿宋_GB2312" w:cs="仿宋_GB2312"/>
              </w:rPr>
            </w:pP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 xml:space="preserve"> 反映社区各项工作保障情况</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continue"/>
            <w:vAlign w:val="center"/>
          </w:tcPr>
          <w:p>
            <w:pPr>
              <w:spacing w:line="340" w:lineRule="exact"/>
              <w:rPr>
                <w:rFonts w:hint="eastAsia" w:ascii="仿宋_GB2312" w:hAnsi="仿宋_GB2312" w:eastAsia="仿宋_GB2312" w:cs="仿宋_GB2312"/>
              </w:rPr>
            </w:pP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反映及时保障各项目情况</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continue"/>
            <w:vAlign w:val="center"/>
          </w:tcPr>
          <w:p>
            <w:pPr>
              <w:spacing w:line="340" w:lineRule="exact"/>
              <w:rPr>
                <w:rFonts w:hint="eastAsia" w:ascii="仿宋_GB2312" w:hAnsi="仿宋_GB2312" w:eastAsia="仿宋_GB2312" w:cs="仿宋_GB2312"/>
              </w:rPr>
            </w:pP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每社区平均成本</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反映每社区平均成本情况</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≥10万元/社区</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Align w:val="center"/>
          </w:tcPr>
          <w:p>
            <w:pPr>
              <w:pStyle w:val="16"/>
              <w:spacing w:line="34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保障社区日常办公需要，维持单位正常运转</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反映保障日常办公需要，维持单位正常运转</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正常运转</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Align w:val="center"/>
          </w:tcPr>
          <w:p>
            <w:pPr>
              <w:pStyle w:val="16"/>
              <w:spacing w:line="34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社区居民满意度</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满意人数较满意人数/调查人数比例</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2" w:name="_Toc_4_4_0000000021"/>
      <w:r>
        <w:rPr>
          <w:rFonts w:hint="eastAsia" w:ascii="仿宋_GB2312" w:hAnsi="仿宋_GB2312" w:eastAsia="仿宋_GB2312" w:cs="仿宋_GB2312"/>
          <w:sz w:val="28"/>
        </w:rPr>
        <w:t>12.社区楼门长工作经费绩效目标表</w:t>
      </w:r>
      <w:bookmarkEnd w:id="12"/>
    </w:p>
    <w:tbl>
      <w:tblPr>
        <w:tblStyle w:val="9"/>
        <w:tblW w:w="1394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9"/>
        <w:gridCol w:w="1952"/>
        <w:gridCol w:w="2524"/>
        <w:gridCol w:w="4451"/>
        <w:gridCol w:w="1389"/>
        <w:gridCol w:w="243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752"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1.通过项目的开展完成楼门长补贴经费支出计划，推进社会治理重心向基层下移，实现政府治理和社会调节、居民参与的良性互动。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tblHeader/>
          <w:jc w:val="center"/>
        </w:trPr>
        <w:tc>
          <w:tcPr>
            <w:tcW w:w="118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952"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524"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4451"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8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43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补贴楼门长人员数量</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反映发放补贴的人数</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221人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补贴发放精准性</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反应补贴资金发放人员范围和发放数据的准确性</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补贴发放及时率</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反映补贴发放时间及时性情况</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有物业小区楼门长补贴标准</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有物业小区单元长补贴标准</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50元/月/人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无物业小区楼门长补贴标准</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无物业小区楼门长补贴标准</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200元/月/人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无物业小区单元长补贴标准</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无物业小区单元长补贴标准、有物业小区楼门长、</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100元/月/人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补贴人群生活水平提高程度</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反应补贴人群生活水平提高程度</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基本保障</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满意度</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楼门长满意度</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3" w:name="_Toc_4_4_0000000022"/>
      <w:r>
        <w:rPr>
          <w:rFonts w:hint="eastAsia" w:ascii="仿宋_GB2312" w:hAnsi="仿宋_GB2312" w:eastAsia="仿宋_GB2312" w:cs="仿宋_GB2312"/>
          <w:sz w:val="28"/>
        </w:rPr>
        <w:t>13.社区招聘人员经费[区级]绩效目标表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8"/>
        <w:gridCol w:w="1748"/>
        <w:gridCol w:w="2619"/>
        <w:gridCol w:w="2904"/>
        <w:gridCol w:w="1543"/>
        <w:gridCol w:w="33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208" w:type="dxa"/>
            <w:gridSpan w:val="5"/>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1.通过按时发放社区聘用人员工资，缴纳各项保险，确保人员稳定，达到加强和完善社区治理，基层和谐稳定。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tblHeader/>
          <w:jc w:val="center"/>
        </w:trPr>
        <w:tc>
          <w:tcPr>
            <w:tcW w:w="1088"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748"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619"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904"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43"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394"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restart"/>
            <w:vAlign w:val="center"/>
          </w:tcPr>
          <w:p>
            <w:pPr>
              <w:pStyle w:val="16"/>
              <w:spacing w:line="26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保障人数</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反映保障人数</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≥26人</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工资发放准确率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反映工资发放精准情况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个人保险申报率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反映保险申报情况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工资发放及时率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反映工资发放的时效情况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社区聘用人员人均工资标准</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社区聘用人员人均工资标准</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≤4850元/人/月</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社区聘用人员人均保险所需资金</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社区聘用人员人均保险所需资金</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≤1728元/人/月</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Align w:val="center"/>
          </w:tcPr>
          <w:p>
            <w:pPr>
              <w:pStyle w:val="16"/>
              <w:spacing w:line="26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确保人员稳定，实现进一步提升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反映人员稳定提升情况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进一步提升</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Align w:val="center"/>
          </w:tcPr>
          <w:p>
            <w:pPr>
              <w:pStyle w:val="16"/>
              <w:spacing w:line="26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社区聘用人员的满意度</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社区聘用人员满意的占总人数的比例</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满意度调查表</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4" w:name="_Toc_4_4_0000000023"/>
      <w:r>
        <w:rPr>
          <w:rFonts w:hint="eastAsia" w:ascii="仿宋_GB2312" w:hAnsi="仿宋_GB2312" w:eastAsia="仿宋_GB2312" w:cs="仿宋_GB2312"/>
          <w:sz w:val="28"/>
        </w:rPr>
        <w:t>14.铁路沿线环境综合整治工作经费绩效目标表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5"/>
        <w:gridCol w:w="1896"/>
        <w:gridCol w:w="3391"/>
        <w:gridCol w:w="3759"/>
        <w:gridCol w:w="1055"/>
        <w:gridCol w:w="23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455"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1.铁路沿线环境进行综合整治，组织人员对沿线易脱落物进行拆除或加固，消除铁路运行安全隐患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tblHeader/>
          <w:jc w:val="center"/>
        </w:trPr>
        <w:tc>
          <w:tcPr>
            <w:tcW w:w="116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89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3391"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75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5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354"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经费保障铁路长度</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经费保障铁路长度</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 xml:space="preserve">≥4公里 </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continue"/>
            <w:vAlign w:val="center"/>
          </w:tcPr>
          <w:p>
            <w:pPr>
              <w:spacing w:line="300" w:lineRule="exact"/>
              <w:rPr>
                <w:rFonts w:hint="eastAsia" w:ascii="仿宋_GB2312" w:hAnsi="仿宋_GB2312" w:eastAsia="仿宋_GB2312" w:cs="仿宋_GB2312"/>
              </w:rPr>
            </w:pP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 xml:space="preserve"> 反映治理各项工作保障情况</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continue"/>
            <w:vAlign w:val="center"/>
          </w:tcPr>
          <w:p>
            <w:pPr>
              <w:spacing w:line="300" w:lineRule="exact"/>
              <w:rPr>
                <w:rFonts w:hint="eastAsia" w:ascii="仿宋_GB2312" w:hAnsi="仿宋_GB2312" w:eastAsia="仿宋_GB2312" w:cs="仿宋_GB2312"/>
              </w:rPr>
            </w:pP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反映及时保障各项目情况</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continue"/>
            <w:vAlign w:val="center"/>
          </w:tcPr>
          <w:p>
            <w:pPr>
              <w:spacing w:line="300" w:lineRule="exact"/>
              <w:rPr>
                <w:rFonts w:hint="eastAsia" w:ascii="仿宋_GB2312" w:hAnsi="仿宋_GB2312" w:eastAsia="仿宋_GB2312" w:cs="仿宋_GB2312"/>
              </w:rPr>
            </w:pP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治理成本</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反映环境治理成本情况</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≤25万元</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保障环境治理需要，维持铁路正常运转</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反映保障环境治理需要，维持铁路正常运转</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正常运转</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居民满意度</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满意人数较满意人数/调查人数比例</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p>
            <w:pPr>
              <w:pStyle w:val="15"/>
              <w:spacing w:line="300" w:lineRule="exact"/>
              <w:rPr>
                <w:rFonts w:hint="eastAsia" w:ascii="仿宋_GB2312" w:hAnsi="仿宋_GB2312" w:eastAsia="仿宋_GB2312" w:cs="仿宋_GB2312"/>
              </w:rPr>
            </w:pP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ind w:firstLine="840" w:firstLineChars="300"/>
        <w:jc w:val="left"/>
        <w:outlineLvl w:val="3"/>
        <w:rPr>
          <w:rFonts w:hint="eastAsia" w:ascii="仿宋_GB2312" w:hAnsi="仿宋_GB2312" w:eastAsia="仿宋_GB2312" w:cs="仿宋_GB2312"/>
          <w:sz w:val="28"/>
        </w:rPr>
      </w:pPr>
      <w:bookmarkStart w:id="15" w:name="_Toc_4_4_0000000024"/>
      <w:r>
        <w:rPr>
          <w:rFonts w:hint="eastAsia" w:ascii="仿宋_GB2312" w:hAnsi="仿宋_GB2312" w:eastAsia="仿宋_GB2312" w:cs="仿宋_GB2312"/>
          <w:sz w:val="28"/>
        </w:rPr>
        <w:t>15.修建徽派围墙经费绩效目标表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980"/>
        <w:gridCol w:w="1686"/>
        <w:gridCol w:w="2526"/>
        <w:gridCol w:w="1214"/>
        <w:gridCol w:w="38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236"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1.北旺镇政府拟在东外环快速路两侧修建徽派艺术围墙进行遮挡，大致范围为北至小海子村荷花道口，南至广阳经开区兴业道口，双向全场约5.8公里。项目总投资估算为500万元。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tblHeader/>
          <w:jc w:val="center"/>
        </w:trPr>
        <w:tc>
          <w:tcPr>
            <w:tcW w:w="124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980"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168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52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14"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830"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建设工程量</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反应建设工程完成情况</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5.8公里</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continue"/>
            <w:vAlign w:val="center"/>
          </w:tcPr>
          <w:p>
            <w:pPr>
              <w:spacing w:line="300" w:lineRule="exact"/>
              <w:rPr>
                <w:rFonts w:hint="eastAsia" w:ascii="仿宋_GB2312" w:hAnsi="仿宋_GB2312" w:eastAsia="仿宋_GB2312" w:cs="仿宋_GB2312"/>
              </w:rPr>
            </w:pP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验收合格率</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反应竣工验收情况</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continue"/>
            <w:vAlign w:val="center"/>
          </w:tcPr>
          <w:p>
            <w:pPr>
              <w:spacing w:line="300" w:lineRule="exact"/>
              <w:rPr>
                <w:rFonts w:hint="eastAsia" w:ascii="仿宋_GB2312" w:hAnsi="仿宋_GB2312" w:eastAsia="仿宋_GB2312" w:cs="仿宋_GB2312"/>
              </w:rPr>
            </w:pP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按计划竣工</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工程竣工及时率（%）</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continue"/>
            <w:vAlign w:val="center"/>
          </w:tcPr>
          <w:p>
            <w:pPr>
              <w:spacing w:line="300" w:lineRule="exact"/>
              <w:rPr>
                <w:rFonts w:hint="eastAsia" w:ascii="仿宋_GB2312" w:hAnsi="仿宋_GB2312" w:eastAsia="仿宋_GB2312" w:cs="仿宋_GB2312"/>
              </w:rPr>
            </w:pP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成本总量</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反应成本总量控制</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≤500万元</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提升城市形象</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提升城市形象</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有效提升</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受益群体满意度</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反应受益群体满意度情况</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pPr>
    </w:p>
    <w:p>
      <w:pPr>
        <w:autoSpaceDE w:val="0"/>
        <w:autoSpaceDN w:val="0"/>
        <w:adjustRightInd w:val="0"/>
        <w:spacing w:line="584" w:lineRule="exact"/>
        <w:jc w:val="left"/>
        <w:rPr>
          <w:rFonts w:ascii="Times New Roman" w:hAnsi="Times New Roman" w:eastAsia="黑体" w:cs="Times New Roman"/>
          <w:sz w:val="32"/>
          <w:szCs w:val="32"/>
        </w:rPr>
      </w:pPr>
    </w:p>
    <w:p>
      <w:pPr>
        <w:spacing w:before="0" w:after="0"/>
        <w:ind w:firstLine="560"/>
        <w:jc w:val="left"/>
        <w:outlineLvl w:val="3"/>
        <w:rPr>
          <w:rFonts w:hint="eastAsia" w:ascii="仿宋_GB2312" w:hAnsi="仿宋_GB2312" w:eastAsia="仿宋_GB2312" w:cs="仿宋_GB2312"/>
        </w:rPr>
      </w:pPr>
      <w:bookmarkStart w:id="16" w:name="_Toc_4_4_0000000015"/>
      <w:r>
        <w:rPr>
          <w:rFonts w:hint="eastAsia" w:ascii="仿宋_GB2312" w:hAnsi="仿宋_GB2312" w:eastAsia="仿宋_GB2312" w:cs="仿宋_GB2312"/>
          <w:color w:val="000000"/>
          <w:sz w:val="28"/>
        </w:rPr>
        <w:t>1</w:t>
      </w:r>
      <w:r>
        <w:rPr>
          <w:rFonts w:hint="eastAsia" w:ascii="仿宋_GB2312" w:hAnsi="仿宋_GB2312" w:eastAsia="仿宋_GB2312" w:cs="仿宋_GB2312"/>
          <w:color w:val="000000"/>
          <w:sz w:val="28"/>
          <w:lang w:val="en-US" w:eastAsia="zh-CN"/>
        </w:rPr>
        <w:t>6</w:t>
      </w:r>
      <w:r>
        <w:rPr>
          <w:rFonts w:hint="eastAsia" w:ascii="仿宋_GB2312" w:hAnsi="仿宋_GB2312" w:eastAsia="仿宋_GB2312" w:cs="仿宋_GB2312"/>
          <w:color w:val="000000"/>
          <w:sz w:val="28"/>
        </w:rPr>
        <w:t>.村级组织运转经费[市级]绩效目标表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91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917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1.通过给予干部基础报酬，提高村干部的工作积极性，保持村干部队伍稳定。</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320"/>
        <w:gridCol w:w="1755"/>
        <w:gridCol w:w="2910"/>
        <w:gridCol w:w="1335"/>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34"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0"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755"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910"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35"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28"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保障村干部人数</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反映享受此项待遇村干部人员数情况</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≥124人</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工资等发放精准性</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反映工资等发放人员范围和发放数据准确性</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经费拨付及时率</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准时拨付经费与总经费拨付次数的比率</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书记主任一人兼每月发放标准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4410.75元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村党组织书记每月发放标准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2940.5元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村委会主任每月发放标准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2205.37元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其他两委干部每发放标准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1470.25万元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村街“两委”班子履职合格率</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两委班子履职合格村街数与村街总数的比率</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≥85%</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村干部满意度</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调查中对村干部满意和较满意村民数占调查总人数的比率</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before="0" w:after="0"/>
        <w:ind w:firstLine="560"/>
        <w:jc w:val="left"/>
        <w:outlineLvl w:val="3"/>
        <w:rPr>
          <w:rFonts w:hint="eastAsia" w:ascii="仿宋_GB2312" w:hAnsi="仿宋_GB2312" w:eastAsia="仿宋_GB2312" w:cs="仿宋_GB2312"/>
          <w:color w:val="000000"/>
          <w:sz w:val="28"/>
        </w:rPr>
      </w:pPr>
      <w:bookmarkStart w:id="17" w:name="_Toc_4_4_0000000005"/>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lang w:val="en-US" w:eastAsia="zh-CN"/>
        </w:rPr>
        <w:t>17</w:t>
      </w:r>
      <w:r>
        <w:rPr>
          <w:rFonts w:hint="eastAsia" w:ascii="仿宋_GB2312" w:hAnsi="仿宋_GB2312" w:eastAsia="仿宋_GB2312" w:cs="仿宋_GB2312"/>
          <w:color w:val="000000"/>
          <w:sz w:val="28"/>
        </w:rPr>
        <w:t>.2021年第二批农村综合改革示范试点补助项目绩效目标表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1.主要街道墙体美化及村街道路硬化等工程，使农村社会生活环境得到提升，完善村街公共基础设施。</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eastAsia="仿宋_GB2312" w:cs="仿宋_GB2312"/>
                <w:lang w:eastAsia="zh-CN"/>
              </w:rPr>
              <w:t>北旺镇</w:t>
            </w:r>
            <w:r>
              <w:rPr>
                <w:rFonts w:hint="eastAsia" w:ascii="仿宋_GB2312" w:hAnsi="仿宋_GB2312" w:eastAsia="仿宋_GB2312" w:cs="仿宋_GB2312"/>
              </w:rPr>
              <w:t>立项村街数量</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1村</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及时 </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200万元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村街环境改善，提升</w:t>
            </w:r>
            <w:bookmarkStart w:id="24" w:name="_GoBack"/>
            <w:bookmarkEnd w:id="24"/>
            <w:r>
              <w:rPr>
                <w:rFonts w:hint="eastAsia" w:ascii="仿宋_GB2312" w:hAnsi="仿宋_GB2312" w:eastAsia="仿宋_GB2312" w:cs="仿宋_GB2312"/>
              </w:rPr>
              <w:t>整体形象</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调查中群众满意和较满意人数占总人数的比率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8" w:name="_Toc_4_4_0000000006"/>
      <w:r>
        <w:rPr>
          <w:rFonts w:hint="eastAsia" w:ascii="仿宋_GB2312" w:hAnsi="仿宋_GB2312" w:eastAsia="仿宋_GB2312" w:cs="仿宋_GB2312"/>
          <w:color w:val="000000"/>
          <w:sz w:val="28"/>
          <w:lang w:val="en-US" w:eastAsia="zh-CN"/>
        </w:rPr>
        <w:t>18</w:t>
      </w:r>
      <w:r>
        <w:rPr>
          <w:rFonts w:hint="eastAsia" w:ascii="仿宋_GB2312" w:hAnsi="仿宋_GB2312" w:eastAsia="仿宋_GB2312" w:cs="仿宋_GB2312"/>
          <w:color w:val="000000"/>
          <w:sz w:val="28"/>
        </w:rPr>
        <w:t>.2021年省级农村综合改革转移支付项目绩效目标表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1.项目前期立项、项目中期监督和项目后期组织验收过程中发生的办公费、交通费和宣传费等费用支出,营造良好的生活环</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4万元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服务水平逐步提升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9" w:name="_Toc_4_4_0000000007"/>
      <w:r>
        <w:rPr>
          <w:rFonts w:hint="eastAsia" w:ascii="仿宋_GB2312" w:hAnsi="仿宋_GB2312" w:eastAsia="仿宋_GB2312" w:cs="仿宋_GB2312"/>
          <w:color w:val="000000"/>
          <w:sz w:val="28"/>
          <w:lang w:val="en-US" w:eastAsia="zh-CN"/>
        </w:rPr>
        <w:t>19</w:t>
      </w:r>
      <w:r>
        <w:rPr>
          <w:rFonts w:hint="eastAsia" w:ascii="仿宋_GB2312" w:hAnsi="仿宋_GB2312" w:eastAsia="仿宋_GB2312" w:cs="仿宋_GB2312"/>
          <w:color w:val="000000"/>
          <w:sz w:val="28"/>
        </w:rPr>
        <w:t>.2021年市级农村公益事业财政奖补项目绩效目标表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1.2021年安排省级农村综合改革转移支付资金项目，结合我乡实际情况，共涉及5个村街，申请综合改革转移支付资金106万元，主要街道墙体美化及村街道路硬化等工程，使农村社会生活环境得到提升。 </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eastAsia="仿宋_GB2312" w:cs="仿宋_GB2312"/>
                <w:lang w:eastAsia="zh-CN"/>
              </w:rPr>
              <w:t>北旺镇</w:t>
            </w:r>
            <w:r>
              <w:rPr>
                <w:rFonts w:hint="eastAsia" w:ascii="仿宋_GB2312" w:hAnsi="仿宋_GB2312" w:eastAsia="仿宋_GB2312" w:cs="仿宋_GB2312"/>
              </w:rPr>
              <w:t>立项村街数量</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5村</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工程按期完成率（%）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按期完成的工程量占总工程量的比率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及时 </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106万元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有效提高</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0" w:name="_Toc_4_4_0000000008"/>
      <w:r>
        <w:rPr>
          <w:rFonts w:hint="eastAsia" w:ascii="仿宋_GB2312" w:hAnsi="仿宋_GB2312" w:eastAsia="仿宋_GB2312" w:cs="仿宋_GB2312"/>
          <w:color w:val="000000"/>
          <w:sz w:val="28"/>
          <w:lang w:val="en-US" w:eastAsia="zh-CN"/>
        </w:rPr>
        <w:t>20</w:t>
      </w:r>
      <w:r>
        <w:rPr>
          <w:rFonts w:hint="eastAsia" w:ascii="仿宋_GB2312" w:hAnsi="仿宋_GB2312" w:eastAsia="仿宋_GB2312" w:cs="仿宋_GB2312"/>
          <w:color w:val="000000"/>
          <w:sz w:val="28"/>
        </w:rPr>
        <w:t>.2021年市级农村综合改革转移支付资金绩效目标表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1.项目前期立项、项目中期监督和项目后期组织验收过程中发生的办公费、交通费和宣传费等费用支出,营造良好的生活环境,提高一事一议资金的使用效益 。 </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7万元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服务水平逐步提升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1" w:name="_Toc_4_4_0000000009"/>
      <w:r>
        <w:rPr>
          <w:rFonts w:hint="eastAsia" w:ascii="仿宋_GB2312" w:hAnsi="仿宋_GB2312" w:eastAsia="仿宋_GB2312" w:cs="仿宋_GB2312"/>
          <w:color w:val="000000"/>
          <w:sz w:val="28"/>
          <w:lang w:val="en-US" w:eastAsia="zh-CN"/>
        </w:rPr>
        <w:t>21</w:t>
      </w:r>
      <w:r>
        <w:rPr>
          <w:rFonts w:hint="eastAsia" w:ascii="仿宋_GB2312" w:hAnsi="仿宋_GB2312" w:eastAsia="仿宋_GB2312" w:cs="仿宋_GB2312"/>
          <w:color w:val="000000"/>
          <w:sz w:val="28"/>
        </w:rPr>
        <w:t>.2021年中央农村综合改革转移支付项目绩效目标表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1.通过村街道路排水工程实施，方便村民出行，加强村街安全，营造良好的生活环境。</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eastAsia="仿宋_GB2312" w:cs="仿宋_GB2312"/>
                <w:lang w:eastAsia="zh-CN"/>
              </w:rPr>
              <w:t>北旺镇</w:t>
            </w:r>
            <w:r>
              <w:rPr>
                <w:rFonts w:hint="eastAsia" w:ascii="仿宋_GB2312" w:hAnsi="仿宋_GB2312" w:eastAsia="仿宋_GB2312" w:cs="仿宋_GB2312"/>
              </w:rPr>
              <w:t>立项村街数量</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1村</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21万元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村街环境改善，提升整体形象</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有效提高</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调查中群众满意和较满意人数占总人数的比率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pStyle w:val="2"/>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2年，我部门安排政府采购预算192.62万元。具体内容见下表。</w:t>
      </w:r>
    </w:p>
    <w:bookmarkEnd w:id="22"/>
    <w:p>
      <w:pPr>
        <w:jc w:val="center"/>
        <w:outlineLvl w:val="1"/>
        <w:rPr>
          <w:rFonts w:ascii="方正小标宋_GBK" w:eastAsia="方正小标宋_GBK" w:cs="Times New Roman"/>
          <w:sz w:val="32"/>
        </w:rPr>
      </w:pPr>
      <w:bookmarkStart w:id="23" w:name="_Toc64920910"/>
      <w:r>
        <w:rPr>
          <w:rFonts w:hint="eastAsia" w:ascii="方正小标宋_GBK" w:eastAsia="方正小标宋_GBK" w:cs="Times New Roman"/>
          <w:sz w:val="32"/>
        </w:rPr>
        <w:t>部门政府采购预算</w:t>
      </w:r>
      <w:bookmarkEnd w:id="23"/>
    </w:p>
    <w:p>
      <w:pPr>
        <w:jc w:val="center"/>
        <w:outlineLvl w:val="1"/>
        <w:rPr>
          <w:rFonts w:ascii="方正小标宋_GBK" w:eastAsia="方正小标宋_GBK" w:cs="Times New Roman"/>
          <w:sz w:val="32"/>
        </w:rPr>
      </w:pPr>
      <w:r>
        <w:t>廊坊市</w:t>
      </w:r>
      <w:r>
        <w:rPr>
          <w:rFonts w:hint="eastAsia"/>
        </w:rPr>
        <w:t>广阳区北旺镇人民政府</w:t>
      </w:r>
      <w:r>
        <w:t xml:space="preserve">                                                                                                单位：万元</w:t>
      </w:r>
    </w:p>
    <w:tbl>
      <w:tblPr>
        <w:tblStyle w:val="9"/>
        <w:tblW w:w="150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893"/>
        <w:gridCol w:w="1134"/>
        <w:gridCol w:w="1134"/>
        <w:gridCol w:w="709"/>
        <w:gridCol w:w="850"/>
        <w:gridCol w:w="992"/>
        <w:gridCol w:w="964"/>
        <w:gridCol w:w="964"/>
        <w:gridCol w:w="731"/>
        <w:gridCol w:w="964"/>
        <w:gridCol w:w="964"/>
        <w:gridCol w:w="79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90"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992" w:type="dxa"/>
            <w:vMerge w:val="restart"/>
            <w:vAlign w:val="center"/>
          </w:tcPr>
          <w:p>
            <w:pPr>
              <w:pStyle w:val="13"/>
            </w:pPr>
            <w:r>
              <w:t>单价</w:t>
            </w:r>
          </w:p>
        </w:tc>
        <w:tc>
          <w:tcPr>
            <w:tcW w:w="7309" w:type="dxa"/>
            <w:gridSpan w:val="8"/>
            <w:vAlign w:val="center"/>
          </w:tcPr>
          <w:p>
            <w:pPr>
              <w:pStyle w:val="13"/>
              <w:spacing w:line="340" w:lineRule="exact"/>
            </w:pPr>
            <w:r>
              <w:t>政府采购金额（当年部门预算安排资金）</w:t>
            </w:r>
          </w:p>
        </w:tc>
        <w:tc>
          <w:tcPr>
            <w:tcW w:w="964" w:type="dxa"/>
            <w:vMerge w:val="restart"/>
            <w:vAlign w:val="center"/>
          </w:tcPr>
          <w:p>
            <w:pPr>
              <w:pStyle w:val="13"/>
              <w:spacing w:line="34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3"/>
            </w:pPr>
            <w:r>
              <w:t>项目名称</w:t>
            </w:r>
          </w:p>
        </w:tc>
        <w:tc>
          <w:tcPr>
            <w:tcW w:w="893"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992" w:type="dxa"/>
            <w:vMerge w:val="continue"/>
          </w:tcPr>
          <w:p/>
        </w:tc>
        <w:tc>
          <w:tcPr>
            <w:tcW w:w="964" w:type="dxa"/>
            <w:vAlign w:val="center"/>
          </w:tcPr>
          <w:p>
            <w:pPr>
              <w:pStyle w:val="13"/>
              <w:spacing w:line="340" w:lineRule="exact"/>
            </w:pPr>
            <w:r>
              <w:t>合计</w:t>
            </w:r>
          </w:p>
        </w:tc>
        <w:tc>
          <w:tcPr>
            <w:tcW w:w="964" w:type="dxa"/>
            <w:vAlign w:val="center"/>
          </w:tcPr>
          <w:p>
            <w:pPr>
              <w:pStyle w:val="13"/>
              <w:spacing w:line="340" w:lineRule="exact"/>
            </w:pPr>
            <w:r>
              <w:t>一般公共预算拨款</w:t>
            </w:r>
          </w:p>
        </w:tc>
        <w:tc>
          <w:tcPr>
            <w:tcW w:w="731" w:type="dxa"/>
            <w:vAlign w:val="center"/>
          </w:tcPr>
          <w:p>
            <w:pPr>
              <w:pStyle w:val="13"/>
              <w:spacing w:line="340" w:lineRule="exact"/>
            </w:pPr>
            <w:r>
              <w:t>基金预算拨款</w:t>
            </w:r>
          </w:p>
        </w:tc>
        <w:tc>
          <w:tcPr>
            <w:tcW w:w="964" w:type="dxa"/>
            <w:vAlign w:val="center"/>
          </w:tcPr>
          <w:p>
            <w:pPr>
              <w:pStyle w:val="13"/>
              <w:spacing w:line="340" w:lineRule="exact"/>
            </w:pPr>
            <w:r>
              <w:t>国有资本经营预算拨款</w:t>
            </w:r>
          </w:p>
        </w:tc>
        <w:tc>
          <w:tcPr>
            <w:tcW w:w="964" w:type="dxa"/>
            <w:vAlign w:val="center"/>
          </w:tcPr>
          <w:p>
            <w:pPr>
              <w:pStyle w:val="13"/>
              <w:spacing w:line="340" w:lineRule="exact"/>
            </w:pPr>
            <w:r>
              <w:t>财政专户核拨</w:t>
            </w:r>
          </w:p>
        </w:tc>
        <w:tc>
          <w:tcPr>
            <w:tcW w:w="794" w:type="dxa"/>
            <w:vAlign w:val="center"/>
          </w:tcPr>
          <w:p>
            <w:pPr>
              <w:pStyle w:val="13"/>
              <w:spacing w:line="340" w:lineRule="exact"/>
            </w:pPr>
            <w:r>
              <w:t>单位    资金</w:t>
            </w:r>
          </w:p>
        </w:tc>
        <w:tc>
          <w:tcPr>
            <w:tcW w:w="964" w:type="dxa"/>
            <w:vAlign w:val="center"/>
          </w:tcPr>
          <w:p>
            <w:pPr>
              <w:pStyle w:val="13"/>
              <w:spacing w:line="340" w:lineRule="exact"/>
            </w:pPr>
            <w:r>
              <w:t>财政拨    款结转</w:t>
            </w:r>
          </w:p>
        </w:tc>
        <w:tc>
          <w:tcPr>
            <w:tcW w:w="964" w:type="dxa"/>
            <w:vAlign w:val="center"/>
          </w:tcPr>
          <w:p>
            <w:pPr>
              <w:pStyle w:val="13"/>
              <w:spacing w:line="340" w:lineRule="exact"/>
            </w:pPr>
            <w:r>
              <w:t>非财政    拨款结    转结余</w:t>
            </w:r>
          </w:p>
        </w:tc>
        <w:tc>
          <w:tcPr>
            <w:tcW w:w="964" w:type="dxa"/>
            <w:vMerge w:val="continue"/>
          </w:tcPr>
          <w:p>
            <w:pPr>
              <w:spacing w:line="3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pPr>
            <w:r>
              <w:t>合  计</w:t>
            </w:r>
          </w:p>
        </w:tc>
        <w:tc>
          <w:tcPr>
            <w:tcW w:w="893"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992" w:type="dxa"/>
            <w:vAlign w:val="center"/>
          </w:tcPr>
          <w:p>
            <w:pPr>
              <w:pStyle w:val="18"/>
            </w:pPr>
          </w:p>
        </w:tc>
        <w:tc>
          <w:tcPr>
            <w:tcW w:w="964" w:type="dxa"/>
            <w:vAlign w:val="center"/>
          </w:tcPr>
          <w:p>
            <w:pPr>
              <w:pStyle w:val="18"/>
            </w:pPr>
          </w:p>
        </w:tc>
        <w:tc>
          <w:tcPr>
            <w:tcW w:w="964" w:type="dxa"/>
            <w:vAlign w:val="center"/>
          </w:tcPr>
          <w:p>
            <w:pPr>
              <w:pStyle w:val="18"/>
            </w:pPr>
          </w:p>
        </w:tc>
        <w:tc>
          <w:tcPr>
            <w:tcW w:w="731" w:type="dxa"/>
            <w:vAlign w:val="center"/>
          </w:tcPr>
          <w:p>
            <w:pPr>
              <w:pStyle w:val="18"/>
            </w:pPr>
          </w:p>
        </w:tc>
        <w:tc>
          <w:tcPr>
            <w:tcW w:w="964" w:type="dxa"/>
            <w:vAlign w:val="center"/>
          </w:tcPr>
          <w:p>
            <w:pPr>
              <w:pStyle w:val="18"/>
            </w:pPr>
          </w:p>
        </w:tc>
        <w:tc>
          <w:tcPr>
            <w:tcW w:w="964" w:type="dxa"/>
            <w:vAlign w:val="center"/>
          </w:tcPr>
          <w:p>
            <w:pPr>
              <w:pStyle w:val="18"/>
            </w:pPr>
          </w:p>
        </w:tc>
        <w:tc>
          <w:tcPr>
            <w:tcW w:w="79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spacing w:line="320" w:lineRule="exact"/>
            </w:pPr>
            <w:r>
              <w:t>修建徽派围墙经费</w:t>
            </w:r>
          </w:p>
        </w:tc>
        <w:tc>
          <w:tcPr>
            <w:tcW w:w="893" w:type="dxa"/>
            <w:vAlign w:val="center"/>
          </w:tcPr>
          <w:p>
            <w:pPr>
              <w:pStyle w:val="14"/>
              <w:spacing w:line="320" w:lineRule="exact"/>
            </w:pPr>
            <w:r>
              <w:t>500.00</w:t>
            </w:r>
          </w:p>
        </w:tc>
        <w:tc>
          <w:tcPr>
            <w:tcW w:w="1134" w:type="dxa"/>
            <w:vAlign w:val="center"/>
          </w:tcPr>
          <w:p>
            <w:pPr>
              <w:pStyle w:val="15"/>
              <w:spacing w:line="320" w:lineRule="exact"/>
            </w:pPr>
            <w:r>
              <w:t>其他市政公共设施管理服务</w:t>
            </w:r>
          </w:p>
        </w:tc>
        <w:tc>
          <w:tcPr>
            <w:tcW w:w="1134" w:type="dxa"/>
            <w:vAlign w:val="center"/>
          </w:tcPr>
          <w:p>
            <w:pPr>
              <w:pStyle w:val="15"/>
              <w:spacing w:line="320" w:lineRule="exact"/>
            </w:pPr>
            <w:r>
              <w:t>C1399</w:t>
            </w:r>
          </w:p>
        </w:tc>
        <w:tc>
          <w:tcPr>
            <w:tcW w:w="709" w:type="dxa"/>
            <w:vAlign w:val="center"/>
          </w:tcPr>
          <w:p>
            <w:pPr>
              <w:pStyle w:val="16"/>
              <w:spacing w:line="320" w:lineRule="exact"/>
            </w:pPr>
            <w:r>
              <w:t>万元</w:t>
            </w:r>
          </w:p>
        </w:tc>
        <w:tc>
          <w:tcPr>
            <w:tcW w:w="850" w:type="dxa"/>
            <w:vAlign w:val="center"/>
          </w:tcPr>
          <w:p>
            <w:pPr>
              <w:pStyle w:val="14"/>
              <w:spacing w:line="320" w:lineRule="exact"/>
            </w:pPr>
            <w:r>
              <w:t>1</w:t>
            </w:r>
          </w:p>
        </w:tc>
        <w:tc>
          <w:tcPr>
            <w:tcW w:w="992" w:type="dxa"/>
            <w:vAlign w:val="center"/>
          </w:tcPr>
          <w:p>
            <w:pPr>
              <w:pStyle w:val="14"/>
              <w:spacing w:line="320" w:lineRule="exact"/>
            </w:pPr>
            <w:r>
              <w:t>192.62</w:t>
            </w:r>
          </w:p>
        </w:tc>
        <w:tc>
          <w:tcPr>
            <w:tcW w:w="964" w:type="dxa"/>
            <w:vAlign w:val="center"/>
          </w:tcPr>
          <w:p>
            <w:pPr>
              <w:pStyle w:val="14"/>
              <w:spacing w:line="320" w:lineRule="exact"/>
            </w:pPr>
            <w:r>
              <w:t>192.62</w:t>
            </w:r>
          </w:p>
        </w:tc>
        <w:tc>
          <w:tcPr>
            <w:tcW w:w="964" w:type="dxa"/>
            <w:vAlign w:val="center"/>
          </w:tcPr>
          <w:p>
            <w:pPr>
              <w:pStyle w:val="14"/>
              <w:spacing w:line="320" w:lineRule="exact"/>
            </w:pPr>
            <w:r>
              <w:t>192.62</w:t>
            </w:r>
          </w:p>
        </w:tc>
        <w:tc>
          <w:tcPr>
            <w:tcW w:w="731" w:type="dxa"/>
            <w:vAlign w:val="center"/>
          </w:tcPr>
          <w:p>
            <w:pPr>
              <w:pStyle w:val="14"/>
              <w:spacing w:line="320" w:lineRule="exact"/>
            </w:pPr>
          </w:p>
        </w:tc>
        <w:tc>
          <w:tcPr>
            <w:tcW w:w="964" w:type="dxa"/>
            <w:vAlign w:val="center"/>
          </w:tcPr>
          <w:p>
            <w:pPr>
              <w:pStyle w:val="14"/>
              <w:spacing w:line="320" w:lineRule="exact"/>
            </w:pPr>
          </w:p>
        </w:tc>
        <w:tc>
          <w:tcPr>
            <w:tcW w:w="964" w:type="dxa"/>
            <w:vAlign w:val="center"/>
          </w:tcPr>
          <w:p>
            <w:pPr>
              <w:pStyle w:val="14"/>
              <w:spacing w:line="320" w:lineRule="exact"/>
            </w:pPr>
          </w:p>
        </w:tc>
        <w:tc>
          <w:tcPr>
            <w:tcW w:w="794" w:type="dxa"/>
            <w:vAlign w:val="center"/>
          </w:tcPr>
          <w:p>
            <w:pPr>
              <w:pStyle w:val="14"/>
              <w:spacing w:line="320" w:lineRule="exact"/>
            </w:pPr>
          </w:p>
        </w:tc>
        <w:tc>
          <w:tcPr>
            <w:tcW w:w="964" w:type="dxa"/>
            <w:vAlign w:val="center"/>
          </w:tcPr>
          <w:p>
            <w:pPr>
              <w:pStyle w:val="14"/>
              <w:spacing w:line="320" w:lineRule="exact"/>
            </w:pPr>
          </w:p>
        </w:tc>
        <w:tc>
          <w:tcPr>
            <w:tcW w:w="964" w:type="dxa"/>
            <w:vAlign w:val="center"/>
          </w:tcPr>
          <w:p>
            <w:pPr>
              <w:pStyle w:val="14"/>
              <w:spacing w:line="320" w:lineRule="exact"/>
            </w:pPr>
          </w:p>
        </w:tc>
        <w:tc>
          <w:tcPr>
            <w:tcW w:w="964" w:type="dxa"/>
            <w:vAlign w:val="center"/>
          </w:tcPr>
          <w:p>
            <w:pPr>
              <w:pStyle w:val="14"/>
              <w:spacing w:line="320" w:lineRule="exact"/>
            </w:pPr>
            <w:r>
              <w:t>192.62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pPr>
          </w:p>
        </w:tc>
        <w:tc>
          <w:tcPr>
            <w:tcW w:w="893"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992" w:type="dxa"/>
            <w:vAlign w:val="center"/>
          </w:tcPr>
          <w:p>
            <w:pPr>
              <w:pStyle w:val="14"/>
            </w:pPr>
          </w:p>
        </w:tc>
        <w:tc>
          <w:tcPr>
            <w:tcW w:w="964" w:type="dxa"/>
            <w:vAlign w:val="center"/>
          </w:tcPr>
          <w:p>
            <w:pPr>
              <w:pStyle w:val="14"/>
            </w:pPr>
          </w:p>
        </w:tc>
        <w:tc>
          <w:tcPr>
            <w:tcW w:w="964" w:type="dxa"/>
            <w:vAlign w:val="center"/>
          </w:tcPr>
          <w:p>
            <w:pPr>
              <w:pStyle w:val="14"/>
            </w:pPr>
          </w:p>
        </w:tc>
        <w:tc>
          <w:tcPr>
            <w:tcW w:w="731" w:type="dxa"/>
            <w:vAlign w:val="center"/>
          </w:tcPr>
          <w:p>
            <w:pPr>
              <w:pStyle w:val="14"/>
            </w:pPr>
          </w:p>
        </w:tc>
        <w:tc>
          <w:tcPr>
            <w:tcW w:w="964" w:type="dxa"/>
            <w:vAlign w:val="center"/>
          </w:tcPr>
          <w:p>
            <w:pPr>
              <w:pStyle w:val="14"/>
            </w:pPr>
          </w:p>
        </w:tc>
        <w:tc>
          <w:tcPr>
            <w:tcW w:w="964" w:type="dxa"/>
            <w:vAlign w:val="center"/>
          </w:tcPr>
          <w:p>
            <w:pPr>
              <w:pStyle w:val="14"/>
            </w:pPr>
          </w:p>
        </w:tc>
        <w:tc>
          <w:tcPr>
            <w:tcW w:w="79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805.67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广阳区北旺镇人民政府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805.67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725.12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25</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A139F"/>
    <w:rsid w:val="000F6018"/>
    <w:rsid w:val="00167ADC"/>
    <w:rsid w:val="0025632D"/>
    <w:rsid w:val="003059E0"/>
    <w:rsid w:val="00332847"/>
    <w:rsid w:val="0035344E"/>
    <w:rsid w:val="0037750C"/>
    <w:rsid w:val="004A54AA"/>
    <w:rsid w:val="005F310B"/>
    <w:rsid w:val="00673CEC"/>
    <w:rsid w:val="00944233"/>
    <w:rsid w:val="00B40732"/>
    <w:rsid w:val="00B46265"/>
    <w:rsid w:val="00B80935"/>
    <w:rsid w:val="00D347CC"/>
    <w:rsid w:val="00DC72B4"/>
    <w:rsid w:val="00E53A74"/>
    <w:rsid w:val="00F92503"/>
    <w:rsid w:val="090D4A9A"/>
    <w:rsid w:val="09537E35"/>
    <w:rsid w:val="0CEC1180"/>
    <w:rsid w:val="0E1E50BA"/>
    <w:rsid w:val="11426724"/>
    <w:rsid w:val="135D17AD"/>
    <w:rsid w:val="14477A63"/>
    <w:rsid w:val="15CE782F"/>
    <w:rsid w:val="1C5103C6"/>
    <w:rsid w:val="25271C02"/>
    <w:rsid w:val="27864F79"/>
    <w:rsid w:val="28221C7A"/>
    <w:rsid w:val="2D441ECA"/>
    <w:rsid w:val="43F21325"/>
    <w:rsid w:val="52904D1B"/>
    <w:rsid w:val="599A335E"/>
    <w:rsid w:val="60D3112D"/>
    <w:rsid w:val="6E0271C7"/>
    <w:rsid w:val="72733E1C"/>
    <w:rsid w:val="73693C55"/>
    <w:rsid w:val="747A7072"/>
    <w:rsid w:val="75D0210B"/>
    <w:rsid w:val="7A7A1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qFormat/>
    <w:uiPriority w:val="0"/>
    <w:pPr>
      <w:keepNext/>
      <w:keepLines/>
      <w:spacing w:line="500" w:lineRule="exact"/>
      <w:jc w:val="center"/>
      <w:outlineLvl w:val="1"/>
    </w:pPr>
    <w:rPr>
      <w:rFonts w:ascii="Arial" w:hAnsi="Arial" w:eastAsia="楷体_GB2312" w:cs="Times New Roman"/>
      <w:sz w:val="28"/>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2384</Words>
  <Characters>13593</Characters>
  <Lines>113</Lines>
  <Paragraphs>31</Paragraphs>
  <TotalTime>5</TotalTime>
  <ScaleCrop>false</ScaleCrop>
  <LinksUpToDate>false</LinksUpToDate>
  <CharactersWithSpaces>15946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2023-06-21T01:19:21Z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BC35DE7EB381463FAB1FBB979C2F0971</vt:lpwstr>
  </property>
</Properties>
</file>