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firstLine="1320" w:firstLineChars="300"/>
        <w:jc w:val="both"/>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 </w:t>
      </w:r>
      <w:r>
        <w:rPr>
          <w:rFonts w:hint="eastAsia" w:ascii="方正小标宋简体" w:eastAsia="方正小标宋简体" w:cs="宋体"/>
          <w:color w:val="000000"/>
          <w:kern w:val="0"/>
          <w:sz w:val="44"/>
          <w:szCs w:val="44"/>
          <w:lang w:eastAsia="zh-CN"/>
        </w:rPr>
        <w:t>中国共产党</w:t>
      </w:r>
      <w:r>
        <w:rPr>
          <w:rFonts w:hint="eastAsia" w:ascii="方正小标宋简体" w:eastAsia="方正小标宋简体" w:cs="宋体"/>
          <w:color w:val="000000"/>
          <w:kern w:val="0"/>
          <w:sz w:val="44"/>
          <w:szCs w:val="44"/>
        </w:rPr>
        <w:t>廊坊市广阳区</w:t>
      </w:r>
      <w:r>
        <w:rPr>
          <w:rFonts w:hint="eastAsia" w:ascii="方正小标宋简体" w:eastAsia="方正小标宋简体" w:cs="宋体"/>
          <w:color w:val="000000"/>
          <w:kern w:val="0"/>
          <w:sz w:val="44"/>
          <w:szCs w:val="44"/>
          <w:lang w:eastAsia="zh-CN"/>
        </w:rPr>
        <w:t>委员会</w:t>
      </w:r>
      <w:r>
        <w:rPr>
          <w:rFonts w:hint="eastAsia" w:ascii="方正小标宋简体" w:eastAsia="方正小标宋简体" w:cs="宋体"/>
          <w:color w:val="000000"/>
          <w:kern w:val="0"/>
          <w:sz w:val="44"/>
          <w:szCs w:val="44"/>
        </w:rPr>
        <w:t>201</w:t>
      </w:r>
      <w:r>
        <w:rPr>
          <w:rFonts w:ascii="方正小标宋简体" w:eastAsia="方正小标宋简体" w:cs="宋体"/>
          <w:color w:val="000000"/>
          <w:kern w:val="0"/>
          <w:sz w:val="44"/>
          <w:szCs w:val="44"/>
        </w:rPr>
        <w:t>8</w:t>
      </w:r>
      <w:r>
        <w:rPr>
          <w:rFonts w:hint="eastAsia" w:ascii="方正小标宋简体" w:eastAsia="方正小标宋简体" w:cs="宋体"/>
          <w:color w:val="000000"/>
          <w:kern w:val="0"/>
          <w:sz w:val="44"/>
          <w:szCs w:val="44"/>
        </w:rPr>
        <w:t>年部门预算信息公开</w:t>
      </w:r>
    </w:p>
    <w:p>
      <w:pPr>
        <w:widowControl/>
        <w:spacing w:line="360" w:lineRule="atLeast"/>
        <w:jc w:val="center"/>
        <w:rPr>
          <w:rFonts w:hint="eastAsia" w:ascii="仿宋_GB2312" w:eastAsia="仿宋_GB2312" w:cs="宋体"/>
          <w:color w:val="000000"/>
          <w:kern w:val="0"/>
          <w:sz w:val="32"/>
          <w:szCs w:val="32"/>
        </w:rPr>
      </w:pP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w:t>
      </w:r>
      <w:r>
        <w:rPr>
          <w:rFonts w:hint="eastAsia" w:ascii="仿宋_GB2312" w:eastAsia="仿宋_GB2312" w:cs="宋体"/>
          <w:color w:val="000000"/>
          <w:kern w:val="0"/>
          <w:sz w:val="32"/>
          <w:szCs w:val="32"/>
          <w:lang w:eastAsia="zh-CN"/>
        </w:rPr>
        <w:t>中国共产党</w:t>
      </w:r>
      <w:r>
        <w:rPr>
          <w:rFonts w:hint="eastAsia" w:ascii="仿宋_GB2312" w:eastAsia="仿宋_GB2312" w:cs="宋体"/>
          <w:color w:val="000000"/>
          <w:kern w:val="0"/>
          <w:sz w:val="32"/>
          <w:szCs w:val="32"/>
        </w:rPr>
        <w:t>廊坊市广阳区</w:t>
      </w:r>
      <w:r>
        <w:rPr>
          <w:rFonts w:hint="eastAsia" w:ascii="仿宋_GB2312" w:eastAsia="仿宋_GB2312" w:cs="宋体"/>
          <w:color w:val="000000"/>
          <w:kern w:val="0"/>
          <w:sz w:val="32"/>
          <w:szCs w:val="32"/>
          <w:lang w:eastAsia="zh-CN"/>
        </w:rPr>
        <w:t>委员会</w:t>
      </w:r>
      <w:r>
        <w:rPr>
          <w:rFonts w:hint="eastAsia" w:ascii="仿宋_GB2312" w:eastAsia="仿宋_GB2312" w:cs="宋体"/>
          <w:color w:val="000000"/>
          <w:kern w:val="0"/>
          <w:sz w:val="32"/>
          <w:szCs w:val="32"/>
        </w:rPr>
        <w:t>20</w:t>
      </w:r>
      <w:r>
        <w:rPr>
          <w:rFonts w:ascii="仿宋_GB2312" w:eastAsia="仿宋_GB2312" w:cs="宋体"/>
          <w:color w:val="000000"/>
          <w:kern w:val="0"/>
          <w:sz w:val="32"/>
          <w:szCs w:val="32"/>
        </w:rPr>
        <w:t>18</w:t>
      </w:r>
      <w:r>
        <w:rPr>
          <w:rFonts w:hint="eastAsia" w:ascii="仿宋_GB2312" w:eastAsia="仿宋_GB2312" w:cs="宋体"/>
          <w:color w:val="000000"/>
          <w:kern w:val="0"/>
          <w:sz w:val="32"/>
          <w:szCs w:val="32"/>
        </w:rPr>
        <w:t>年部门预算公开如下：</w:t>
      </w:r>
    </w:p>
    <w:p>
      <w:pPr>
        <w:widowControl/>
        <w:spacing w:line="360" w:lineRule="atLeast"/>
        <w:ind w:left="420" w:firstLine="160" w:firstLineChars="50"/>
        <w:jc w:val="left"/>
        <w:rPr>
          <w:rFonts w:hint="eastAsia" w:ascii="黑体" w:eastAsia="黑体" w:cs="宋体"/>
          <w:color w:val="000000"/>
          <w:kern w:val="0"/>
          <w:sz w:val="32"/>
          <w:szCs w:val="32"/>
        </w:rPr>
      </w:pPr>
      <w:r>
        <w:rPr>
          <w:rFonts w:hint="eastAsia" w:ascii="黑体" w:eastAsia="黑体" w:cs="宋体"/>
          <w:color w:val="000000"/>
          <w:kern w:val="0"/>
          <w:sz w:val="32"/>
          <w:szCs w:val="32"/>
        </w:rPr>
        <w:t>一、部门职责及机构设置情况</w:t>
      </w:r>
    </w:p>
    <w:p>
      <w:pPr>
        <w:widowControl/>
        <w:spacing w:line="360" w:lineRule="atLeast"/>
        <w:ind w:left="420" w:firstLine="161" w:firstLineChars="5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1、参谋协调运转:负责区委公文运转、各种会议和活动组织安排、公务接待等。职责目标：保障区委各种会议、日常工作活动的正常、顺利进行；保障机关公文正常运转。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信息收集与督查调研:主要是围绕区委总体工作部署开展综合调研，收集和处理信息、反映动态；承担党市委重要工作部署贯彻落实的督导检查，区委领导同志批示件的传达和催办落实。职责目标:信息真实完整，领导满意，批示率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3、机关密码管理:负责全区密码通信和密码管理。职责目标：管理好相关涉密工作。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4、保密管理:开展全区保密工作及保密科技监管。职责目标：管理好相关涉密工作。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5、区委事务管理：区委房产、基建、维修、物资分配和其他行政事务工作；机关离、退休干部的生活服务和阅文、参加有关活动的事务服务工作。职责目标：高质量完成年度各项政务管理工作任务。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全面深化改革：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职责目标：形成有价值</w:t>
      </w:r>
      <w:r>
        <w:rPr>
          <w:rFonts w:hint="eastAsia" w:ascii="仿宋_GB2312" w:eastAsia="仿宋_GB2312" w:cs="宋体"/>
          <w:color w:val="000000"/>
          <w:kern w:val="0"/>
          <w:sz w:val="32"/>
          <w:szCs w:val="32"/>
          <w:lang w:eastAsia="zh-CN"/>
        </w:rPr>
        <w:t>有分量</w:t>
      </w:r>
      <w:r>
        <w:rPr>
          <w:rFonts w:hint="eastAsia" w:ascii="仿宋_GB2312" w:eastAsia="仿宋_GB2312" w:cs="宋体"/>
          <w:color w:val="000000"/>
          <w:kern w:val="0"/>
          <w:sz w:val="32"/>
          <w:szCs w:val="32"/>
        </w:rPr>
        <w:t>的研究成果,对改革事项及时督查，对改革重要问题及时汇报请示，对改革政策措施和典型经验及时宣传推广，确保各项改革顺利推进。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7、防范和处理邪教：负责全区防范和处理邪教问题领导小组的日常工作职责目标：（涉密内容）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党校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参政议政：参政议政、社会服务等事项。职责目标：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13、组织建设：发展工商联会员，指导基层商（协）会组织建设等各项工作。职责目标：贯彻全国和省市工商联组织建设工作方针，指导全区基层商会的建设，维护会员合法权益；组织换届、培训、思想政治和基层建设工作；对非公有制经济优秀人士进行宣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14、工商联事务管理：综合性事务管理等事项。职责目标：为做好机关档案、信息、财务、会务、保密、安全保卫、固定资产和日常工作提供保障和服务。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促进民营经济发展：加强对民营经济的宏观指导、综合协调，优化发展环境，激活市场主体，破解要素制约，强化公共服务，加强督导、检查和考核，提高民营经济发展质量和水平。职责目标：推动民营经济持续、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16、党员和党组织建设：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职责目标：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17、干部管理：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职责目标：落实国家工资政策和涉及领导干部收入分配的相关政策，准确高效办理区委管理干部的工资及退休费审批；培养锻炼干部，提高干部整体素质；为各级领导班子储配人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18、人才工作及人才队伍建设：负责全区人才工作的综合协调、检查指导，承担区委人才工作领导小组办公室职责任务；负责区管优秀专家等各类专家人才的选拔管理。职责目标：加强人才队伍建设，为广阳区经济社会发展提供有力的人才支撑。</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19、组织事务管理：负责做好部机关机要、文秘、信访、会议、固定资产等工作的计划安排和管理；负责机关自身建设；负责老干部综合服务和保障工作；负责新闻工作网宣与舆情监控、处置；组织系统信息化建设。职责目标：做好部机关机要、文秘、信访、会议、固定资产等工作的计划安排和管理；干部、人事政策科学合理；网宣与舆情监控到位、处置及时；信息系统运行无障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宣传思想工作：指导全区宣传工作；规划组织思想政治工作；指导协调宣传思想文化事业和外宣事业发展；加强舆论舆情引导管理；协调互联网宣传和信息内容管理；加强精神文明建设。职责目标：牢牢掌握意识形态工作领导权、管理权、话语权，弘扬主旋律，汇聚正能量，为经济社会发展提供有力的思想保证、精神动力、舆论支持。</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21、推动文化发展：深化文化体制改革，构建现代公共文化服务体系；加强精神文化产品创作生产。职责目标：进一步解放和发展文化生产力，推动全区文化事业和文化产业健康发展。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22、宣传事务管理：负责系统综合业务管理和机关综合事务管理。职责目标：确保各项业务工作谋划到位、顺利开展。保障机关工作正常高效运转。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23、党史研究：承担党史研究与宣传教育、资料征编工作。职责目标：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24、党史事务管理：负责综合事务管理工作。职责目标：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25、组织建设和宣传教育：领导全区共青团工作；协助区政府教育部门做好学生教育管理工作。职责目标：基层团组织和青年组织建设加强，活力明显提升。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26、服务、引导青少年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职责目标：围绕青年思想动态和青年工作现状，不断加强青少年社会主义核心价值观教育，加强青年教育引导工作，围绕党政中心工作开展各项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27、维护青少年权益工作：研究有关青少年发展问题；参与监督青少年法规的执行、处理侵害青少年合法权益的问题。职责目标：加强法治宣传教育，促进青少年健康成长。</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28、团委事务管理：负责团区委综合业务管理。职责目标：年度工作任务圆满完成，促进共青团事业发展。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29、推进新农村建设：通过实施建设美丽乡村，加快建设社会主义新农村。职责目标：通过建设美丽乡村和开展新民居中心村示范点建设，加快建设社会主义新农村。改善农村环境面貌，提升农民生产生活条件。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30、指导推进农村改革：全面深化农村重点领域、关键环节改革，加快推进农业农村体制机制创新，增强全区农村经济社会发展活力。职责目标：全面深化农村重点领域、关键环节改革，加快推进农业农村体制机制创新，增强全区农村经济社会发展活力。使农业增效、农民增收、农村增活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31、指导农村经济发展：职责目标：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32、推动全区农村工作开展：负责对全区农村工作情况的综合分析和信息反馈。职责目标：负责区直有关部门关于农村经济、农村改革和社会发展重要政策文件的审核把关。</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33、指导全区农村基层民主政治建设：承担区农村基层民主政治建设领导小组办公室工作，促进全区农村基层民主政治建设健康发展。职责目标：完善农村基层民主政治制度，有利于充分调动农民参与政治的积极性，提高农民的政治素质,有力地促进农村社会经济的发展,巩固我党在农村的执政地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34、政务管理：贯彻落实中央和区委、区政府关于“三农”工作的决策部署。职责目标：贯彻落实中央、省和市、区委、区政府关于“三农”工作的决策部署。</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35、完成区委、区政府和区委农村工作领导小组及省市级主管部门交办的其他事项：完成区委、区政府和区委农村工作领导小组及省市级主管部门交办的其他事项。职责目标：完成区委、区政府和区委农村工作领导小组及省市级主管部门交办的其他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区直机关党建工作：结合区直机关党建工作实际，贯彻执行党的路线、方针、政策和区委的指示、决定，加强党的思想政治建设、组织建设、区直机关党风廉政建设，做好区直机关纪工委工作。职责目标：政治觉悟和思想道德素质明显提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37、开展统战工作：调查研究统一战线的理论和方针政策，组织贯彻执行中央、省委、市委、区委关于统一战线的方针、政策。负责联系各</w:t>
      </w:r>
      <w:r>
        <w:rPr>
          <w:rFonts w:hint="eastAsia" w:ascii="仿宋_GB2312" w:eastAsia="仿宋_GB2312" w:cs="宋体"/>
          <w:color w:val="000000"/>
          <w:kern w:val="0"/>
          <w:sz w:val="32"/>
          <w:szCs w:val="32"/>
          <w:lang w:eastAsia="zh-CN"/>
        </w:rPr>
        <w:t>民主党派</w:t>
      </w:r>
      <w:r>
        <w:rPr>
          <w:rFonts w:hint="eastAsia" w:ascii="仿宋_GB2312" w:eastAsia="仿宋_GB2312" w:cs="宋体"/>
          <w:color w:val="000000"/>
          <w:kern w:val="0"/>
          <w:sz w:val="32"/>
          <w:szCs w:val="32"/>
        </w:rPr>
        <w:t>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职责目标：组织贯彻执行统一战线的方针、政策；向区委反映统一战线全面情况，提出开展统战工作的意见和建议；检查统战政策执行情况，协调统一战线各方面的关系。</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38、党外干部队伍建设：协助区工商联和区有关统战团体做好干部管理工作。职责目标：做好干部管理工作。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39、经济文化交流：会同有关部门统筹协调和指导对台经济工作，组织重要台商的投资活动；参与市政府、区政府大型招商活动;协调指导全区各领域赴台交流的立项、审批、管理和我区赴台交流往来人员的行前教育工作。职责目标：通过双向交流互动，加大招商力度，不断扩大我区在台湾的知名度和影响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40、对台事务管理：调研台湾形势和冀台经济文化交流发展动向，提出对策建议；管理涉台法律事务；负责全区对台宣传和涉台教育工作，受理台胞来冀定居审批，协调处理涉台重大突发事件和活动。职责目标：提出符合我区实际的对台政策建议，做好宣传工作，消除负面影响，保障各项对台事务在序开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41、社区服务：抓好社区服务，发展社区文化，开展社区教育，不断提高市民素质。职责目标：完善社区居家养老服务体系。打造社区文化品牌。开展社区文化大讲堂，不断提高市民素质。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42、社区治安：加强城区社会治安综合治理，维护城区社会稳定。职责目标：维护社区稳定。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43、综合协调：负责社区环卫、环保、市政、治安、劳动用工、文化卫生等方面综合协调职能。职责目标：协调社区环卫、环保、市政、治安、劳动用工、文化卫生等方面职能。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44、推进平安广阳建设：加强首都护城河工程建设，为重大案件顺利侦破提供相应的资金支持，开展司法救助等活动，确保平安建设顺利开展。职责目标：实现全区经济社会发展安全安定、人民生活和谐有序。</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45、推进全区政法工作：领导、组织、指导全区政法队伍建设工作。职责目标：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013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91"/>
        <w:gridCol w:w="1388"/>
        <w:gridCol w:w="1385"/>
        <w:gridCol w:w="31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4" w:hRule="atLeast"/>
          <w:tblHeader/>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广阳区区委办公室</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政党机关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广阳区区直机关工作委员会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广阳区委员会农村工作部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广阳区委员会组织部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副处级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广阳区委员会宣传部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副处级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广阳区委城工部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广阳区委员会政法委员会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副处级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广阳区妇女联合会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广阳区工商业联合会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中国共产主义青年团廊坊市广阳区委员会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广阳区委员会党史研究室</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事业单位</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广阳区委员会统一战线工作部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广阳区委员会党校</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二、部门预算安排的总体情况</w:t>
      </w:r>
    </w:p>
    <w:p>
      <w:pPr>
        <w:widowControl/>
        <w:spacing w:line="570" w:lineRule="exac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lang w:eastAsia="zh-CN"/>
        </w:rPr>
        <w:t>中国共产党</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委员会</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hint="eastAsia"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6911.37</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6911.37</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p>
    <w:p>
      <w:pPr>
        <w:widowControl/>
        <w:spacing w:line="570" w:lineRule="exact"/>
        <w:ind w:firstLine="643" w:firstLineChars="200"/>
        <w:jc w:val="left"/>
        <w:rPr>
          <w:rFonts w:hint="eastAsia"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hint="eastAsia"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年度廊坊市</w:t>
      </w:r>
      <w:r>
        <w:rPr>
          <w:rFonts w:hint="eastAsia" w:ascii="仿宋_GB2312" w:eastAsia="仿宋_GB2312" w:cs="宋体"/>
          <w:kern w:val="0"/>
          <w:sz w:val="32"/>
          <w:szCs w:val="32"/>
        </w:rPr>
        <w:t>广阳区区委</w:t>
      </w:r>
      <w:r>
        <w:rPr>
          <w:rFonts w:ascii="仿宋_GB2312" w:eastAsia="仿宋_GB2312" w:cs="宋体"/>
          <w:color w:val="000000"/>
          <w:kern w:val="0"/>
          <w:sz w:val="32"/>
          <w:szCs w:val="32"/>
        </w:rPr>
        <w:t>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年支出预算6911.37万元，其中基本支出2595.77万元，包括人员经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2254.37万元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341.10万元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项目支出4315.6</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eastAsia="zh-CN"/>
        </w:rPr>
        <w:t>，主要为区委事务管理经费、社区文化艺术节经费、政法信息化经费、区直党建活动经费、美丽乡村建设推进经费、星级化管理津贴、流动人口工作经费、社区经费、村级组织运转经费、精神文明建设经费等。</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hint="eastAsia"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6911.37</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1089.58</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238.5</w:t>
      </w:r>
      <w:r>
        <w:rPr>
          <w:rFonts w:hint="eastAsia" w:ascii="仿宋_GB2312" w:eastAsia="仿宋_GB2312" w:cs="宋体"/>
          <w:color w:val="000000"/>
          <w:kern w:val="0"/>
          <w:sz w:val="32"/>
          <w:szCs w:val="32"/>
        </w:rPr>
        <w:t>万元，主要为增加人员支出；项目支出增加</w:t>
      </w:r>
      <w:r>
        <w:rPr>
          <w:rFonts w:ascii="仿宋_GB2312" w:eastAsia="仿宋_GB2312" w:cs="宋体"/>
          <w:color w:val="000000"/>
          <w:kern w:val="0"/>
          <w:sz w:val="32"/>
          <w:szCs w:val="32"/>
        </w:rPr>
        <w:t>851.08</w:t>
      </w:r>
      <w:r>
        <w:rPr>
          <w:rFonts w:hint="eastAsia" w:ascii="仿宋_GB2312" w:eastAsia="仿宋_GB2312" w:cs="宋体"/>
          <w:color w:val="000000"/>
          <w:kern w:val="0"/>
          <w:sz w:val="32"/>
          <w:szCs w:val="32"/>
        </w:rPr>
        <w:t>万元，主要增加</w:t>
      </w:r>
      <w:r>
        <w:rPr>
          <w:rFonts w:ascii="仿宋_GB2312" w:eastAsia="仿宋_GB2312" w:cs="宋体"/>
          <w:color w:val="000000"/>
          <w:kern w:val="0"/>
          <w:sz w:val="32"/>
          <w:szCs w:val="32"/>
        </w:rPr>
        <w:t>村级组织运转经费、社区文化艺术节、流动人口工作经费等项目支出</w:t>
      </w:r>
      <w:r>
        <w:rPr>
          <w:rFonts w:hint="eastAsia" w:ascii="仿宋_GB2312" w:eastAsia="仿宋_GB2312" w:cs="宋体"/>
          <w:color w:val="000000"/>
          <w:kern w:val="0"/>
          <w:sz w:val="32"/>
          <w:szCs w:val="32"/>
        </w:rPr>
        <w:t>。</w:t>
      </w:r>
    </w:p>
    <w:p>
      <w:pPr>
        <w:widowControl/>
        <w:spacing w:line="570" w:lineRule="exact"/>
        <w:ind w:firstLine="643" w:firstLineChars="200"/>
        <w:jc w:val="left"/>
        <w:rPr>
          <w:rFonts w:hint="eastAsia" w:ascii="黑体" w:eastAsia="黑体" w:cs="宋体"/>
          <w:b/>
          <w:bCs/>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13.03</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13.03</w:t>
      </w:r>
      <w:r>
        <w:rPr>
          <w:rFonts w:hint="eastAsia" w:ascii="仿宋_GB2312" w:eastAsia="仿宋_GB2312" w:cs="宋体"/>
          <w:color w:val="000000"/>
          <w:kern w:val="0"/>
          <w:sz w:val="32"/>
          <w:szCs w:val="32"/>
        </w:rPr>
        <w:t>万元，其他业务费</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hint="eastAsia"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130.6</w:t>
      </w:r>
      <w:r>
        <w:rPr>
          <w:rFonts w:hint="eastAsia" w:ascii="仿宋_GB2312" w:eastAsia="仿宋_GB2312" w:cs="宋体"/>
          <w:color w:val="000000"/>
          <w:kern w:val="0"/>
          <w:sz w:val="32"/>
          <w:szCs w:val="32"/>
        </w:rPr>
        <w:t>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w:t>
      </w:r>
      <w:r>
        <w:rPr>
          <w:rFonts w:ascii="仿宋_GB2312" w:eastAsia="仿宋_GB2312" w:cs="宋体"/>
          <w:color w:val="000000"/>
          <w:kern w:val="0"/>
          <w:sz w:val="32"/>
          <w:szCs w:val="32"/>
        </w:rPr>
        <w:t>50.6</w:t>
      </w:r>
      <w:r>
        <w:rPr>
          <w:rFonts w:hint="eastAsia" w:ascii="仿宋_GB2312" w:eastAsia="仿宋_GB2312" w:cs="宋体"/>
          <w:color w:val="000000"/>
          <w:kern w:val="0"/>
          <w:sz w:val="32"/>
          <w:szCs w:val="32"/>
        </w:rPr>
        <w:t>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w:t>
      </w:r>
      <w:r>
        <w:rPr>
          <w:rFonts w:ascii="仿宋_GB2312" w:eastAsia="仿宋_GB2312" w:cs="宋体"/>
          <w:color w:val="000000"/>
          <w:kern w:val="0"/>
          <w:sz w:val="32"/>
          <w:szCs w:val="32"/>
        </w:rPr>
        <w:t>50.6</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80万元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50.6</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公务接待费增加80万元，</w:t>
      </w:r>
      <w:r>
        <w:rPr>
          <w:rFonts w:hint="eastAsia" w:ascii="仿宋_GB2312" w:eastAsia="仿宋_GB2312" w:cs="宋体"/>
          <w:color w:val="000000"/>
          <w:kern w:val="0"/>
          <w:sz w:val="32"/>
          <w:szCs w:val="32"/>
        </w:rPr>
        <w:t>主要原因是2017年</w:t>
      </w:r>
      <w:r>
        <w:rPr>
          <w:rFonts w:ascii="仿宋_GB2312" w:eastAsia="仿宋_GB2312" w:cs="宋体"/>
          <w:color w:val="000000"/>
          <w:kern w:val="0"/>
          <w:sz w:val="32"/>
          <w:szCs w:val="32"/>
        </w:rPr>
        <w:t>未安排</w:t>
      </w:r>
      <w:r>
        <w:rPr>
          <w:rFonts w:hint="eastAsia" w:ascii="仿宋_GB2312" w:eastAsia="仿宋_GB2312" w:cs="宋体"/>
          <w:color w:val="000000"/>
          <w:kern w:val="0"/>
          <w:sz w:val="32"/>
          <w:szCs w:val="32"/>
        </w:rPr>
        <w:t>预算。</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们将紧紧围绕“壮大三产服务业，培育新兴产业群，加快城乡一体化，建设和谐主城区”的发展思路，进一步增强责任感、使命感和紧迫感，以细致认真、埋头苦干、敢打敢拼的实干作风和开拓创新、锐意进取、事争一流的工作理念，更好地服务区委工作，为加快我区在全省率先全面建成小康社会的奋斗目标</w:t>
      </w:r>
      <w:r>
        <w:rPr>
          <w:rFonts w:hint="eastAsia" w:ascii="仿宋_GB2312" w:eastAsia="仿宋_GB2312" w:cs="宋体"/>
          <w:color w:val="000000"/>
          <w:kern w:val="0"/>
          <w:sz w:val="32"/>
          <w:szCs w:val="32"/>
          <w:lang w:eastAsia="zh-CN"/>
        </w:rPr>
        <w:t>作出更大贡献</w:t>
      </w:r>
      <w:r>
        <w:rPr>
          <w:rFonts w:hint="eastAsia" w:ascii="仿宋_GB2312" w:eastAsia="仿宋_GB2312" w:cs="宋体"/>
          <w:color w:val="000000"/>
          <w:kern w:val="0"/>
          <w:sz w:val="32"/>
          <w:szCs w:val="32"/>
        </w:rPr>
        <w:t>。</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一是突出服务发展，搞好决策参谋。紧紧围绕区委各项重大活动、重要会议，做好领导讲话、交流总结、汇报材料等各类文字材料的起草工作，努力提高文稿综合质量，为全区精简文稿篇幅</w:t>
      </w:r>
      <w:r>
        <w:rPr>
          <w:rFonts w:hint="eastAsia" w:ascii="仿宋_GB2312" w:eastAsia="仿宋_GB2312" w:cs="宋体"/>
          <w:color w:val="000000"/>
          <w:kern w:val="0"/>
          <w:sz w:val="32"/>
          <w:szCs w:val="32"/>
          <w:lang w:eastAsia="zh-CN"/>
        </w:rPr>
        <w:t>做好表率</w:t>
      </w:r>
      <w:r>
        <w:rPr>
          <w:rFonts w:hint="eastAsia" w:ascii="仿宋_GB2312" w:eastAsia="仿宋_GB2312" w:cs="宋体"/>
          <w:color w:val="000000"/>
          <w:kern w:val="0"/>
          <w:sz w:val="32"/>
          <w:szCs w:val="32"/>
        </w:rPr>
        <w:t>；围绕区委领导交办和高度关注的重点工作，深入思考，周密思考，努力为区委领导科学决策提供详细有力的第一手资料，不断提高参谋水平。善于从区委的角度和全局的高度去观察、思考问题，始终保持敏锐的政治观察力和对客观事物的洞察力，为区委提供有价值的调研材料、典型经验，确保区委正确决策；强化信息服务，在拓面提速、服务决策、建章立制、精准报送上下功夫，进一步提高信息报送时效；认真落实党内法规制度建设和文件审核备案要求，切实把好文件审核的政治关、政策关、内容关，为区委提供高水平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是突出统筹联络，搞好协调服务。充分发挥区委办公室的统筹全局、协调各方的中枢作用，推进工作效率最高化、效能最佳化、成果最大化。认真做好区委领导及领导所在部门之间的协调联系，保证区委领导活动顺利进行；加强区委、区人大常委会、区政府、区政协办公室之间、上下级党委办公室之间统筹协调工作，高效率做好上情下达、下情上传和科学统筹工作；严格值班</w:t>
      </w:r>
      <w:r>
        <w:rPr>
          <w:rFonts w:hint="eastAsia" w:ascii="仿宋_GB2312" w:eastAsia="仿宋_GB2312" w:cs="宋体"/>
          <w:color w:val="999999"/>
          <w:kern w:val="0"/>
          <w:sz w:val="32"/>
          <w:szCs w:val="32"/>
        </w:rPr>
        <w:fldChar w:fldCharType="begin"/>
      </w:r>
      <w:r>
        <w:instrText xml:space="preserve">HYPERLINK "http://www.gwyoo.com/article/shijicailiao/gzzd/"</w:instrText>
      </w:r>
      <w:r>
        <w:rPr>
          <w:rFonts w:hint="eastAsia" w:ascii="仿宋_GB2312" w:eastAsia="仿宋_GB2312" w:cs="宋体"/>
          <w:color w:val="999999"/>
          <w:kern w:val="0"/>
          <w:sz w:val="32"/>
          <w:szCs w:val="32"/>
        </w:rPr>
        <w:fldChar w:fldCharType="separate"/>
      </w:r>
      <w:r>
        <w:rPr>
          <w:rFonts w:hint="eastAsia" w:ascii="仿宋_GB2312" w:eastAsia="仿宋_GB2312" w:cs="宋体"/>
          <w:color w:val="999999"/>
          <w:kern w:val="0"/>
          <w:sz w:val="32"/>
          <w:szCs w:val="32"/>
        </w:rPr>
        <w:t>制度</w:t>
      </w:r>
      <w:r>
        <w:rPr>
          <w:rFonts w:hint="eastAsia" w:ascii="仿宋_GB2312" w:eastAsia="仿宋_GB2312" w:cs="宋体"/>
          <w:color w:val="000000"/>
          <w:kern w:val="0"/>
          <w:sz w:val="32"/>
          <w:szCs w:val="32"/>
        </w:rPr>
        <w:fldChar w:fldCharType="end"/>
      </w:r>
      <w:r>
        <w:rPr>
          <w:rFonts w:hint="eastAsia" w:ascii="仿宋_GB2312" w:eastAsia="仿宋_GB2312" w:cs="宋体"/>
          <w:color w:val="000000"/>
          <w:kern w:val="0"/>
          <w:sz w:val="32"/>
          <w:szCs w:val="32"/>
        </w:rPr>
        <w:t>和重大事项</w:t>
      </w:r>
      <w:r>
        <w:rPr>
          <w:rFonts w:hint="eastAsia" w:ascii="仿宋_GB2312" w:eastAsia="仿宋_GB2312" w:cs="宋体"/>
          <w:color w:val="999999"/>
          <w:kern w:val="0"/>
          <w:sz w:val="32"/>
          <w:szCs w:val="32"/>
        </w:rPr>
        <w:fldChar w:fldCharType="begin"/>
      </w:r>
      <w:r>
        <w:instrText xml:space="preserve">HYPERLINK "http://www.gwyoo.com/article/zhongjibaogao/"</w:instrText>
      </w:r>
      <w:r>
        <w:rPr>
          <w:rFonts w:hint="eastAsia" w:ascii="仿宋_GB2312" w:eastAsia="仿宋_GB2312" w:cs="宋体"/>
          <w:color w:val="999999"/>
          <w:kern w:val="0"/>
          <w:sz w:val="32"/>
          <w:szCs w:val="32"/>
        </w:rPr>
        <w:fldChar w:fldCharType="separate"/>
      </w:r>
      <w:r>
        <w:rPr>
          <w:rFonts w:hint="eastAsia" w:ascii="仿宋_GB2312" w:eastAsia="仿宋_GB2312" w:cs="宋体"/>
          <w:color w:val="999999"/>
          <w:kern w:val="0"/>
          <w:sz w:val="32"/>
          <w:szCs w:val="32"/>
        </w:rPr>
        <w:t>报告</w:t>
      </w:r>
      <w:r>
        <w:rPr>
          <w:rFonts w:hint="eastAsia" w:ascii="仿宋_GB2312" w:eastAsia="仿宋_GB2312" w:cs="宋体"/>
          <w:color w:val="000000"/>
          <w:kern w:val="0"/>
          <w:sz w:val="32"/>
          <w:szCs w:val="32"/>
        </w:rPr>
        <w:fldChar w:fldCharType="end"/>
      </w:r>
      <w:r>
        <w:rPr>
          <w:rFonts w:hint="eastAsia" w:ascii="仿宋_GB2312" w:eastAsia="仿宋_GB2312" w:cs="宋体"/>
          <w:color w:val="000000"/>
          <w:kern w:val="0"/>
          <w:sz w:val="32"/>
          <w:szCs w:val="32"/>
        </w:rPr>
        <w:t>制度，努力打造政治可靠、业务精湛、反应灵敏的应急队伍，确保各类突发事件得到有效处置。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是突出狠抓落实，搞好督促检查。一是推动区委、区政府各项重大决策部署的落实。加大对全区各单位落实“周报告，月小节，季点评”制度情况的督导检查力度，及时通报各级各部门对此项工作的执行情况；继续做好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办公室相关工作，加大对各相关单位运用电子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推动工作落实进行业务指导，健全完善电子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二是围绕全区重点工作加强督查谋划。着重从土地制约、项目规模、新兴产业、生态环境、重点项目申报等方面进行科学立项督导，确保推动发展；对民心工程及农村基础设施建设、弱势群体救助、医疗保障、住房补贴、社会保障、就业再就业等民生工作开展情况进行督导，确保解决群众生产生活中的难题；对大气污染和水污染治理、农村环境整治治理情况进行督导，确保各项政策落地实处。同时，积极思考落实过程中遇到的新情况、新问题，形成与群众关注点、决策落实关节点有机结合的调研报告</w:t>
      </w:r>
      <w:r>
        <w:rPr>
          <w:rFonts w:ascii="仿宋_GB2312" w:eastAsia="仿宋_GB2312" w:cs="宋体"/>
          <w:color w:val="000000"/>
          <w:kern w:val="0"/>
          <w:sz w:val="32"/>
          <w:szCs w:val="32"/>
        </w:rPr>
        <w:t>。</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是突出规范管理，搞好保障工作。严格区委机关公文的起草、印制等办理程序，提高公文流转速度，推进公文处理工作的精细化、规范化。进一步精简文件简报，从严控制发文数量和文件简报字数，提高文件质量。按照记实、精要和重点突出的要求，做好区委常委会、联席会等会议的记录和纪要整理工作；强化涉密计算机信息系统的保密管理，确保涉密系统信息安全；全力做好电报译传办工作，做到及时、准确、保密。精简各类会议，规范各类活动，严格控制会议数量、规模、规格和时间，提高会议实效，切实改进会风。规范和完善财务管理、车辆管理、接待服务、办公用品管理、卫生管理等规章制度，统筹组织好各类后勤保障服务工作，确保周密细致，万无一失。</w:t>
      </w:r>
    </w:p>
    <w:p>
      <w:pPr>
        <w:widowControl/>
        <w:spacing w:line="360" w:lineRule="atLeast"/>
        <w:ind w:firstLine="640" w:firstLineChars="20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五是突出活动引领，搞好素质提升。坚持以开展“三严三实”专题教育、解放思想大讨论为动力，引导党员干部深入学习党的十八大、十八届三中、四中、五全会和习近平总书记系列重要讲话精神，努力提高学习能力、综合协调能力、善抓落实能力和开拓创新能力。坚持将学习与实践有机结合起来，在干中学习、干中总结、干中提高，努力提高工作水平。严格遵守办公室的规章制度和工作纪律，明确各自责任，规范各自行为，大力倡导苦干实干、勤奋工作的风气，严肃认真、雷厉风行的风气，团结和谐、谦虚谨慎的风气，相互关心、奋发向上的风气。严格执行党风廉政建设的各项规定，加强廉政教育，增强廉洁意识，提高办公室人员的拒腐防变能力，营造办公室干净干事的氛围，全力维护办公室良好的形象，使办公室全体人员始终充满激情和活力，着力推动各项工作迈上更高台阶。</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rPr>
              <w:t>260</w:t>
            </w:r>
            <w:r>
              <w:rPr>
                <w:rFonts w:hint="eastAsia" w:ascii="方正小标宋_GBK" w:eastAsia="方正小标宋_GBK"/>
                <w:sz w:val="24"/>
                <w:lang w:eastAsia="zh-CN"/>
              </w:rPr>
              <w:t>中国共产党</w:t>
            </w:r>
            <w:r>
              <w:rPr>
                <w:rFonts w:hint="eastAsia" w:ascii="方正小标宋_GBK" w:eastAsia="方正小标宋_GBK"/>
                <w:sz w:val="24"/>
              </w:rPr>
              <w:t>廊坊市广阳区</w:t>
            </w:r>
            <w:r>
              <w:rPr>
                <w:rFonts w:hint="eastAsia" w:ascii="方正小标宋_GBK" w:eastAsia="方正小标宋_GBK"/>
                <w:sz w:val="24"/>
                <w:lang w:eastAsia="zh-CN"/>
              </w:rPr>
              <w:t>委员会</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一、参谋协调运转</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区委公文运转、各种会议和活动组织安排、公务接待等。</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保障区委各种会议、日常工作活动的正常、顺利进行；保障机关公文正常运转</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1、公文运转</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承担区委、区委领导同志交办的文件、讲话稿的起草或修改工作；承担为区委制定决策和有关政策的服务工作；负责内刊编辑工作。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效率高，无差错，领导满意。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无差错率 </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精简高效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2、协调区委各种会议和活动</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区委各种会议的会务工作和区委日常工作活动的组织安排。</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严控会议计划、会议规模和会期，严格会议开支标准，严控大型活动数量，降低会议和活动费用开支。</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会议规模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3、公务接待</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管理区接待办公室；负责各种公务接待服务工作；负责区领导同志交办的其他接待任务。</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严格执行接待标准，降低接待费规模。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接待标准控制率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接待规模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接待服务质量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二、信息收集与督查调研</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围绕市委总体工作部署开展综合调研，收集和处理信息、反映动态；承担党市委重要工作部署贯彻落实的督导检查，市委领导同志批示件的传达和催办落实。</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1、信息收集及民意调查</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党委系统信息工作的组织、协调和指导。围绕上级精神和区委的重大决策部署收集、整理和反馈信息；加强党委信息网络维护和应用；做好社情民意收集和办理工作。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信息采集上报率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信息采集数量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2、督查调研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区委重大决策部署贯彻落实的督促检查；区委领导同志有关批示件的催办落实；承担区委领导同志批示件及办理情况的综汇工作；围绕区委重大决策的贯彻落实进行调查研究。</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批示率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三、机关密码管理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全区密码通信和密码管理。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1、密码通信及管理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全区密码通信和密码管理，负责秘密信息传输、办理工作。负责全区密码通信网络的建设与管理。密码干部管理与培训。应急通信服务。承担区密码工作小组的日常工作。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四、保密管理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开展全区保密工作及保密科技监管。</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1、保密工作及保密科技监管</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委保密委员会的日常工作。全区保密管理工作，组织实施保密工作的法律、法规、规定；全区保密宣传教育、督促检查、协调工作；对重大失泄密事件的组织查处，保密干部培训，保密技术防范；组织推广保密技术应用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五、区委事务管理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337.00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区委房产、基建、维修、物资分配和其他行政事务工作；机关离、退休干部的生活服务和阅文、参加有关活动的事务服务工作。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高质量完成年度各项政务管理工作任务。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337.00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后勤保障、财务管理、卫生绿化、医疗保健、档案资料管理、老干部服务、办公用房和办公厅车辆、办公用品和其他固定资产管理以及办公区物业管理和区委、区政府机关大院安全保卫工作。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综合事务高效率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六、全面深化改革</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形成有价值</w:t>
            </w:r>
            <w:r>
              <w:rPr>
                <w:rFonts w:hint="eastAsia" w:ascii="方正书宋_GBK" w:eastAsia="方正书宋_GBK"/>
                <w:lang w:eastAsia="zh-CN"/>
              </w:rPr>
              <w:t>有分量</w:t>
            </w:r>
            <w:r>
              <w:rPr>
                <w:rFonts w:hint="eastAsia" w:ascii="方正书宋_GBK" w:eastAsia="方正书宋_GBK"/>
              </w:rPr>
              <w:t>的研究成果,对改革事项及时督查，对改革重要问题及时汇报请示，对改革政策措施和典型经验及时宣传推广，确保各项改革顺利推进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1、考察调研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组织有关部门，围绕经济体制、生态文明体制、民主法制、文化体制、社会体制、党建制度、纪检体制、农业农村体制等8个领域和各领域改革的关联性、协同性及改革推进中的问题考察调研。</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相关工作领导满意。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调研成果真实性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汇报工作及时性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2、督查落实</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对领导小组决定事项、工作部署和要求，及时进行分解，落实责任分工，建立分领域、分单位改革台帐，对区领导批示件进行催办落实。</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及时督办改革相关工作。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及时高效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落实责任分工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七、防范和处理邪教</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负责全区防范和处理邪教问题领导小组的日常工作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1、全区防范和处理邪教问题领导小组的日常工作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防范处理“法轮功”及其他邪教和对社会有危害气功组织问题的调查研究、政策建议；负责了解、掌握邪教发展方向；协调报导各部门有关防范处理邪教问题工作；负责全区防范和处理邪教问题领导小组的日常工作，督促与协调会议决策事项的落实，负责对“法轮功”练习者转化工作，组织开展宣传教育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八、社区服务</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抓好社区服务，发展社区文化，开展社区教育，不断提高市民素质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完善社区居家养老服务体系。打造社区文化品牌。开展社区文化大讲堂，不断提高市民素质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1、居家养老</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坚持以“区级中心统筹，日间照料为主、社区服务站辅助，求助呼叫畅通”的养老服务体系，进一步加强全区居医养结合服务中心建设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继续建设完善我区居家养老服务体系</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各街道、有关乡镇社区养老服务站建设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社区老年人对养老服务的满意度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全区医养结合服务中心建设率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2、社区文化</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继续利用广阳区“文化艺术节”品牌效益，打造我区社区文化品牌，努力打造“幸福廊坊，和谐广阳”的群众文化品牌，为广大社区居民提供广阔的文化舞台。</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开展一年一度的“广阳区社区文化艺术节”</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每年召开一次社区文化艺术节活动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结合本辖区居民文化需求，开展特色文化活动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积极组织各类活动为载体，丰富社区居民业余文化生活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3、社区教育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托社区市民大讲堂，利用辖区资源，开展不同形式内容的市民大讲堂，不定时对辖区居民开展不同形式的讲座、培训。除集中学习和分散学习相结合之外，聘请教授，组织丰富多彩的宣讲比赛、知识竞赛、有奖征文等活动来调动广大市民群众的学习积极性</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充分利用辖区资源，开展不同形式的教育活动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开展教育活动的各类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组织各街办处、相关乡镇，社区开展活动场次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组织各街办处、相关乡镇，社区开展活动场次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九、社区治安</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加强城区社会治安综合治理，维护城区社会稳定</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维护社区稳定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1、社会综治</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协同综治、公安部门加强社区综合治理，维护城区社会稳定</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对社区进行网格化管理，设立楼道单元长，聘请社区和治安积极分子参与社区治安工作。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维护社区稳定</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社区网格化管理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人防、技防、物防有效实施</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十、推进平安广阳建设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959.09</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加强首都护城河工程建设，为重大案件顺利侦破提供相应的资金支持，开展司法救助等活动，确保平安建设顺利开展。</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实现全区经济社会发展安全安定、人民生活和谐有序。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1、大要案协调保障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对区直有关政法部门牵头办理的社会影响力大、跨区域等重特大案件侦办、办案经费进行指导、协调，确保案件及时侦破。</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2、司法救助</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通过对当事人缓交、减交或免交诉讼费用的救济措施，减轻或者免除经济上确有困难的当事人的负担，保证其能够正常参加诉讼，依法维护其合法权益</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提供适当经济援助</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司法救助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司法救助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司法救助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3、维护稳定工作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169.34</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维护稳定工作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安全保卫工作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4、全区社会治安综合治理工作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789.75</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通过社会管理综合治理使社会稳定，重大恶性案件和多发性案件得到控制并逐步有所下降，社会丑恶现象大大减少，治安混乱的地区和单位的面貌彻底改观，治安秩序良好，群众有安全感</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全区社会治安综合治理工作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综治干部培训工作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农村治安保险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巡防队工作保障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流管办工作保障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铁路护路工作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农村技防设备维护</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打击非法传销及依法治理进京非访</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矛盾纠纷排查调解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5、执法监督工作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依法督导重特大案件的办理，协调督导有争议的重大、疑难案件的办理，负责涉法涉诉信访工作。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依法督导重特大案件的办理，协调督导有争议的重大、疑难案件的办理，负责涉法涉诉信访工作。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接访工作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不足10%。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执法监督工作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“三位一体”调解中心业务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十一、推进全区政法工作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13.84</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领导、组织、指导全区政法队伍建设工作；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1、全区政法队伍建设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区政法系统的思想政治教育、业务培训和宣传工作，承办政法系统的考察、考核、任免工作，负责政法系统表彰奖励工作，协调督导违法违纪案件的查处工作。组织好法学研究工作，负责全区政法系统干警的申报和审核工作，对干警本人或相关亲属进行定向资助，加强从优待警工作。负责组织推动广大法学工作者、法律工作者参与法学教学和法制宣传，开展法学研究等工作。加强政法信息化保障工作，实现政法工作信息化，为政法机关信息化建设打下坚实基础。</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充分利用内部信息渠道和外部各类新闻媒体开展工作。传达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政法工作宣传业务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2、全区政法工作会议工作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充分利用内部信息渠道和外部各类新闻媒体开展工作。传达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充分利用内部信息渠道和外部各类新闻媒体开展工作。传达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全区政法工作会议工作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3、政法业务工作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政法业务工作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4、全区政法干警培训工作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定期进行政治理论学习</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人文素质培训及经验交流</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全区政法干警培训工作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全区政法干警培训工作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全区政法干警培训工作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5、政法信息化保障工作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13.84</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为长安网政法信息化工作提供资金、技术、人员保障为综治维稳信息平台等政法信息化工作提供资金、技术、人员保障政法网政法信息化工作提供资金、技术、人员保障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确保政法信息化工作顺利开展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政法信息化保障工作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政法信息化保障工作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政法信息化保障工作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6、国家安全工作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十二、法学会建设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开展法治实践；参与法律顾问；开展法律服务；参与法制宣传等</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建立健全机制；培养法律人才；做好法治服务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1、法学会建设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筹备成立广阳区法学会，为党委政府提供法律政策支持</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每年至少组织学习培训3次。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完成全年培训及会议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完成全年培训及会议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完成全年培训及会议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十三、党员和党组织建设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1102.32</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1、党组织建设及党员教育管理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负责全区党组织建设；负责区委基层组织建设牵头抓总工作；研究和提出党内生活制度建设的意见；协调、规划和指导全区党员教育工作；承担党建研究会秘书处职责任务。</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1、社区“两委”班子健全，凝聚力、战斗力强。2、社区综合服务场所达到市区眼球标准。3、社区党组织根据居民需求开展优质高效的特色服务。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1、社区“两委”班子健全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2、社区综合服务场所达到市区眼球标准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3、开展优质高效的特色服务。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2、党代表管理及服务</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分期分批举办党代表履职能力培训班；                         分批组织党代表进行调研视察系列活动；                          组织党代表和相关工作人员去党代表发挥作用先进地区进行考察； 举办调研学习班；             为党代会代表购置学习资料。</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3、结合全区党员队伍实际，有针对性的开展实用技能培训班，不断提高党员创业就业本领，实现工作能力进一步提高、先锋模范带头作用进一步发挥。</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1、开展1期新党员培训班，2期党性教育培训班，2期实用技能培训班，2次党员活动日主题活动。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1、按照省、市、区委要求，以党支部为基本单位，以“三会一课”为基本形式，严格党内组织生活制度，抓好日常学习教育。</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1、按照省、市、区委要求，以党支部为基本单位，以“三会一课”为基本形式，严格党内组织生活制度，抓好日常学习教育。</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3、老党员、困难党员慰问工作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12.32</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发放建国前入党无收入老党员定期生活补助，发放建国前入党老党员及困难党员春节、“七一”慰问款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w:t>
            </w:r>
            <w:r>
              <w:rPr>
                <w:rFonts w:hint="eastAsia" w:ascii="方正书宋_GBK" w:eastAsia="方正书宋_GBK"/>
                <w:lang w:eastAsia="zh-CN"/>
              </w:rPr>
              <w:t>中华人民共和国成立后</w:t>
            </w:r>
            <w:r>
              <w:rPr>
                <w:rFonts w:hint="eastAsia" w:ascii="方正书宋_GBK" w:eastAsia="方正书宋_GBK"/>
              </w:rPr>
              <w:t>入党的生活困难党员进行走访慰问并发放慰问金、慰问品。</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1、根据省、市要</w:t>
            </w:r>
            <w:bookmarkStart w:id="0" w:name="_GoBack"/>
            <w:bookmarkEnd w:id="0"/>
            <w:r>
              <w:rPr>
                <w:rFonts w:hint="eastAsia" w:ascii="方正书宋_GBK" w:eastAsia="方正书宋_GBK"/>
              </w:rPr>
              <w:t>求，按时开展走访慰问活动。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2、按照省市标准，定时、足额发放老党员定额生活补助。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3、结合七一、春节节点，开展形式多样的走访慰问活动，体现党组织对建国前老党员、生活困难党员的关怀，保障困难党员的基本生活。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4、落实农村干部待遇</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1090.00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提高农村干部待遇，激发农村干部干事创业的热情。按时按标准发放村官工资和补贴</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根据村街星级评定结果落实农村干部星级津贴。</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按时发放工资及时性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按时缴纳养老保险及时性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对各村进行星级评定完成率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lang w:eastAsia="zh-CN"/>
              </w:rPr>
            </w:pPr>
            <w:r>
              <w:rPr>
                <w:rFonts w:hint="eastAsia" w:ascii="方正书宋_GBK" w:eastAsia="方正书宋_GBK"/>
                <w:b/>
              </w:rPr>
              <w:t>　　5、</w:t>
            </w:r>
            <w:r>
              <w:rPr>
                <w:rFonts w:hint="eastAsia" w:ascii="方正书宋_GBK" w:eastAsia="方正书宋_GBK"/>
                <w:b/>
                <w:lang w:eastAsia="zh-CN"/>
              </w:rPr>
              <w:t>“两学一做”学习教育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在全区内组织开展“两学一做”学习教育实践活动，加强全区各级党组织建设，提升党员队伍整体素质水平，不断提高工作能力，更好服务群众。</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3、结合全区党员队伍实际，有针对性的开展实用技能培训班，不断提高党员创业就业本领，实现工作能力进一步提高、先锋模范带头作用进一步发挥。</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按照省市要求，落实规定数量的党员教育培训班次。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2、党性教育实现党员全覆盖，技能培训实现满足党员需求。</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3、通过培训使党员的理想信念进一步坚定，先锋模范作用进一步发挥，为全区发展提供坚强的思想政治和组织保证。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十四、干部管理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落实国家工资政策和涉及领导干部收入分配的相关政策，准确高效办理区委管理干部的工资及退休费审批；培养锻炼干部，提高干部整体素质；为各级领导班子储配人才。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1、区委管理干部管理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干部任职考察；干部任免的报批和备案工作；负责区委管理干部的考察和办理任免、工资、待遇、退（离）休审批手续；参与研究全区干部工资政策和区管干部离退休待遇政策；落实干部工资、审批区管干部工资及退休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提高区管干部管理的规范性。</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1.是否做好干部任职考察；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2.是否做好干部任免的报批和备案工作；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3.是否做好负责区委管理干部的考察和办理任免、工资、待遇、退（离）休审批手续；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1.是否及时做好干部任免的报批和备案工作；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2、是否负责区委管理干部的考察和办理任免、工资、待遇、退（离）休审批手续；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3.是否参与研究全区干部工资政策和区管干部离退休待遇政策；</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1.是否做好干部任职考察；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2.是否干部任免的报批和备案工作；负责区委管理干部的考察和办理任免、工资、待遇、退（离）休审批手续；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3.是否参与研究全区干部工资政策和区管干部离退休待遇政策；</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2、区领导班子换届</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负责配合市委组织部做好区级领导班子换届的考察工作；负责做好区委换届选举工作；负责做好区领导班子换届推荐、考察、呈报研究等相关工作；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完成好区乡两级级领导班子换届的考察工作；组织好区委换届选举工作。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1.是否提前做好换届准备工作。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100%完成圆满完成区乡领导班子换届工作。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2.是否认真组织乡镇领导班子换届考察。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100%完成圆满完成区乡领导班子换届工作。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3.是否配合市委组织部考察组做好区级班子换届考察工作。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100%完成圆满完成区乡领导班子换届工作。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3、干部队伍管理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负责组织对全区干部考核工作的宏观指导和督导检查；负责对全区组织部门干部监督工作的综合、协调和宏观指导；负责区科级干部的宏观管理和备案审查工作；承办部分干部的调配、交流及安置事宜。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创建广阳区业绩突出干部实际当信息库，对全区干部工作中业绩表现特别突出的，优先在年度考核中评定为优秀，优先推荐到重要岗位，优先确定为后备干部，优先提拔使用。对相关设备定期进行完善升级和必要维护，根据维护次数达到优、良、中目标。2、对收集信息定期进行整理归档。3、做到信息保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1、定期维护信息平台及相关设备次数3次以上（含3次）评定为优，2次（含2次）以上评定为良，1次（含1次）以上评定为中。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1、反映年内对评定为优秀等次的领导班子及领导干部给予奖励。30个工作日内完成评为优，30-60工作日完成评为良，90以上工作日评完成为中。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1、全年定期组织全区考核系统干部培训班，培训考核工作人才。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2、能力素质得到提升,适应新形势、新任务的需要。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3、在全区打造一支素质过硬、作风优良、善谋实干的干部考核队伍。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1、反映区直党群股级以下工作人员奖励经费发放完成情况，30个工作日内完成评为优，30-60工作日完成评为良，90以上工作日评完成为中。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1、定期维护信息平台及相关设备次数3次以上（含3次）评定为优，2次（含2次）以上评定为良，1次（含1次）以上评定为中。对信息定期进行整理归档。做到信息保密。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4、干部监督及干部选拔任用监督</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对全区区级及以下领导班子和领导干部的监督；负责对全区科级及以下领导干部选拔任用工作的监督，组织开展《干部任用条例》及有关法规贯彻执行情况检查；负责受理查核全区科级及以下领导班子、领导干部和干部选拔任用工作方面的信访举报。负责组织全区处级领导干部填报个人有关事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严格领导干部个人有关事项抽查核实，加强查核结果运用，切实防止领导干部“带病提拔”。</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1.是否负责对全区区级及以下领导班子和领导干部的监督；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2.是否负责对全区科级及以下领导干部选拔任用工作的监督，组织开展《干部任用条例》及有关法规贯彻执行情况检查；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3.是否负责受理查核全区科级及以下领导班子、领导干部和干部选拔任用工作方面的信访举报。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1.负责对全区区级及以下领导班子和领导干部的监督；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2.负责对全区科级及以下领导干部选拔任用工作的监督，组织开展《干部任用条例》及有关法规贯彻执行情况检查；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3.负责受理查核全区科级及以下领导班子、领导干部和干部选拔任用工作方面的信访举报。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1.是否负责对全区区级及以下领导班子和领导干部的监督；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2.是否负责对全区科级及以下领导干部选拔任用工作的监督，组织开展《干部任用条例》及有关法规贯彻执行情况检查；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3.是否负责受理查核全区科级及以下领导班子、领导干部和干部选拔任用工作方面的信访举报；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5、干部统计工作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对全区党政机关公务员及事业、专业技术人员有关情况进行统计</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1.及时准确了解全区党政机关公务员及事业专业技术人员有关情况</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1.是否及时准确了解全区党政机关公务员及事业专业技术人员有关情况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能够真实准确反映全区党政机关公务员及事业、专业技术人员有关情况，数据表内逻辑关系、表间逻辑关系清晰准确，准确率达到98%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能够真实准确反映全区党政机关公务员及事业、专业技术人员有关情况，数据表内逻辑关系、表间逻辑关系清晰，数据较为准确，准确率达到95%</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能够真实准确反映全区党政机关公务员及事业、专业技术人员有关情况，数据表内逻辑关系、表间逻辑关系基本清晰，数据基本准确，准确率达到90%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基本能够真实准确反映全区党政机关公务员及事业、专业技术人员有关情况，数据表内逻辑关系、表间逻辑关系混乱，数据准确率较低，准确率低于88%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2.是否能够真实准确反映全区党政机关公务员及事业、专业技术人员有关情况，数据表内逻辑关系、表间逻辑关系清晰准确，准确率达到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能够真实准确反映全区党政机关公务员及事业、专业技术人员有关情况，数据表内逻辑关系、表间逻辑关系清晰准确，准确率达到98%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能够真实准确反映全区党政机关公务员及事业、专业技术人员有关情况，数据表内逻辑关系、表间逻辑关系清晰，数据较为准确，准确率达到95%</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能够真实准确反映全区党政机关公务员及事业、专业技术人员有关情况，数据表内逻辑关系、表间逻辑关系基本清晰，数据基本准确，准确率达到90%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基本能够真实准确反映全区党政机关公务员及事业、专业技术人员有关情况，数据表内逻辑关系、表间逻辑关系混乱，数据准确率较低，准确率低于88%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3.是否对全区党政机关公务员及事业、专业技术人员有关情况进行统计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能够真实准确反映全区党政机关公务员及事业、专业技术人员有关情况，数据表内逻辑关系、表间逻辑关系清晰准确，准确率达到98%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能够真实准确反映全区党政机关公务员及事业、专业技术人员有关情况，数据表内逻辑关系、表间逻辑关系清晰，数据较为准确，准确率达到95%</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能够真实准确反映全区党政机关公务员及事业、专业技术人员有关情况，数据表内逻辑关系、表间逻辑关系基本清晰，数据基本准确，准确率达到90%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基本能够真实准确反映全区党政机关公务员及事业、专业技术人员有关情况，数据表内逻辑关系、表间逻辑关系混乱，数据准确率较低，准确率低于88%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6、干部档案管理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落实档案管理制度，做好干部档案相关工作；做好干部档案数字化工作，按时更新维护数字档案数据库；及时定期更换档案室六防设备</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完善更新干部人事档案，提高科学管理水平，有效的保管和利用档案，更好为干部工作服务。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1.是否落实档案管理制度，做好干部档案相关工作；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严格落实档案管理制度；及时接转、整理档案；做好干部档案数字化工作按时更新维护数字档案数据库；完成对管档人员的培训管理工作；做好档案室“六防”工作，定期更换六防设备。100%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严格落实档案管理制度；及时接转、整理档案；做好干部档案数字化工作按时更新维护数字档案数据库；未及时定期更换六防设备。90%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未按照档案管理规定及时对干部档案进行归档整理、数字化工作；60%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2.是否做好干部档案数字化工作，按时更新维护数字档案数据库；</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严格落实档案管理制度；及时接转、整理档案；做好干部档案数字化工作按时更新维护数字档案数据库；完成对管档人员的培训管理工作；做好档案室“六防”工作，定期更换六防设备。100%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严格落实档案管理制度；及时接转、整理档案；做好干部档案数字化工作按时更新维护数字档案数据库；未及时定期更换六防设备。90%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未按照档案管理规定及时对干部档案进行归档整理、数字化工作；60%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3.是否及时定期更换档案室六防设备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严格落实档案管理制度；及时接转、整理档案；做好干部档案数字化工作按时更新维护数字档案数据库；完成对管档人员的培训管理工作；做好档案室“六防”工作，定期更换六防设备。100%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严格落实档案管理制度；及时接转、整理档案；做好干部档案数字化工作按时更新维护数字档案数据库；未及时定期更换六防设备。90%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未按照档案管理规定及时对干部档案进行归档整理、数字化工作；60%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7、干部培养选拔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1.按照各单位各部门的职位需求，坚持德才兼备的用人标准和公平公正的选人原则，把有利于我区经济社会发展的人才选聘到事业需要的岗位上来。</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1.是否按照各单位各部门的职位需求，坚持德才兼备的用人标准和公平公正的选人原则，把有利于我区经济社会发展的人才选聘到事业需要的岗位上来。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2.是否组织落实培养选拔后备干部、妇女干部、少数民族干部工作。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3.是否着眼于提高素质和改善结构，大力加强乡科级优秀年轻干部队伍建设。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8、干部教育培训</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主管全区的干部教育工作。承担区委干部教育工作领导小组办公室的职责任务；制订干部教育工作的方针、政策、规划；研究和探索适合我区情况的干部培训制度；对区直干部培训工作进行协调、指导、检查；组织区委管理的干部和一定层次的其他干部的培训。</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1、将组织人事干部培训纳入干部培训整体规划                           2、组织人事干部培训达到全覆盖      3、分期分批对全区直部门组织人事干部进行培训，进一步强化责任意识，规范工作程序，提高工作质量，促进区直部门组织人事干部业务水平的进一步提高。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1、是否制定全年工作要点和培训规划</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2、全年直接举办6期培训班，培训干部1000人次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3、从严加强干部教育培训管理，严肃培训纪律，强化学风建设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9、区直组织人事干部培训</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组织区直组织人事干部进行培训。</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1、将组织人事干部培训纳入干部培训整体规划                           2、组织人事干部培训达到全覆盖      3、分期分批对全区直部门组织人事干部进行培训，进一步强化责任意识，规范工作程序，提高工作质量，促进区直部门组织人事干部业务水平的进一步提高。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1、组织人事干部培训是否纳入干部培训整体规划</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2、组织人事干部培训覆盖率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3、年底前，将区直组织人事干部全部进行一遍培训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十五、人才工作及人才队伍建设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231.00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负责全区人才工作的综合协调、检查指导，承担区委人才工作领导小组办公室职责任务；负责区管优秀专家等各类专家人才的选拔管理。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加强人才队伍建设，为广阳区经济社会发展提供有力的人才支撑</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1、人才队伍管理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231.00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按照规定周期和程序要求，组织做好区管优秀专家评选和滚动管理工作。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1、做好区管优秀专家评选和决咨委换届                            2、加强对选调生队伍的教育和培养 严格程序，选拔高素质选调生     3、做好上级各类人才评选工作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1、年底前，完成区管优秀专家评选和决咨委换届 </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2、妥善安排新分配选调生，落实相关待遇，引导选调生发挥作用情况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3、按照上级要求，各类人才评选推荐申报工作完成情况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2、落实区管优秀专家待遇</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依据《廊坊市优秀专家选拔管理办法》（廊发〔2013〕22号）为区管优秀专家落实相关待遇</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1、健全完善机制                2、落实有关待遇                3、促进优秀专家发挥作用                        </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1、进一步健全完善优秀专家管理办法和相关制度完成情况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2、优秀专家落实待遇完成率  </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3、按照上级要求，各类人才评选推荐申报工作完成情况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十六、组织事务管理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1597.35</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负责做好部机关机要、文秘、信访、会议、固定资产等工作的计划安排和管理；负责机关自身建设；负责老干部综合服务和保障工作；负责新闻工作网宣与舆情监控、处置；组织系统信息化建设。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做好部机关机要、文秘、信访、会议、固定资产等工作的计划安排和管理；干部、人事政策科学合理；网宣与舆情监控到位、处置及时；信息系统运行无障碍。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1597.35</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组织、干部工作综合研究，相关政策法规起草、制定、审核；组织、指导、协调全区组织系统互联网宣传工作；信息、信访工作。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大组工网运行正常</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1、组建不少于50人的新闻和网宣工作者队伍。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2、对广阳区涉组涉干网络舆情进行 监控、处置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3、对广阳党建工作经验进行宣传报道。</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1.网络全年每天24小时实现安全、稳定、高效运转；</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2.所有网络、安全、保障类硬件设备正常稳定运转，各类业务应用系统和数据库安全高效运行。</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3.出现网络运行故障及时有效处理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十七、宣传思想工作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36.00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指导全区宣传工作；规划组织思想政治工作；指导协调宣传思想文化事业和外宣事业发展；加强舆论舆情引导管理；协调互联网宣传和信息内容管理；加强精神文明建设。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牢牢掌握意识形态工作领导权、管理权、话语权，弘扬主旋律，汇聚正能量，为经济社会发展提供有力的思想保证、精神动力、舆论支持。</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1、思想理论建设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深入实施马克思主义理论研究和建设工程，深化中国特色社会主义和中国梦研究；深入学习宣传习近平总书记系列重要讲话；广泛开展理论宣传活动。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理论研究水平，为全区经济社会发展提供理论支持；提高干部群众运用科学理论解决实际问题能力；增强广大干部群众理论自信、道路自信、制度自信、文化自信，不断巩固全区人民团结奋斗的共同思想基础。</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党员干部学习习近平总书记系列重要讲话精神成果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理论研究课题成果数量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在报纸、电台、电视台、网络等新闻媒体开办理论宣传专栏数量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2、思想政治工作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部署思想政治工作任务，践行社会主义核心价值观，宣传推广先进典型，加强爱国主义教育基地建设和全民国防教育，加强基层党员教育，组织开展系列宣传教育活动。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完成思想政治工作重大任务，推进社会主义核心价值观落地生根。</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社会主义核心价值观内容在全社会普及率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爱国主义教育基地参观学习人数（人）</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组织开展主题宣传教育活动（次）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3、对外宣传事业</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加强和改进新闻发布工作，扩大对外宣传，开展多种形式的文化交流活动。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充分展示我区良好形象，不断提高我区知名度、美誉度。</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组织媒体来采访、宣传（次）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组织举办区内外文化交流活动（次）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组织召开系列主题新闻发布会（场）</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4、舆论舆情引导管理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牢牢把握正确导向，为全区经济社会发展提供有力的舆论支持；提升新闻工作者的政治意识、责任意识和职业素养；提高舆情研判能力和信息服务水平，及时化解、妥善处理有关负面舆情。</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舆情信息收集、分析、上报数量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在市及以上媒体播发宣传我区稿件（篇）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突发事件新闻处置完成率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5、互联网宣传和信息内容管理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加强网络安全和信息化工作，加强互联网宣传和信息内容管理，加强网络文化建设。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完善互联网管理领导体制，加强网上舆论引导，营造良好网络舆论氛围，发展健康向上网络文化。</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互联网重大突发事件应急处置率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重大涉冀舆情监测覆盖率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组织开展网络宣传活动（次）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6、新闻内宣《时代广阳》</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26.00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加强和改进新闻发布工作，扩大对内宣传，开展多种形式的文化交流活动。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7、精神文明建设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部署精神文明创建工作，组织指导全区群众性精神文明创建活动。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全县城乡文明程度显著提升，和谐向善的社会风气逐步形成。</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社会风气、公民素质及文化生活质量水平</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组织开展精神文明创建活动（次）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开展主题志愿服务活动（次）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十八、推动文化发展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深化文化体制改革，构建现代公共文化服务体系；加强精神文化产品创作生产。</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进一步解放和发展文化生产力，推动全区文化事业和文化产业健康发展。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1、文化事业产业发展</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管理区级各类文化发展专项资金和基金，支持重点文化项目建设，加强文化招商，推动文化事业产业健康发展。</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推动文化事业繁荣和文化产业快速发展。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文化事业产业类资金撬动社会资金比例</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全省文化产业增加值年增速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全省文化产业增加值情况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2、文化艺术发展</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构建现代公共文化服务体系，加强精神文化产品创作生产，传承和保护优秀传统文化，推动文化艺术健康发展。</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推动全县文化艺术健康发展。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我省主导创作生产的、在全市产生影响力的文艺精品数量（部）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组织系列文化活动数量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3、文化体制改革</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组织实施深化文化体制改革实施方案。</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全面推进文化体制机制创新，激发全县文化创造活力，确保国有文化资产保值增值。</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文化体制改革重点任务和文化改革政策落实协调推进率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国有文化资产保值增值情况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国有文化资产保值增值统计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十九、宣传事务管理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负责系统综合业务管理和机关综合事务管理。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确保各项业务工作谋划到位、顺利开展。保障机关工作正常高效运转。</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开展宣传文化业务管理，加强政策业务宣传等。</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重点工作督察督办数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重点工作督察进度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重点工作督察完成率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二十、党史研究</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承担党史研究与宣传教育、资料征编工作。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1、党史研究与宣传教育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研究历史，总结历史经验，为党的建设和区委决策提供历史借鉴，充分发挥党史资政育人的作用，为我区改革开放和现代化建设的大局服务。强化党史宣传，大力普及党史知识。</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w:t>
            </w:r>
            <w:r>
              <w:rPr>
                <w:rFonts w:hint="eastAsia" w:ascii="方正书宋_GBK" w:eastAsia="方正书宋_GBK"/>
                <w:lang w:eastAsia="zh-CN"/>
              </w:rPr>
              <w:t>庆祝建党</w:t>
            </w:r>
            <w:r>
              <w:rPr>
                <w:rFonts w:hint="eastAsia" w:ascii="方正书宋_GBK" w:eastAsia="方正书宋_GBK"/>
              </w:rPr>
              <w:t>97周年、抗战胜利73周年系列活动。党史博采宣传利用工作交流会。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开展</w:t>
            </w:r>
            <w:r>
              <w:rPr>
                <w:rFonts w:hint="eastAsia" w:ascii="方正书宋_GBK" w:eastAsia="方正书宋_GBK"/>
                <w:lang w:eastAsia="zh-CN"/>
              </w:rPr>
              <w:t>庆祝建党</w:t>
            </w:r>
            <w:r>
              <w:rPr>
                <w:rFonts w:hint="eastAsia" w:ascii="方正书宋_GBK" w:eastAsia="方正书宋_GBK"/>
              </w:rPr>
              <w:t>97周年</w:t>
            </w:r>
            <w:r>
              <w:rPr>
                <w:rFonts w:hint="eastAsia" w:ascii="方正书宋_GBK" w:eastAsia="方正书宋_GBK"/>
                <w:lang w:eastAsia="zh-CN"/>
              </w:rPr>
              <w:t>庆祝活动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开展抗战胜利73周年</w:t>
            </w:r>
            <w:r>
              <w:rPr>
                <w:rFonts w:hint="eastAsia" w:ascii="方正书宋_GBK" w:eastAsia="方正书宋_GBK"/>
                <w:lang w:eastAsia="zh-CN"/>
              </w:rPr>
              <w:t>庆祝活动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完成《党史博采》杂志征订</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2、资料征编</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征集、整理、编纂历史资料，收集整理重要口述历史资料、重要党史人物回忆录，搜集、整理和研究有关历史的信息资料；党史二卷本的编写，对有关历史上的重要人物进行综合研究。</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完成党史二卷本的编写，专题资料、口述资料、照片资料等搜集工作。征集我区历史上的重要人物资料并进行综合研究，完成部分传稿。</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完成党史二卷本第二次修改</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继续征集文字和照片资料</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完成上级专题撰写</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二十一、党史事务管理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负责综合事务管理工作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筹建广阳党史教育基地。承担机关运转各项工作。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完成内部刊物编辑和印发；做好计算机网络、办公自动化、资料、文印工作。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完成建立党史教育基地前期资料整理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完成机关日常工作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完成内部资料的编印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完成省、市党史研究室部署的工作任务；完成区委交办的党史方面及其他方面的工作任务，为区委解决有关党史方面的问题提供资料的意见。</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保障正常运转情况</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完成省市委党史研究部署临时工作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完成区委交办的党史方面的工作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为区委解决有关党史方面问题提供意见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二十二、组织建设和宣传教育</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领导全区共青团工作；协助区政府教育部门做好学生教育管理工作。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基层团组织和青年组织建设加强，活力明显提升。</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1、组织建设及宣传教育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区青联和少先队工作，对全区性青年社团组织进行指导和管理；有效利用网络和新媒体加强对青年的宣传力度，加强网络和新媒体正面宣传，用科学理论武装青年，用共同理想感召青年，用核心价值观引领青年，协助区委区政府教育部门做好大、中、小学学生的教育管理工作，维护学校稳定和社会安定团结。</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团干部配备和激励，加强思想、作风建设，团干部教育培训；加强青联、少先队工作的指导，加强青年社团组织以及青少年活动阵地的指导和管理。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区乡村三级团组织规范化建设完成率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团干部培训覆盖率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希望工程资助完成率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二十三、服务、引导青少年工作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围绕青年思想动态和青年工作现状，不断加强青少年社会主义核心价值观教育，加强青年教育引导工作，围绕党政中心工作开展各项活动。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1、青少年服务引导工作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围绕青年思想动态和青年工作状况，研究青少年运动、青少年工作理论和思想教育问题开展调研活动；围绕经济建设开展团的各项活动。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做好青年团结教育工作，为全区积极社会发展贡献力量。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青年中心建设完成率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培训、联谊、竞赛活动完成率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五四表彰评选</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二十四、维护青少年权益工作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研究有关青少年发展问题；参与监督青少年法规的执行、处理侵害青少年合法权益的问题。</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加强法治宣传教育，促进青少年健康成长。</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1、预防青少年违法犯罪</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做好中小学学生的教育管理工作，维护学校稳定和社会安定团结；推动青少年事务社会工作开展，提高源头治理力度，做好预防青少年违法犯罪工作。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加强青少年法制宣传教育,增强青少年学法遵法守法用法意识。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全区专家、志愿服务队伍组建数量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法制宣传教育培训讲座完成率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青少年事务社工组织数量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二十五、团委事务管理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负责团区委综合业务管理。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年度工作任务圆满完成，促进共青团事业发展。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参与制定全区的青少年事业发展规划和青少年工作方针、政策;承担区委、区政府和团中央交办的有关事项。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高质量完成全区青少年发展规划和方针政策的制定，圆满完成区委、区政府和团市委交办的各项任务。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机关日常工作完成率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围绕区委、区政府开展活动数量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围绕团市委开展活动数量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二十六、推进新农村建设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通过实施建设美丽乡村，加快建设社会主义新农村。</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通过建设美丽乡村和开展新民居中心村示范点建设，加快建设社会主义新农村。改善农村环境面貌，提升农民生产生活条件。</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1、美丽乡村建设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按照统筹城乡发展要求，组织实施美丽乡村建设。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围绕农村改造十二项专项行动，突出重点，因地制宜，开展美丽乡村建设。按照分期分批推进的要求，每年选定一批重点村实施改造提升。</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重点村改造提升完成率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2、新民居建设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按照民居节能改造的要求，大力推广新民居中心村建设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按照新民居建设的内容和农村面貌改造提升的十五项任务要求，针对我区村庄和民居特色，分别提出规划和建设要求，因地制宜。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搞好村庄建设规划，严格规划管理，严格执行中心村“规划一张图、审批一支笔、建设一盘棋、管理一个法”的制度。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二十七、指导推进农村改革</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全面深化农村重点领域、关键环节改革，加快推进农业农村体制机制创新，增强全区农村经济社会发展活力。</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全面深化农村重点领域、关键环节改革，加快推进农业农村体制机制创新，增强全区农村经济社会发展活力。使农业增效、农民增收、农村增活力。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1、指导农村综合改革</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以建设区级农村产权交易中心为抓手，协调推进全区农村土地制度、产权制度、金融制度改革。</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组织各乡镇各有关部门就农村重点领域改革开展试点，探索经验路径，示范带动全区；指导农村社会化服务体系、农产品保护市场体系和对农业的支出保护提升建设</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全区行政村农民合作社覆盖率（%）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指导农村综合改革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指导农村社会化服务体系、农产品保护市场体系和对农业的支出保护提升建设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提出完善农村土地承包、集体财务及农民负担管理的意见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二十八、指导农村经济发展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协调指导农村经济健康发展，着力促进农民收入持续较快增长。</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积极推动中央、省、市、区委、区政府各项强农惠农富农政策落实，协调指导农村经济健康发展，着力促进农民收入持续快速增长。使农民收入实现持续稳定增长，农村经济持续较快发展。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1、指导区域经济发展，参与全区农村经济结构调整</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完善支持区域经济发展政策体系，指导区域经济结构优化和发展方式转型，加快农村新型家庭手工业发展，促进农民收入持续较快增长。</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做好农村经济指标监测与评价，提出农村经济持续较快发展的意见和建议，为区领导决策提供支撑；推动区域经济实力发展壮大，促进农民收入持续稳定增长。</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政策措施建议采用率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提出农村经济运行分析报告和专项分析报告数量（个）</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撰写专题调研</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2、参与全区农村规划的拟定和组织实施农业农村现代化试点及经验推广。组织协调区直各部门参与农业农村现代化建设并掌握全面情况。</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参与全区农业农村现代化建设规划的拟定和组织实施全区农业农村现代化建设、负责指导农业农村现代化试点及经验总结推广工作，组织协调区直各部门参与农业农村现代化建设并掌握全面情况。</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做好农村规划，在规划的蓝图下加强全区农村各项道路、交通、公共安全、公共服务等方面的建设参与农村扶贫、救灾、帮困的调查研究和组织推动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村庄规划覆盖情况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参与农村扶贫、救灾、帮困的调查研究和组织推动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紧扣村庄规划，结合我区农业、农村及地域特色，找准科教兴农着力点。打破城乡二元结构，加快农村小城镇建设。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二十九、推动全区农村工作开展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负责对全区农村工作情况的综合分析和信息反馈</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负责区直有关部门关于农村经济、农村改革和社会发展重要政策文件的审核把关</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1、综合协调全区农口各部门工作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综合协调全区农口部门工作，及时了解农村工作中新情况、新问题。全区农村综合性会议的组织，区下发的农村政策性文件的审核等。</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区农村工作情况的综合分析和信息反馈，综合协调农口各部门工作，负责区直有关部门关于农村经济、农村改革和社会发展重要政策文件的审核把关。及时了解农村工作中新情况、新动态，有针对性地提出解决的意见和对策，推动全区农村工作的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政策措施建议采用率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强化改革主体责任，作为专项小组在区委全面深化改革领导小组领导下，开展工作，负责本领域改革的研究谋划、协调推动、督察落实。</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强化改革主体责任，作为牵头部门负责改革任务的方案制定、评估、督察、落实工作，做到全程跟进、全程负责、一抓到底。</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三十、指导全区农村基层民主政治建设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承担区农村基层民主政治建设领导小组办公室工作，促进全区农村基层民主政治建设健康发展。</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完善农村基层民主政治制度，有利于充分调动农民参与政治的积极性，提高农民的政治素质,有力地促进农村社会经济的发展,巩固我党在农村的执政地位。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1、开展农村基层民主政治建设各项活动，并就存在的问题进行调查研究，对活动开展情况进行督导检查。</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落实农民的四项民主权利，村务公开、民主议事、村级民主管理新体制运行、四个专项治理。</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全区各村街组织开展村务公开、民主议事等活动，提供村务公开载体，保存公开记录，并对活动开展情况进行督导检查，对开展活动中出现的问题进行调查研究，确保全区基层民主政治建设健康发展。对全区基层民主政治建设总体情况进行研究，提出推进村务公开和基层民主政治建设的总体思路</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加强对全区村务公开工作进行宣传、督导、检查力度，及时收取公开档案。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开展基层民主政治建设重点工作督导（次）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政策措施建议采用率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三十一、政务管理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贯彻落实中央和区委、区政府关于“三农”工作的决策部署。</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贯彻落实中央、省和市、区委、区政府关于“三农”工作的决策部署。</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落实区委、区政府农业农村重点工作和重大政策。</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发挥区委区政府农村工作领导小组办公室职能职责。紧密结合我区实际，提出有针对性和可操作性的政策措施建议；督导相关部门落实工作任务。在大量调研的基础上，及时采取切实有效措施，逐步探索建立以乡带村、以村促乡，乡和村宣传文化互促共进的良性互动机制。</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开展“三农”重点工作督导（次）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协调推动区委区政府农村工作领导小组议定事项落实率（%）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结合我区实际和工作开展需要，组织实施多种形式、不同内容的农村宣传工作（次）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完成省、市、区重大调研课题（项）</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围绕全区大气污染防治工作，宣传、督导全区秸秆禁烧工作。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2、农村工作宣传</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参与干部下基层、农村稳定、农村基层组织建设、干部培训、思想政治工作、群众工作、精神文明建设和区委关于农村工作重大部署的宣传工作。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三十二、完成区委、区政府和区委农村工作领导小组及省市级主管部门交办的其他事项</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1、完成区委、区政府和区委农村工作领导小组及省市级主管部门交办的其他事项</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学习贯彻落实党的十九大精神等相关内容，落实意识形态主体责任制相关要求。</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加强党风廉政建设责任制和反腐败工作。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三十三、区直机关党建工作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结合区直机关党建工作实际，贯彻执行党的路线、方针、政策和区委的指示、决定，加强党的思想政治建设、组织建设、区直机关党风廉政建设，做好区直机关纪工委工作，。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政治觉悟和思想道德素质明显提高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1、思想政治建设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区直机关各级党组织抓好党的思想、组织、作风建设和党员教育管理，实施对党员特别是党员领导干部的监督，监督党员领导干部过好双重组织生活，负责综合指导区直机关党建工作，承担区直机关思想道德文化建设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利用各种有效载体开展宣传教育活动，效果明显；学习制度得到普遍落实，各项方针、政策得到具体落实</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利用“三会一课”制度，督促党员领导干部过好组织生活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完善部门工作职能</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利用各种有效载体开展宣传教育活动，效果明显；学习制度得到普遍落实，各项方针、政策得到具体落实</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利用各种有效载体开展宣传教育活动，效果明显；学习制度得到普遍落实，各项方针、政策得到具体落实</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2、组织建设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区直基层党组织抓好党的思想、组织、作风建设和制度建设，做好党员管理教育工作，负责审批区直机关直属党组织设置及委员会组成，做好新党员发展工作，入党积极分子的培养教育，审议、审批区直机关党员的违纪案件。</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党组织、党员作用发挥突出。</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入党积极分子培训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党员的教育管理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区直纪检党风廉政建设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组织区直机关全体党员大培训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组织党务干部、党支部成员、专兼职党务干部培训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发展对象培训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三十四、开展统战工作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调查研究统一战线的理论和方针政策，组织贯彻执行中央、省委、市委、区委关于统一战线的方针、政策。负责联系各</w:t>
            </w:r>
            <w:r>
              <w:rPr>
                <w:rFonts w:hint="eastAsia" w:ascii="方正书宋_GBK" w:eastAsia="方正书宋_GBK"/>
                <w:lang w:eastAsia="zh-CN"/>
              </w:rPr>
              <w:t>民主党派</w:t>
            </w:r>
            <w:r>
              <w:rPr>
                <w:rFonts w:hint="eastAsia" w:ascii="方正书宋_GBK" w:eastAsia="方正书宋_GBK"/>
              </w:rPr>
              <w:t>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组织贯彻执行统一战线的方针、政策；向区委反映统一战线全面情况，提出开展统战工作的意见和建议；检查统战政策执行情况，协调统一战线各方面的关系。</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1、民主党派和无党派代表人士工作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不断推进多党合作和政治协商的制度化、规范化，协助民主党派建设高素质干部队伍，不断提高参政议政、民主监督水平。</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组织培训次数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参政议政活动次数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完成调研篇数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2、民族宗教统战</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协调有关民族和宗教工作的政策问题；联系少数民族和宗教界代表人物；协助有关部门做好少数民族干部的培养举荐工作。牵头有关部门做好宗教维稳、抵御境外渗透工作。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3、非公经济工作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联系、培养非公经济代表人士，开展思想政治工作；负责非公经济领域统战工作的有关方针政策的调研并提出政策性建议，促进民营经济健康发展。</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促进非公经济人士健康成长和非公经济健康发展。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挂职民企活动人数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“送服务”活动次数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三下乡活动次数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4、党外知识分子工作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做好党外知识分子交流管理工作。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凝聚共识，弘扬正能量；发挥人才智力优势，服务经济社会发展。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调研报告篇数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培训考察班期数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创新举措数量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三十五、党外干部队伍建设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协助区工商联和区有关统战团体做好干部管理工作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好干部管理工作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1、党外干部队伍建设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协助区工商联和区有关统战团体做好干部管理工作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提升党外干部队伍整体素质，增强党外干部政治把握能力、参政议政能力、组织领导能力和合作共事能力。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年度培训率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跟踪培养人数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遴选推荐人数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三十六、经济文化交流</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会同有关部门统筹协调和指导对台经济工作，组织重要台商的投资活动；参与市政府、区政府大型招商活动;协调指导全区各领域赴台交流的立项、审批、管理和我区赴台交流往来人员的行前教育工作。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通过双向交流互动，加大招商力度，不断扩大我区在台湾的知名度和影响力。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1、招商活动</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统筹协调全区对台经贸,组织参与台商投资及区政府招商活动。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不断优化我区投资环境，促进落户台企健康发展和产业结构调整。开展对台招商活动，加大招商引资力度，提高招商引资成效</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参会人次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签约项目数量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行业协会数量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2、文化交流</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组织入台交流、三祖文化、宗亲文化等大型交流活动，协调、指导全区涉台文化、学术、科技等领域的文化交流合作。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有效推动与台间文化双向互动，增强两岸同胞同为炎黄子孙的民族认同感和民族凝聚力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交流次数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交流人数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三十七、对台事务管理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调研台湾形势和冀台经济文化交流发展动向，提出对策建议；管理涉台法律事务；负责全区对台宣传和涉台教育工作，受理台胞来冀定居审批，协调处理涉台重大突发事件和活动。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提出符合我区实际的对台政策建议，做好宣传工作，消除负面影响，保障各项对台事务在序开展。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1、对台政策调研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检查了解全区有关对台工作贯彻落实情况，收集、分析冀台经济、文化等领域交流往来资料及发展形势，提出政策性建议。</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根据调研结果及时提出建设性建议和对策，以改进对台工作，形成对台工作调研报告，为区委区政府决策提供建议和咨询</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完成调研任务情况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政策落实情况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政策性建议采纳情况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2、对台宣传教育工作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组织实施全区对台宣传、涉台教育和有关涉台事务的新闻发布活动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我区民众了解涉台知识，台湾民众认识了解我区。宣传推介我区，加大正面引导，消除负面影响。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对台宣传次数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与台湾媒体互动次数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涉台知识宣传</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3、对台工作保障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做好台胞定居服务、平台建设、矛盾排查、对台工作培训、突发事件处置等各项工作。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妥善处置各类涉台事务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对台工作培训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矛盾排查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三十八、敏感期保卫工作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1、敏感期保卫工作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三十九、团结动员妇女参加经济社会建设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团结、教育全县妇女及各类妇女组织同党中央在思想上、政治上、行动上保持高度一致，全面提高妇女素质。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把广大妇女紧密团结在党中央周围，围绕中央、县委县政府中心工作。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1、团结动员妇女参加经济社会建设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完成县委县政府交办的工作任务，全县妇女精神面貌有较大改观，创业就业能力逐步增强，素质得到全面提升。</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注册巾帼志愿者人数（万人）</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美丽庭院建设情况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巾帼创业服务情况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妇女之家建设情况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四十、维护妇女儿童合法权益促进妇女儿童发展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关注并加强研究涉及妇女切身利益的热点、难点问题，及时向县委和县政府反映社情民意，提出对策建议。</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1、关注并加强研究涉及妇女切身利益的热点、难点问题，及时向县委和县政府反映社情民意，提出对策建议。</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帮助权益受到侵害的妇女儿童解决困难和问题，提高广大妇女儿童的维权意识和维权能力，维护妇女儿童合法权益；规范妇女信访秩序，促进社会和谐稳定。</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法律援助妇女侵权案件数</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12.4法律宣传情况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巾帼关爱行动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12338维权作用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四十一、参政议政</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参政议政、社会服务等事项</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1、参政议政</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组织开展调研，向区政协提交大会发言和集体提案，反映社情民意，与区政府对口单位紧密联系。</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提升参政议政水平，为国家治理和社会发展建言献策。</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提交议案数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反映社情民意数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提交调研报告数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2、社会服务</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积极搭建服务平台，举办银企对接会、招商引资、民企入市活动及科技进民企活动。加强与国内外知名企业、海外工商社团的合作交流。组织会员企业参与农村面貌改造提升行动、社会扶贫和公益事业。</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合作与交流次数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法律维权次数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银企对接次数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帮扶任务完成率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四十二、组织建设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发展工商联会员，指导基层商（协）会组织建设等各项工作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贯彻全国和省市工商联组织建设工作方针，指导全区基层商会的建设，维护会员合法权益；组织换届、培训、思想政治和基层建设工作；对非公有制经济优秀人士进行宣传</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1、组织建设及宣传教育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贯彻全国和省市工商联组织建设工作方针，指导全区基层商会的建设，维护会员合法权益；组织换届、培训、思想政治和基层建设工作；对非公有制经济优秀人士进行宣传</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贯彻全国和省市工商联组织建设工作方针，指导全区基层商会的建设，维护会员合法权益；组织换届、培训、思想政治和基层建设工作；对非公有制经济优秀人士进行宣传</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活动参与满意度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召开执常委会议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召开</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未召开</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党员活动日次数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bl>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hint="eastAsia" w:ascii="仿宋_GB2312" w:eastAsia="仿宋_GB2312" w:cs="宋体"/>
          <w:color w:val="000000"/>
          <w:kern w:val="0"/>
          <w:sz w:val="32"/>
          <w:szCs w:val="32"/>
        </w:rPr>
      </w:pPr>
    </w:p>
    <w:p>
      <w:pPr>
        <w:widowControl/>
        <w:spacing w:line="360" w:lineRule="atLeast"/>
        <w:ind w:firstLine="482" w:firstLineChars="150"/>
        <w:jc w:val="left"/>
        <w:rPr>
          <w:rFonts w:ascii="仿宋_GB2312" w:eastAsia="仿宋_GB2312" w:cs="宋体"/>
          <w:b/>
          <w:bCs/>
          <w:color w:val="000000"/>
          <w:kern w:val="0"/>
          <w:sz w:val="32"/>
          <w:szCs w:val="32"/>
        </w:rPr>
      </w:pPr>
    </w:p>
    <w:p>
      <w:pPr>
        <w:widowControl/>
        <w:spacing w:line="360" w:lineRule="atLeast"/>
        <w:ind w:firstLine="480" w:firstLineChars="150"/>
        <w:jc w:val="left"/>
        <w:rPr>
          <w:rFonts w:hint="eastAsia" w:ascii="黑体" w:eastAsia="黑体" w:cs="宋体"/>
          <w:color w:val="000000"/>
          <w:kern w:val="0"/>
          <w:sz w:val="32"/>
          <w:szCs w:val="32"/>
        </w:rPr>
      </w:pPr>
      <w:r>
        <w:rPr>
          <w:rFonts w:hint="eastAsia" w:ascii="黑体" w:eastAsia="黑体" w:cs="宋体"/>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年，我部门安排政府采购预算</w:t>
      </w:r>
      <w:r>
        <w:rPr>
          <w:rFonts w:ascii="仿宋_GB2312" w:eastAsia="仿宋_GB2312" w:cs="宋体"/>
          <w:color w:val="000000"/>
          <w:kern w:val="0"/>
          <w:sz w:val="32"/>
          <w:szCs w:val="32"/>
        </w:rPr>
        <w:t>0.85万元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详见下表</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7"/>
        <w:gridCol w:w="1010"/>
        <w:gridCol w:w="1280"/>
        <w:gridCol w:w="875"/>
        <w:gridCol w:w="831"/>
        <w:gridCol w:w="831"/>
        <w:gridCol w:w="865"/>
        <w:gridCol w:w="902"/>
        <w:gridCol w:w="945"/>
        <w:gridCol w:w="840"/>
        <w:gridCol w:w="637"/>
        <w:gridCol w:w="834"/>
        <w:gridCol w:w="843"/>
        <w:gridCol w:w="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cs="Times New Roman"/>
                <w:sz w:val="32"/>
                <w:szCs w:val="32"/>
              </w:rPr>
            </w:pPr>
            <w:r>
              <w:rPr>
                <w:rFonts w:hint="eastAsia" w:ascii="仿宋_GB2312" w:eastAsia="仿宋_GB2312" w:cs="宋体"/>
                <w:color w:val="000000"/>
                <w:kern w:val="0"/>
                <w:sz w:val="28"/>
                <w:szCs w:val="28"/>
                <w:lang w:val="en-US" w:eastAsia="zh-CN"/>
              </w:rPr>
              <w:t>260-</w:t>
            </w:r>
            <w:r>
              <w:rPr>
                <w:rFonts w:hint="eastAsia" w:ascii="仿宋_GB2312" w:eastAsia="仿宋_GB2312" w:cs="宋体"/>
                <w:color w:val="000000"/>
                <w:kern w:val="0"/>
                <w:sz w:val="28"/>
                <w:szCs w:val="28"/>
              </w:rPr>
              <w:t>廊坊市广阳区</w:t>
            </w:r>
            <w:r>
              <w:rPr>
                <w:rFonts w:ascii="仿宋_GB2312" w:eastAsia="仿宋_GB2312" w:cs="宋体"/>
                <w:color w:val="000000"/>
                <w:kern w:val="0"/>
                <w:sz w:val="28"/>
                <w:szCs w:val="28"/>
              </w:rPr>
              <w:t>区委</w:t>
            </w:r>
          </w:p>
        </w:tc>
        <w:tc>
          <w:tcPr>
            <w:tcW w:w="579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7" w:type="dxa"/>
            <w:gridSpan w:val="2"/>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1280"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采购物品名称</w:t>
            </w:r>
          </w:p>
        </w:tc>
        <w:tc>
          <w:tcPr>
            <w:tcW w:w="875"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831"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数量  单位</w:t>
            </w:r>
          </w:p>
        </w:tc>
        <w:tc>
          <w:tcPr>
            <w:tcW w:w="831"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数量</w:t>
            </w:r>
          </w:p>
        </w:tc>
        <w:tc>
          <w:tcPr>
            <w:tcW w:w="865"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单价</w:t>
            </w:r>
          </w:p>
        </w:tc>
        <w:tc>
          <w:tcPr>
            <w:tcW w:w="5792" w:type="dxa"/>
            <w:gridSpan w:val="7"/>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7"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项目名称</w:t>
            </w:r>
          </w:p>
        </w:tc>
        <w:tc>
          <w:tcPr>
            <w:tcW w:w="1010"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预算资金</w:t>
            </w:r>
          </w:p>
        </w:tc>
        <w:tc>
          <w:tcPr>
            <w:tcW w:w="1280" w:type="dxa"/>
            <w:vMerge w:val="continue"/>
            <w:shd w:val="clear" w:color="auto" w:fill="auto"/>
            <w:vAlign w:val="center"/>
          </w:tcPr>
          <w:p/>
        </w:tc>
        <w:tc>
          <w:tcPr>
            <w:tcW w:w="875" w:type="dxa"/>
            <w:vMerge w:val="continue"/>
            <w:shd w:val="clear" w:color="auto" w:fill="auto"/>
            <w:vAlign w:val="center"/>
          </w:tcPr>
          <w:p/>
        </w:tc>
        <w:tc>
          <w:tcPr>
            <w:tcW w:w="831" w:type="dxa"/>
            <w:vMerge w:val="continue"/>
            <w:shd w:val="clear" w:color="auto" w:fill="auto"/>
            <w:vAlign w:val="center"/>
          </w:tcPr>
          <w:p/>
        </w:tc>
        <w:tc>
          <w:tcPr>
            <w:tcW w:w="831" w:type="dxa"/>
            <w:vMerge w:val="continue"/>
            <w:shd w:val="clear" w:color="auto" w:fill="auto"/>
            <w:vAlign w:val="center"/>
          </w:tcPr>
          <w:p/>
        </w:tc>
        <w:tc>
          <w:tcPr>
            <w:tcW w:w="865" w:type="dxa"/>
            <w:vMerge w:val="continue"/>
            <w:shd w:val="clear" w:color="auto" w:fill="auto"/>
            <w:vAlign w:val="center"/>
          </w:tcPr>
          <w:p/>
        </w:tc>
        <w:tc>
          <w:tcPr>
            <w:tcW w:w="902"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总计</w:t>
            </w:r>
          </w:p>
        </w:tc>
        <w:tc>
          <w:tcPr>
            <w:tcW w:w="4099" w:type="dxa"/>
            <w:gridSpan w:val="5"/>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791"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7" w:type="dxa"/>
            <w:vMerge w:val="continue"/>
            <w:shd w:val="clear" w:color="auto" w:fill="auto"/>
            <w:vAlign w:val="center"/>
          </w:tcPr>
          <w:p/>
        </w:tc>
        <w:tc>
          <w:tcPr>
            <w:tcW w:w="1010" w:type="dxa"/>
            <w:vMerge w:val="continue"/>
            <w:shd w:val="clear" w:color="auto" w:fill="auto"/>
            <w:vAlign w:val="center"/>
          </w:tcPr>
          <w:p/>
        </w:tc>
        <w:tc>
          <w:tcPr>
            <w:tcW w:w="1280" w:type="dxa"/>
            <w:vMerge w:val="continue"/>
            <w:shd w:val="clear" w:color="auto" w:fill="auto"/>
            <w:vAlign w:val="center"/>
          </w:tcPr>
          <w:p/>
        </w:tc>
        <w:tc>
          <w:tcPr>
            <w:tcW w:w="875" w:type="dxa"/>
            <w:vMerge w:val="continue"/>
            <w:shd w:val="clear" w:color="auto" w:fill="auto"/>
            <w:vAlign w:val="center"/>
          </w:tcPr>
          <w:p/>
        </w:tc>
        <w:tc>
          <w:tcPr>
            <w:tcW w:w="831" w:type="dxa"/>
            <w:vMerge w:val="continue"/>
            <w:shd w:val="clear" w:color="auto" w:fill="auto"/>
            <w:vAlign w:val="center"/>
          </w:tcPr>
          <w:p/>
        </w:tc>
        <w:tc>
          <w:tcPr>
            <w:tcW w:w="831" w:type="dxa"/>
            <w:vMerge w:val="continue"/>
            <w:shd w:val="clear" w:color="auto" w:fill="auto"/>
            <w:vAlign w:val="center"/>
          </w:tcPr>
          <w:p/>
        </w:tc>
        <w:tc>
          <w:tcPr>
            <w:tcW w:w="865" w:type="dxa"/>
            <w:vMerge w:val="continue"/>
            <w:shd w:val="clear" w:color="auto" w:fill="auto"/>
            <w:vAlign w:val="center"/>
          </w:tcPr>
          <w:p/>
        </w:tc>
        <w:tc>
          <w:tcPr>
            <w:tcW w:w="902" w:type="dxa"/>
            <w:vMerge w:val="continue"/>
            <w:shd w:val="clear" w:color="auto" w:fill="auto"/>
            <w:vAlign w:val="center"/>
          </w:tcPr>
          <w:p/>
        </w:tc>
        <w:tc>
          <w:tcPr>
            <w:tcW w:w="945"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合计</w:t>
            </w:r>
          </w:p>
        </w:tc>
        <w:tc>
          <w:tcPr>
            <w:tcW w:w="840"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637"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基金预算拨款</w:t>
            </w:r>
          </w:p>
        </w:tc>
        <w:tc>
          <w:tcPr>
            <w:tcW w:w="834"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财政专户核拨</w:t>
            </w:r>
          </w:p>
        </w:tc>
        <w:tc>
          <w:tcPr>
            <w:tcW w:w="843"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其他来源收入</w:t>
            </w:r>
          </w:p>
        </w:tc>
        <w:tc>
          <w:tcPr>
            <w:tcW w:w="79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　计</w:t>
            </w:r>
          </w:p>
        </w:tc>
        <w:tc>
          <w:tcPr>
            <w:tcW w:w="1010" w:type="dxa"/>
            <w:shd w:val="clear" w:color="auto" w:fill="auto"/>
            <w:vAlign w:val="center"/>
          </w:tcPr>
          <w:p>
            <w:pPr>
              <w:spacing w:line="300" w:lineRule="exact"/>
              <w:jc w:val="right"/>
              <w:rPr>
                <w:rFonts w:hint="eastAsia" w:ascii="仿宋_GB2312" w:eastAsia="仿宋_GB2312" w:cs="Times New Roman"/>
                <w:b/>
                <w:sz w:val="32"/>
                <w:szCs w:val="32"/>
              </w:rPr>
            </w:pPr>
          </w:p>
        </w:tc>
        <w:tc>
          <w:tcPr>
            <w:tcW w:w="1280" w:type="dxa"/>
            <w:shd w:val="clear" w:color="auto" w:fill="auto"/>
            <w:vAlign w:val="center"/>
          </w:tcPr>
          <w:p>
            <w:pPr>
              <w:spacing w:line="300" w:lineRule="exact"/>
              <w:jc w:val="left"/>
              <w:rPr>
                <w:rFonts w:hint="eastAsia" w:ascii="仿宋_GB2312" w:eastAsia="仿宋_GB2312" w:cs="Times New Roman"/>
                <w:b/>
                <w:sz w:val="32"/>
                <w:szCs w:val="32"/>
              </w:rPr>
            </w:pPr>
          </w:p>
        </w:tc>
        <w:tc>
          <w:tcPr>
            <w:tcW w:w="875" w:type="dxa"/>
            <w:shd w:val="clear" w:color="auto" w:fill="auto"/>
            <w:vAlign w:val="center"/>
          </w:tcPr>
          <w:p>
            <w:pPr>
              <w:spacing w:line="300" w:lineRule="exact"/>
              <w:jc w:val="left"/>
              <w:rPr>
                <w:rFonts w:hint="eastAsia" w:ascii="仿宋_GB2312" w:eastAsia="仿宋_GB2312" w:cs="Times New Roman"/>
                <w:b/>
                <w:sz w:val="32"/>
                <w:szCs w:val="32"/>
              </w:rPr>
            </w:pPr>
          </w:p>
        </w:tc>
        <w:tc>
          <w:tcPr>
            <w:tcW w:w="831" w:type="dxa"/>
            <w:shd w:val="clear" w:color="auto" w:fill="auto"/>
            <w:vAlign w:val="center"/>
          </w:tcPr>
          <w:p>
            <w:pPr>
              <w:spacing w:line="300" w:lineRule="exact"/>
              <w:jc w:val="left"/>
              <w:rPr>
                <w:rFonts w:hint="eastAsia" w:ascii="仿宋_GB2312" w:eastAsia="仿宋_GB2312" w:cs="Times New Roman"/>
                <w:b/>
                <w:sz w:val="32"/>
                <w:szCs w:val="32"/>
              </w:rPr>
            </w:pPr>
          </w:p>
        </w:tc>
        <w:tc>
          <w:tcPr>
            <w:tcW w:w="831" w:type="dxa"/>
            <w:shd w:val="clear" w:color="auto" w:fill="auto"/>
            <w:vAlign w:val="center"/>
          </w:tcPr>
          <w:p>
            <w:pPr>
              <w:spacing w:line="300" w:lineRule="exact"/>
              <w:jc w:val="right"/>
              <w:rPr>
                <w:rFonts w:hint="eastAsia" w:ascii="仿宋_GB2312" w:eastAsia="仿宋_GB2312" w:cs="Times New Roman"/>
                <w:b/>
                <w:sz w:val="32"/>
                <w:szCs w:val="32"/>
              </w:rPr>
            </w:pPr>
          </w:p>
        </w:tc>
        <w:tc>
          <w:tcPr>
            <w:tcW w:w="865" w:type="dxa"/>
            <w:shd w:val="clear" w:color="auto" w:fill="auto"/>
            <w:vAlign w:val="center"/>
          </w:tcPr>
          <w:p>
            <w:pPr>
              <w:spacing w:line="300" w:lineRule="exact"/>
              <w:jc w:val="right"/>
              <w:rPr>
                <w:rFonts w:hint="eastAsia" w:ascii="仿宋_GB2312" w:eastAsia="仿宋_GB2312" w:cs="Times New Roman"/>
                <w:b/>
                <w:sz w:val="32"/>
                <w:szCs w:val="32"/>
              </w:rPr>
            </w:pPr>
          </w:p>
        </w:tc>
        <w:tc>
          <w:tcPr>
            <w:tcW w:w="902" w:type="dxa"/>
            <w:shd w:val="clear" w:color="auto" w:fill="auto"/>
            <w:vAlign w:val="center"/>
          </w:tcPr>
          <w:p>
            <w:pPr>
              <w:spacing w:line="300" w:lineRule="exact"/>
              <w:jc w:val="right"/>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0.85</w:t>
            </w:r>
          </w:p>
        </w:tc>
        <w:tc>
          <w:tcPr>
            <w:tcW w:w="945" w:type="dxa"/>
            <w:shd w:val="clear" w:color="auto" w:fill="auto"/>
            <w:vAlign w:val="center"/>
          </w:tcPr>
          <w:p>
            <w:pPr>
              <w:spacing w:line="300" w:lineRule="exact"/>
              <w:jc w:val="right"/>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0.85</w:t>
            </w:r>
          </w:p>
        </w:tc>
        <w:tc>
          <w:tcPr>
            <w:tcW w:w="840" w:type="dxa"/>
            <w:shd w:val="clear" w:color="auto" w:fill="auto"/>
            <w:vAlign w:val="center"/>
          </w:tcPr>
          <w:p>
            <w:pPr>
              <w:spacing w:line="300" w:lineRule="exact"/>
              <w:jc w:val="right"/>
              <w:rPr>
                <w:rFonts w:hint="eastAsia" w:ascii="仿宋_GB2312" w:eastAsia="仿宋_GB2312" w:cs="Times New Roman"/>
                <w:b/>
                <w:sz w:val="32"/>
                <w:szCs w:val="32"/>
                <w:lang w:val="en-US" w:eastAsia="zh-CN"/>
              </w:rPr>
            </w:pPr>
            <w:r>
              <w:rPr>
                <w:rFonts w:hint="eastAsia" w:ascii="仿宋_GB2312" w:eastAsia="仿宋_GB2312" w:cs="Times New Roman"/>
                <w:b/>
                <w:sz w:val="30"/>
                <w:szCs w:val="30"/>
                <w:lang w:val="en-US" w:eastAsia="zh-CN"/>
              </w:rPr>
              <w:t>0.85</w:t>
            </w:r>
          </w:p>
        </w:tc>
        <w:tc>
          <w:tcPr>
            <w:tcW w:w="637" w:type="dxa"/>
            <w:shd w:val="clear" w:color="auto" w:fill="auto"/>
            <w:vAlign w:val="center"/>
          </w:tcPr>
          <w:p>
            <w:pPr>
              <w:spacing w:line="300" w:lineRule="exact"/>
              <w:jc w:val="right"/>
              <w:rPr>
                <w:rFonts w:hint="eastAsia" w:ascii="仿宋_GB2312" w:eastAsia="仿宋_GB2312" w:cs="Times New Roman"/>
                <w:b/>
                <w:sz w:val="32"/>
                <w:szCs w:val="32"/>
              </w:rPr>
            </w:pPr>
          </w:p>
        </w:tc>
        <w:tc>
          <w:tcPr>
            <w:tcW w:w="834" w:type="dxa"/>
            <w:shd w:val="clear" w:color="auto" w:fill="auto"/>
            <w:vAlign w:val="center"/>
          </w:tcPr>
          <w:p>
            <w:pPr>
              <w:spacing w:line="300" w:lineRule="exact"/>
              <w:jc w:val="right"/>
              <w:rPr>
                <w:rFonts w:hint="eastAsia" w:ascii="仿宋_GB2312" w:eastAsia="仿宋_GB2312" w:cs="Times New Roman"/>
                <w:b/>
                <w:sz w:val="32"/>
                <w:szCs w:val="32"/>
              </w:rPr>
            </w:pPr>
          </w:p>
        </w:tc>
        <w:tc>
          <w:tcPr>
            <w:tcW w:w="843" w:type="dxa"/>
            <w:shd w:val="clear" w:color="auto" w:fill="auto"/>
            <w:vAlign w:val="center"/>
          </w:tcPr>
          <w:p>
            <w:pPr>
              <w:spacing w:line="300" w:lineRule="exact"/>
              <w:jc w:val="right"/>
              <w:rPr>
                <w:rFonts w:hint="eastAsia" w:ascii="仿宋_GB2312" w:eastAsia="仿宋_GB2312" w:cs="Times New Roman"/>
                <w:b/>
                <w:sz w:val="32"/>
                <w:szCs w:val="32"/>
              </w:rPr>
            </w:pPr>
          </w:p>
        </w:tc>
        <w:tc>
          <w:tcPr>
            <w:tcW w:w="791"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center"/>
              <w:rPr>
                <w:rFonts w:hint="eastAsia" w:ascii="仿宋_GB2312" w:eastAsia="仿宋_GB2312" w:cs="Times New Roman"/>
                <w:b/>
                <w:sz w:val="32"/>
                <w:szCs w:val="32"/>
              </w:rPr>
            </w:pPr>
            <w:r>
              <w:rPr>
                <w:rFonts w:ascii="仿宋_GB2312" w:eastAsia="仿宋_GB2312" w:cs="Times New Roman"/>
                <w:b/>
                <w:sz w:val="32"/>
                <w:szCs w:val="32"/>
              </w:rPr>
              <w:t>党校管理经费</w:t>
            </w:r>
          </w:p>
        </w:tc>
        <w:tc>
          <w:tcPr>
            <w:tcW w:w="1010" w:type="dxa"/>
            <w:shd w:val="clear" w:color="auto" w:fill="auto"/>
            <w:vAlign w:val="center"/>
          </w:tcPr>
          <w:p>
            <w:pPr>
              <w:spacing w:line="300" w:lineRule="exact"/>
              <w:jc w:val="right"/>
              <w:rPr>
                <w:rFonts w:hint="eastAsia" w:ascii="仿宋_GB2312" w:eastAsia="仿宋_GB2312" w:cs="Times New Roman"/>
                <w:b/>
                <w:sz w:val="32"/>
                <w:szCs w:val="32"/>
              </w:rPr>
            </w:pPr>
            <w:r>
              <w:rPr>
                <w:rFonts w:ascii="仿宋_GB2312" w:eastAsia="仿宋_GB2312" w:cs="Times New Roman"/>
                <w:b/>
                <w:sz w:val="32"/>
                <w:szCs w:val="32"/>
              </w:rPr>
              <w:t>0.6</w:t>
            </w:r>
          </w:p>
        </w:tc>
        <w:tc>
          <w:tcPr>
            <w:tcW w:w="1280" w:type="dxa"/>
            <w:shd w:val="clear" w:color="auto" w:fill="auto"/>
            <w:vAlign w:val="center"/>
          </w:tcPr>
          <w:p>
            <w:pPr>
              <w:spacing w:line="300" w:lineRule="exact"/>
              <w:jc w:val="left"/>
              <w:rPr>
                <w:rFonts w:hint="eastAsia" w:ascii="仿宋_GB2312" w:eastAsia="仿宋_GB2312" w:cs="Times New Roman"/>
                <w:b/>
                <w:sz w:val="32"/>
                <w:szCs w:val="32"/>
              </w:rPr>
            </w:pPr>
            <w:r>
              <w:rPr>
                <w:rFonts w:ascii="仿宋_GB2312" w:eastAsia="仿宋_GB2312" w:cs="Times New Roman"/>
                <w:b/>
                <w:sz w:val="32"/>
                <w:szCs w:val="32"/>
              </w:rPr>
              <w:t>计算机</w:t>
            </w:r>
          </w:p>
        </w:tc>
        <w:tc>
          <w:tcPr>
            <w:tcW w:w="875" w:type="dxa"/>
            <w:shd w:val="clear" w:color="auto" w:fill="auto"/>
            <w:vAlign w:val="center"/>
          </w:tcPr>
          <w:p>
            <w:pPr>
              <w:spacing w:line="300" w:lineRule="exact"/>
              <w:jc w:val="left"/>
              <w:rPr>
                <w:rFonts w:hint="eastAsia" w:ascii="仿宋_GB2312" w:eastAsia="仿宋_GB2312" w:cs="Times New Roman"/>
                <w:b/>
                <w:sz w:val="32"/>
                <w:szCs w:val="32"/>
              </w:rPr>
            </w:pPr>
          </w:p>
        </w:tc>
        <w:tc>
          <w:tcPr>
            <w:tcW w:w="831" w:type="dxa"/>
            <w:shd w:val="clear" w:color="auto" w:fill="auto"/>
            <w:vAlign w:val="center"/>
          </w:tcPr>
          <w:p>
            <w:pPr>
              <w:spacing w:line="300" w:lineRule="exact"/>
              <w:jc w:val="left"/>
              <w:rPr>
                <w:rFonts w:hint="eastAsia" w:ascii="仿宋_GB2312" w:eastAsia="仿宋_GB2312" w:cs="Times New Roman"/>
                <w:b/>
                <w:sz w:val="32"/>
                <w:szCs w:val="32"/>
              </w:rPr>
            </w:pPr>
            <w:r>
              <w:rPr>
                <w:rFonts w:ascii="仿宋_GB2312" w:eastAsia="仿宋_GB2312" w:cs="Times New Roman"/>
                <w:b/>
                <w:sz w:val="32"/>
                <w:szCs w:val="32"/>
              </w:rPr>
              <w:t>台</w:t>
            </w:r>
          </w:p>
        </w:tc>
        <w:tc>
          <w:tcPr>
            <w:tcW w:w="831"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2</w:t>
            </w:r>
          </w:p>
        </w:tc>
        <w:tc>
          <w:tcPr>
            <w:tcW w:w="865"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0.3</w:t>
            </w:r>
          </w:p>
        </w:tc>
        <w:tc>
          <w:tcPr>
            <w:tcW w:w="902"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0.6</w:t>
            </w:r>
          </w:p>
        </w:tc>
        <w:tc>
          <w:tcPr>
            <w:tcW w:w="945"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0.6</w:t>
            </w:r>
          </w:p>
        </w:tc>
        <w:tc>
          <w:tcPr>
            <w:tcW w:w="840"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0.6</w:t>
            </w:r>
          </w:p>
        </w:tc>
        <w:tc>
          <w:tcPr>
            <w:tcW w:w="637" w:type="dxa"/>
            <w:shd w:val="clear" w:color="auto" w:fill="auto"/>
            <w:vAlign w:val="center"/>
          </w:tcPr>
          <w:p>
            <w:pPr>
              <w:spacing w:line="300" w:lineRule="exact"/>
              <w:jc w:val="right"/>
              <w:rPr>
                <w:rFonts w:hint="eastAsia" w:ascii="仿宋_GB2312" w:eastAsia="仿宋_GB2312" w:cs="Times New Roman"/>
                <w:b/>
                <w:sz w:val="32"/>
                <w:szCs w:val="32"/>
              </w:rPr>
            </w:pPr>
          </w:p>
        </w:tc>
        <w:tc>
          <w:tcPr>
            <w:tcW w:w="834" w:type="dxa"/>
            <w:shd w:val="clear" w:color="auto" w:fill="auto"/>
            <w:vAlign w:val="center"/>
          </w:tcPr>
          <w:p>
            <w:pPr>
              <w:spacing w:line="300" w:lineRule="exact"/>
              <w:jc w:val="right"/>
              <w:rPr>
                <w:rFonts w:hint="eastAsia" w:ascii="仿宋_GB2312" w:eastAsia="仿宋_GB2312" w:cs="Times New Roman"/>
                <w:b/>
                <w:sz w:val="32"/>
                <w:szCs w:val="32"/>
              </w:rPr>
            </w:pPr>
          </w:p>
        </w:tc>
        <w:tc>
          <w:tcPr>
            <w:tcW w:w="843" w:type="dxa"/>
            <w:shd w:val="clear" w:color="auto" w:fill="auto"/>
            <w:vAlign w:val="center"/>
          </w:tcPr>
          <w:p>
            <w:pPr>
              <w:spacing w:line="300" w:lineRule="exact"/>
              <w:jc w:val="right"/>
              <w:rPr>
                <w:rFonts w:hint="eastAsia" w:ascii="仿宋_GB2312" w:eastAsia="仿宋_GB2312" w:cs="Times New Roman"/>
                <w:b/>
                <w:sz w:val="32"/>
                <w:szCs w:val="32"/>
              </w:rPr>
            </w:pPr>
          </w:p>
        </w:tc>
        <w:tc>
          <w:tcPr>
            <w:tcW w:w="791"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left"/>
              <w:rPr>
                <w:rFonts w:hint="eastAsia" w:ascii="仿宋_GB2312" w:eastAsia="仿宋_GB2312" w:cs="Times New Roman"/>
                <w:sz w:val="32"/>
                <w:szCs w:val="32"/>
              </w:rPr>
            </w:pPr>
            <w:r>
              <w:rPr>
                <w:rFonts w:ascii="仿宋_GB2312" w:eastAsia="仿宋_GB2312" w:cs="Times New Roman"/>
                <w:b/>
                <w:sz w:val="32"/>
                <w:szCs w:val="32"/>
              </w:rPr>
              <w:t>党校管理经费</w:t>
            </w:r>
          </w:p>
        </w:tc>
        <w:tc>
          <w:tcPr>
            <w:tcW w:w="1010" w:type="dxa"/>
            <w:shd w:val="clear" w:color="auto" w:fill="auto"/>
            <w:vAlign w:val="center"/>
          </w:tcPr>
          <w:p>
            <w:pPr>
              <w:spacing w:line="300" w:lineRule="exact"/>
              <w:jc w:val="right"/>
              <w:rPr>
                <w:rFonts w:hint="eastAsia" w:ascii="仿宋_GB2312" w:eastAsia="仿宋_GB2312" w:cs="Times New Roman"/>
                <w:sz w:val="32"/>
                <w:szCs w:val="32"/>
              </w:rPr>
            </w:pPr>
            <w:r>
              <w:rPr>
                <w:rFonts w:ascii="仿宋_GB2312" w:eastAsia="仿宋_GB2312" w:cs="Times New Roman"/>
                <w:sz w:val="32"/>
                <w:szCs w:val="32"/>
              </w:rPr>
              <w:t>0.25</w:t>
            </w:r>
          </w:p>
        </w:tc>
        <w:tc>
          <w:tcPr>
            <w:tcW w:w="1280" w:type="dxa"/>
            <w:shd w:val="clear" w:color="auto" w:fill="auto"/>
            <w:vAlign w:val="center"/>
          </w:tcPr>
          <w:p>
            <w:pPr>
              <w:spacing w:line="300" w:lineRule="exact"/>
              <w:jc w:val="left"/>
              <w:rPr>
                <w:rFonts w:hint="eastAsia" w:ascii="仿宋_GB2312" w:eastAsia="仿宋_GB2312" w:cs="Times New Roman"/>
                <w:sz w:val="32"/>
                <w:szCs w:val="32"/>
              </w:rPr>
            </w:pPr>
            <w:r>
              <w:rPr>
                <w:rFonts w:ascii="仿宋_GB2312" w:eastAsia="仿宋_GB2312" w:cs="Times New Roman"/>
                <w:sz w:val="32"/>
                <w:szCs w:val="32"/>
              </w:rPr>
              <w:t>打印机</w:t>
            </w:r>
          </w:p>
        </w:tc>
        <w:tc>
          <w:tcPr>
            <w:tcW w:w="875" w:type="dxa"/>
            <w:shd w:val="clear" w:color="auto" w:fill="auto"/>
            <w:vAlign w:val="center"/>
          </w:tcPr>
          <w:p>
            <w:pPr>
              <w:spacing w:line="300" w:lineRule="exact"/>
              <w:jc w:val="left"/>
              <w:rPr>
                <w:rFonts w:hint="eastAsia" w:ascii="仿宋_GB2312" w:eastAsia="仿宋_GB2312" w:cs="Times New Roman"/>
                <w:sz w:val="32"/>
                <w:szCs w:val="32"/>
              </w:rPr>
            </w:pPr>
          </w:p>
        </w:tc>
        <w:tc>
          <w:tcPr>
            <w:tcW w:w="831" w:type="dxa"/>
            <w:shd w:val="clear" w:color="auto" w:fill="auto"/>
            <w:vAlign w:val="center"/>
          </w:tcPr>
          <w:p>
            <w:pPr>
              <w:spacing w:line="300" w:lineRule="exact"/>
              <w:jc w:val="left"/>
              <w:rPr>
                <w:rFonts w:hint="eastAsia" w:ascii="仿宋_GB2312" w:eastAsia="仿宋_GB2312" w:cs="Times New Roman"/>
                <w:sz w:val="32"/>
                <w:szCs w:val="32"/>
              </w:rPr>
            </w:pPr>
            <w:r>
              <w:rPr>
                <w:rFonts w:ascii="仿宋_GB2312" w:eastAsia="仿宋_GB2312" w:cs="Times New Roman"/>
                <w:sz w:val="32"/>
                <w:szCs w:val="32"/>
              </w:rPr>
              <w:t>台</w:t>
            </w:r>
          </w:p>
        </w:tc>
        <w:tc>
          <w:tcPr>
            <w:tcW w:w="831"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1</w:t>
            </w:r>
          </w:p>
        </w:tc>
        <w:tc>
          <w:tcPr>
            <w:tcW w:w="865"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0.25</w:t>
            </w:r>
          </w:p>
        </w:tc>
        <w:tc>
          <w:tcPr>
            <w:tcW w:w="902" w:type="dxa"/>
            <w:shd w:val="clear" w:color="auto" w:fill="auto"/>
            <w:vAlign w:val="center"/>
          </w:tcPr>
          <w:p>
            <w:pPr>
              <w:spacing w:line="300" w:lineRule="exact"/>
              <w:rPr>
                <w:rFonts w:hint="eastAsia" w:ascii="仿宋_GB2312" w:eastAsia="仿宋_GB2312" w:cs="Times New Roman"/>
                <w:sz w:val="28"/>
                <w:szCs w:val="28"/>
              </w:rPr>
            </w:pPr>
            <w:r>
              <w:rPr>
                <w:rFonts w:ascii="仿宋_GB2312" w:eastAsia="仿宋_GB2312" w:cs="Times New Roman"/>
                <w:sz w:val="28"/>
                <w:szCs w:val="28"/>
              </w:rPr>
              <w:t>0.25</w:t>
            </w:r>
          </w:p>
        </w:tc>
        <w:tc>
          <w:tcPr>
            <w:tcW w:w="945"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0.25</w:t>
            </w:r>
          </w:p>
        </w:tc>
        <w:tc>
          <w:tcPr>
            <w:tcW w:w="840"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0.25</w:t>
            </w:r>
          </w:p>
        </w:tc>
        <w:tc>
          <w:tcPr>
            <w:tcW w:w="637" w:type="dxa"/>
            <w:shd w:val="clear" w:color="auto" w:fill="auto"/>
            <w:vAlign w:val="center"/>
          </w:tcPr>
          <w:p>
            <w:pPr>
              <w:spacing w:line="300" w:lineRule="exact"/>
              <w:jc w:val="right"/>
              <w:rPr>
                <w:rFonts w:hint="eastAsia" w:ascii="仿宋_GB2312" w:eastAsia="仿宋_GB2312" w:cs="Times New Roman"/>
                <w:sz w:val="32"/>
                <w:szCs w:val="32"/>
              </w:rPr>
            </w:pPr>
          </w:p>
        </w:tc>
        <w:tc>
          <w:tcPr>
            <w:tcW w:w="834" w:type="dxa"/>
            <w:shd w:val="clear" w:color="auto" w:fill="auto"/>
            <w:vAlign w:val="center"/>
          </w:tcPr>
          <w:p>
            <w:pPr>
              <w:spacing w:line="300" w:lineRule="exact"/>
              <w:jc w:val="right"/>
              <w:rPr>
                <w:rFonts w:hint="eastAsia" w:ascii="仿宋_GB2312" w:eastAsia="仿宋_GB2312" w:cs="Times New Roman"/>
                <w:sz w:val="32"/>
                <w:szCs w:val="32"/>
              </w:rPr>
            </w:pPr>
          </w:p>
        </w:tc>
        <w:tc>
          <w:tcPr>
            <w:tcW w:w="843" w:type="dxa"/>
            <w:shd w:val="clear" w:color="auto" w:fill="auto"/>
            <w:vAlign w:val="center"/>
          </w:tcPr>
          <w:p>
            <w:pPr>
              <w:spacing w:line="300" w:lineRule="exact"/>
              <w:jc w:val="right"/>
              <w:rPr>
                <w:rFonts w:hint="eastAsia" w:ascii="仿宋_GB2312" w:eastAsia="仿宋_GB2312" w:cs="Times New Roman"/>
                <w:sz w:val="32"/>
                <w:szCs w:val="32"/>
              </w:rPr>
            </w:pPr>
          </w:p>
        </w:tc>
        <w:tc>
          <w:tcPr>
            <w:tcW w:w="791" w:type="dxa"/>
            <w:shd w:val="clear" w:color="auto" w:fill="auto"/>
            <w:vAlign w:val="center"/>
          </w:tcPr>
          <w:p>
            <w:pPr>
              <w:spacing w:line="300" w:lineRule="exact"/>
              <w:jc w:val="right"/>
              <w:rPr>
                <w:rFonts w:hint="eastAsia"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left"/>
              <w:rPr>
                <w:rFonts w:hint="eastAsia" w:ascii="仿宋_GB2312" w:eastAsia="仿宋_GB2312" w:cs="Times New Roman"/>
                <w:sz w:val="32"/>
                <w:szCs w:val="32"/>
              </w:rPr>
            </w:pPr>
          </w:p>
        </w:tc>
        <w:tc>
          <w:tcPr>
            <w:tcW w:w="1010" w:type="dxa"/>
            <w:shd w:val="clear" w:color="auto" w:fill="auto"/>
            <w:vAlign w:val="center"/>
          </w:tcPr>
          <w:p>
            <w:pPr>
              <w:spacing w:line="300" w:lineRule="exact"/>
              <w:jc w:val="right"/>
              <w:rPr>
                <w:rFonts w:hint="eastAsia" w:ascii="仿宋_GB2312" w:eastAsia="仿宋_GB2312" w:cs="Times New Roman"/>
                <w:sz w:val="32"/>
                <w:szCs w:val="32"/>
              </w:rPr>
            </w:pPr>
          </w:p>
        </w:tc>
        <w:tc>
          <w:tcPr>
            <w:tcW w:w="1280" w:type="dxa"/>
            <w:shd w:val="clear" w:color="auto" w:fill="auto"/>
            <w:vAlign w:val="center"/>
          </w:tcPr>
          <w:p>
            <w:pPr>
              <w:spacing w:line="300" w:lineRule="exact"/>
              <w:jc w:val="left"/>
              <w:rPr>
                <w:rFonts w:hint="eastAsia" w:ascii="仿宋_GB2312" w:eastAsia="仿宋_GB2312" w:cs="Times New Roman"/>
                <w:sz w:val="32"/>
                <w:szCs w:val="32"/>
              </w:rPr>
            </w:pPr>
          </w:p>
        </w:tc>
        <w:tc>
          <w:tcPr>
            <w:tcW w:w="875" w:type="dxa"/>
            <w:shd w:val="clear" w:color="auto" w:fill="auto"/>
            <w:vAlign w:val="center"/>
          </w:tcPr>
          <w:p>
            <w:pPr>
              <w:spacing w:line="300" w:lineRule="exact"/>
              <w:jc w:val="left"/>
              <w:rPr>
                <w:rFonts w:hint="eastAsia" w:ascii="仿宋_GB2312" w:eastAsia="仿宋_GB2312" w:cs="Times New Roman"/>
                <w:sz w:val="32"/>
                <w:szCs w:val="32"/>
              </w:rPr>
            </w:pPr>
          </w:p>
        </w:tc>
        <w:tc>
          <w:tcPr>
            <w:tcW w:w="831" w:type="dxa"/>
            <w:shd w:val="clear" w:color="auto" w:fill="auto"/>
            <w:vAlign w:val="center"/>
          </w:tcPr>
          <w:p>
            <w:pPr>
              <w:spacing w:line="300" w:lineRule="exact"/>
              <w:jc w:val="left"/>
              <w:rPr>
                <w:rFonts w:hint="eastAsia" w:ascii="仿宋_GB2312" w:eastAsia="仿宋_GB2312" w:cs="Times New Roman"/>
                <w:sz w:val="32"/>
                <w:szCs w:val="32"/>
              </w:rPr>
            </w:pPr>
          </w:p>
        </w:tc>
        <w:tc>
          <w:tcPr>
            <w:tcW w:w="831" w:type="dxa"/>
            <w:shd w:val="clear" w:color="auto" w:fill="auto"/>
            <w:vAlign w:val="center"/>
          </w:tcPr>
          <w:p>
            <w:pPr>
              <w:spacing w:line="300" w:lineRule="exact"/>
              <w:jc w:val="right"/>
              <w:rPr>
                <w:rFonts w:hint="eastAsia" w:ascii="仿宋_GB2312" w:eastAsia="仿宋_GB2312" w:cs="Times New Roman"/>
                <w:sz w:val="32"/>
                <w:szCs w:val="32"/>
              </w:rPr>
            </w:pPr>
          </w:p>
        </w:tc>
        <w:tc>
          <w:tcPr>
            <w:tcW w:w="865" w:type="dxa"/>
            <w:shd w:val="clear" w:color="auto" w:fill="auto"/>
            <w:vAlign w:val="center"/>
          </w:tcPr>
          <w:p>
            <w:pPr>
              <w:spacing w:line="300" w:lineRule="exact"/>
              <w:jc w:val="right"/>
              <w:rPr>
                <w:rFonts w:hint="eastAsia" w:ascii="仿宋_GB2312" w:eastAsia="仿宋_GB2312" w:cs="Times New Roman"/>
                <w:sz w:val="32"/>
                <w:szCs w:val="32"/>
              </w:rPr>
            </w:pPr>
          </w:p>
        </w:tc>
        <w:tc>
          <w:tcPr>
            <w:tcW w:w="902" w:type="dxa"/>
            <w:shd w:val="clear" w:color="auto" w:fill="auto"/>
            <w:vAlign w:val="center"/>
          </w:tcPr>
          <w:p>
            <w:pPr>
              <w:spacing w:line="300" w:lineRule="exact"/>
              <w:jc w:val="right"/>
              <w:rPr>
                <w:rFonts w:hint="eastAsia" w:ascii="仿宋_GB2312" w:eastAsia="仿宋_GB2312" w:cs="Times New Roman"/>
                <w:sz w:val="32"/>
                <w:szCs w:val="32"/>
              </w:rPr>
            </w:pPr>
          </w:p>
        </w:tc>
        <w:tc>
          <w:tcPr>
            <w:tcW w:w="945" w:type="dxa"/>
            <w:shd w:val="clear" w:color="auto" w:fill="auto"/>
            <w:vAlign w:val="center"/>
          </w:tcPr>
          <w:p>
            <w:pPr>
              <w:spacing w:line="300" w:lineRule="exact"/>
              <w:jc w:val="right"/>
              <w:rPr>
                <w:rFonts w:hint="eastAsia" w:ascii="仿宋_GB2312" w:eastAsia="仿宋_GB2312" w:cs="Times New Roman"/>
                <w:sz w:val="32"/>
                <w:szCs w:val="32"/>
              </w:rPr>
            </w:pPr>
          </w:p>
        </w:tc>
        <w:tc>
          <w:tcPr>
            <w:tcW w:w="840" w:type="dxa"/>
            <w:shd w:val="clear" w:color="auto" w:fill="auto"/>
            <w:vAlign w:val="center"/>
          </w:tcPr>
          <w:p>
            <w:pPr>
              <w:spacing w:line="300" w:lineRule="exact"/>
              <w:jc w:val="right"/>
              <w:rPr>
                <w:rFonts w:hint="eastAsia" w:ascii="仿宋_GB2312" w:eastAsia="仿宋_GB2312" w:cs="Times New Roman"/>
                <w:sz w:val="32"/>
                <w:szCs w:val="32"/>
              </w:rPr>
            </w:pPr>
          </w:p>
        </w:tc>
        <w:tc>
          <w:tcPr>
            <w:tcW w:w="637" w:type="dxa"/>
            <w:shd w:val="clear" w:color="auto" w:fill="auto"/>
            <w:vAlign w:val="center"/>
          </w:tcPr>
          <w:p>
            <w:pPr>
              <w:spacing w:line="300" w:lineRule="exact"/>
              <w:jc w:val="right"/>
              <w:rPr>
                <w:rFonts w:hint="eastAsia" w:ascii="仿宋_GB2312" w:eastAsia="仿宋_GB2312" w:cs="Times New Roman"/>
                <w:sz w:val="32"/>
                <w:szCs w:val="32"/>
              </w:rPr>
            </w:pPr>
          </w:p>
        </w:tc>
        <w:tc>
          <w:tcPr>
            <w:tcW w:w="834" w:type="dxa"/>
            <w:shd w:val="clear" w:color="auto" w:fill="auto"/>
            <w:vAlign w:val="center"/>
          </w:tcPr>
          <w:p>
            <w:pPr>
              <w:spacing w:line="300" w:lineRule="exact"/>
              <w:jc w:val="right"/>
              <w:rPr>
                <w:rFonts w:hint="eastAsia" w:ascii="仿宋_GB2312" w:eastAsia="仿宋_GB2312" w:cs="Times New Roman"/>
                <w:sz w:val="32"/>
                <w:szCs w:val="32"/>
              </w:rPr>
            </w:pPr>
          </w:p>
        </w:tc>
        <w:tc>
          <w:tcPr>
            <w:tcW w:w="843" w:type="dxa"/>
            <w:shd w:val="clear" w:color="auto" w:fill="auto"/>
            <w:vAlign w:val="center"/>
          </w:tcPr>
          <w:p>
            <w:pPr>
              <w:spacing w:line="300" w:lineRule="exact"/>
              <w:jc w:val="right"/>
              <w:rPr>
                <w:rFonts w:hint="eastAsia" w:ascii="仿宋_GB2312" w:eastAsia="仿宋_GB2312" w:cs="Times New Roman"/>
                <w:sz w:val="32"/>
                <w:szCs w:val="32"/>
              </w:rPr>
            </w:pPr>
          </w:p>
        </w:tc>
        <w:tc>
          <w:tcPr>
            <w:tcW w:w="791" w:type="dxa"/>
            <w:shd w:val="clear" w:color="auto" w:fill="auto"/>
            <w:vAlign w:val="center"/>
          </w:tcPr>
          <w:p>
            <w:pPr>
              <w:spacing w:line="300" w:lineRule="exact"/>
              <w:jc w:val="right"/>
              <w:rPr>
                <w:rFonts w:hint="eastAsia" w:ascii="仿宋_GB2312" w:eastAsia="仿宋_GB2312" w:cs="Times New Roman"/>
                <w:sz w:val="32"/>
                <w:szCs w:val="32"/>
              </w:rPr>
            </w:pPr>
          </w:p>
        </w:tc>
      </w:tr>
    </w:tbl>
    <w:p>
      <w:pPr>
        <w:widowControl/>
        <w:spacing w:line="360" w:lineRule="atLeast"/>
        <w:ind w:left="160" w:hanging="160" w:hangingChars="50"/>
        <w:jc w:val="left"/>
        <w:rPr>
          <w:rFonts w:hint="eastAsia" w:ascii="宋体" w:hAnsi="宋体" w:eastAsia="仿宋_GB2312" w:cs="宋体"/>
          <w:color w:val="000000"/>
          <w:kern w:val="0"/>
          <w:sz w:val="32"/>
          <w:szCs w:val="32"/>
          <w:lang w:eastAsia="zh-CN"/>
        </w:rPr>
      </w:pPr>
    </w:p>
    <w:p>
      <w:pPr>
        <w:widowControl/>
        <w:spacing w:line="360" w:lineRule="atLeast"/>
        <w:ind w:left="160" w:hanging="160" w:hangingChars="5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黑体" w:eastAsia="黑体" w:cs="宋体"/>
          <w:color w:val="000000"/>
          <w:kern w:val="0"/>
          <w:sz w:val="32"/>
          <w:szCs w:val="32"/>
        </w:rPr>
      </w:pPr>
      <w:r>
        <w:rPr>
          <w:rFonts w:ascii="黑体" w:eastAsia="黑体" w:cs="宋体"/>
          <w:color w:val="000000"/>
          <w:kern w:val="0"/>
          <w:sz w:val="32"/>
          <w:szCs w:val="32"/>
        </w:rPr>
        <w:br w:type="page"/>
      </w:r>
      <w:r>
        <w:rPr>
          <w:rFonts w:hint="eastAsia" w:ascii="黑体" w:eastAsia="黑体" w:cs="宋体"/>
          <w:color w:val="000000"/>
          <w:kern w:val="0"/>
          <w:sz w:val="32"/>
          <w:szCs w:val="32"/>
        </w:rPr>
        <w:t>七、国有资产信息</w:t>
      </w:r>
    </w:p>
    <w:p>
      <w:pPr>
        <w:spacing w:line="584" w:lineRule="exact"/>
        <w:ind w:firstLine="640"/>
        <w:rPr>
          <w:rFonts w:hint="eastAsia" w:ascii="仿宋_GB2312" w:eastAsia="仿宋_GB2312" w:cs="宋体"/>
          <w:color w:val="000000"/>
          <w:kern w:val="0"/>
          <w:sz w:val="32"/>
          <w:szCs w:val="32"/>
        </w:rPr>
      </w:pPr>
      <w:r>
        <w:rPr>
          <w:rFonts w:hint="eastAsia" w:ascii="Times New Roman" w:hAnsi="Times New Roman" w:eastAsia="仿宋_GB2312" w:cs="Times New Roman"/>
          <w:sz w:val="32"/>
          <w:szCs w:val="32"/>
          <w:lang w:eastAsia="zh-CN"/>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广阳区委员会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上年末固定资产金额为765.95万元，</w:t>
      </w:r>
      <w:r>
        <w:rPr>
          <w:rFonts w:ascii="Times New Roman" w:hAnsi="Times New Roman" w:eastAsia="仿宋_GB2312" w:cs="Times New Roman"/>
          <w:sz w:val="32"/>
          <w:szCs w:val="32"/>
        </w:rPr>
        <w:t>本年度我部门拟购置固定资产主要为计算机设备、打印设备等，已列入政府采购预算。详见下表。</w:t>
      </w:r>
    </w:p>
    <w:tbl>
      <w:tblPr>
        <w:tblStyle w:val="4"/>
        <w:tblW w:w="11003" w:type="dxa"/>
        <w:tblCellSpacing w:w="0" w:type="dxa"/>
        <w:tblInd w:w="138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8"/>
        <w:gridCol w:w="2422"/>
        <w:gridCol w:w="4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5" w:hRule="atLeast"/>
          <w:tblCellSpacing w:w="0" w:type="dxa"/>
        </w:trPr>
        <w:tc>
          <w:tcPr>
            <w:tcW w:w="11003"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p>
            <w:pPr>
              <w:widowControl/>
              <w:jc w:val="center"/>
              <w:rPr>
                <w:rFonts w:hint="eastAsia" w:ascii="仿宋_GB2312" w:eastAsia="仿宋_GB2312" w:cs="宋体"/>
                <w:kern w:val="0"/>
                <w:sz w:val="32"/>
                <w:szCs w:val="32"/>
              </w:rPr>
            </w:pP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630"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kern w:val="0"/>
                <w:sz w:val="32"/>
                <w:szCs w:val="32"/>
                <w:lang w:val="en-US" w:eastAsia="zh-CN"/>
              </w:rPr>
              <w:t>260</w:t>
            </w:r>
            <w:r>
              <w:rPr>
                <w:rFonts w:hint="eastAsia" w:ascii="仿宋_GB2312" w:eastAsia="仿宋_GB2312" w:cs="宋体"/>
                <w:b/>
                <w:bCs/>
                <w:kern w:val="0"/>
                <w:sz w:val="32"/>
                <w:szCs w:val="32"/>
              </w:rPr>
              <w:t>中国共产党廊坊市广阳区委员会</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w:t>
            </w:r>
            <w:r>
              <w:rPr>
                <w:rFonts w:ascii="仿宋_GB2312" w:eastAsia="仿宋_GB2312" w:cs="宋体"/>
                <w:kern w:val="0"/>
                <w:sz w:val="32"/>
                <w:szCs w:val="32"/>
              </w:rPr>
              <w:t>7</w:t>
            </w:r>
            <w:r>
              <w:rPr>
                <w:rFonts w:hint="eastAsia" w:ascii="仿宋_GB2312" w:eastAsia="仿宋_GB2312" w:cs="宋体"/>
                <w:kern w:val="0"/>
                <w:sz w:val="32"/>
                <w:szCs w:val="32"/>
              </w:rPr>
              <w:t>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24"/>
                <w:szCs w:val="24"/>
              </w:rPr>
            </w:pPr>
            <w:r>
              <w:rPr>
                <w:rFonts w:hint="eastAsia" w:ascii="仿宋_GB2312" w:eastAsia="仿宋_GB2312" w:cs="宋体"/>
                <w:b/>
                <w:bCs/>
                <w:kern w:val="0"/>
                <w:sz w:val="24"/>
                <w:szCs w:val="24"/>
              </w:rPr>
              <w:t>项</w:t>
            </w:r>
            <w:r>
              <w:rPr>
                <w:rFonts w:ascii="宋体" w:hAnsi="宋体" w:eastAsia="仿宋_GB2312" w:cs="宋体"/>
                <w:b/>
                <w:bCs/>
                <w:kern w:val="0"/>
                <w:sz w:val="24"/>
                <w:szCs w:val="24"/>
              </w:rPr>
              <w:t xml:space="preserve">   </w:t>
            </w:r>
            <w:r>
              <w:rPr>
                <w:rFonts w:hint="eastAsia" w:ascii="仿宋_GB2312" w:eastAsia="仿宋_GB2312" w:cs="宋体"/>
                <w:b/>
                <w:bCs/>
                <w:kern w:val="0"/>
                <w:sz w:val="24"/>
                <w:szCs w:val="24"/>
              </w:rPr>
              <w:t>目</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24"/>
                <w:szCs w:val="24"/>
              </w:rPr>
            </w:pPr>
            <w:r>
              <w:rPr>
                <w:rFonts w:hint="eastAsia" w:ascii="仿宋_GB2312" w:eastAsia="仿宋_GB2312" w:cs="宋体"/>
                <w:b/>
                <w:bCs/>
                <w:kern w:val="0"/>
                <w:sz w:val="24"/>
                <w:szCs w:val="24"/>
              </w:rPr>
              <w:t>数量</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24"/>
                <w:szCs w:val="24"/>
              </w:rPr>
            </w:pPr>
            <w:r>
              <w:rPr>
                <w:rFonts w:hint="eastAsia" w:ascii="仿宋_GB2312" w:eastAsia="仿宋_GB2312" w:cs="宋体"/>
                <w:b/>
                <w:bCs/>
                <w:kern w:val="0"/>
                <w:sz w:val="24"/>
                <w:szCs w:val="24"/>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资产总额</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765.95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1、房屋（平方米）</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9000</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ascii="宋体" w:hAnsi="宋体" w:eastAsia="仿宋_GB2312" w:cs="宋体"/>
                <w:kern w:val="0"/>
                <w:sz w:val="24"/>
                <w:szCs w:val="24"/>
              </w:rPr>
              <w:t xml:space="preserve">   </w:t>
            </w:r>
            <w:r>
              <w:rPr>
                <w:rFonts w:hint="eastAsia" w:ascii="仿宋_GB2312" w:eastAsia="仿宋_GB2312" w:cs="宋体"/>
                <w:kern w:val="0"/>
                <w:sz w:val="24"/>
                <w:szCs w:val="24"/>
              </w:rPr>
              <w:t>其中：办公用房（平方米）</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9000</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2、车辆（台、辆）</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16</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255.56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3、单价在20万元以上的设备</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0</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4、其他固定资产</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 </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270.39</w:t>
            </w:r>
          </w:p>
        </w:tc>
      </w:tr>
    </w:tbl>
    <w:p>
      <w:pPr>
        <w:pStyle w:val="9"/>
        <w:spacing w:line="570" w:lineRule="exac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p>
    <w:p>
      <w:pPr>
        <w:pStyle w:val="9"/>
        <w:spacing w:line="570" w:lineRule="exact"/>
        <w:rPr>
          <w:rFonts w:hint="eastAsia" w:ascii="黑体" w:eastAsia="黑体" w:cs="宋体"/>
          <w:b/>
          <w:bCs/>
          <w:sz w:val="32"/>
          <w:szCs w:val="32"/>
          <w:lang w:eastAsia="zh-CN"/>
        </w:rPr>
      </w:pPr>
      <w:r>
        <w:rPr>
          <w:rFonts w:ascii="宋体" w:hAnsi="宋体" w:eastAsia="仿宋_GB2312" w:cs="宋体"/>
          <w:color w:val="000000"/>
          <w:kern w:val="0"/>
          <w:sz w:val="32"/>
          <w:szCs w:val="32"/>
        </w:rPr>
        <w:br w:type="page"/>
      </w:r>
      <w:r>
        <w:rPr>
          <w:rFonts w:hint="eastAsia" w:ascii="黑体" w:eastAsia="黑体" w:cs="宋体"/>
          <w:b/>
          <w:bCs/>
          <w:sz w:val="32"/>
          <w:szCs w:val="32"/>
        </w:rPr>
        <w:t>八、名词解释</w:t>
      </w:r>
    </w:p>
    <w:p>
      <w:pPr>
        <w:pStyle w:val="9"/>
        <w:spacing w:line="570" w:lineRule="exact"/>
        <w:rPr>
          <w:rFonts w:ascii="仿宋_GB2312" w:eastAsia="仿宋_GB2312"/>
          <w:b/>
          <w:bCs/>
          <w:sz w:val="32"/>
          <w:szCs w:val="32"/>
        </w:rPr>
      </w:pP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hint="eastAsia"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9"/>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hint="eastAsia"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hint="eastAsia" w:ascii="黑体" w:eastAsia="黑体" w:cs="宋体"/>
          <w:b/>
          <w:bCs/>
          <w:color w:val="000000"/>
          <w:kern w:val="0"/>
          <w:sz w:val="32"/>
          <w:szCs w:val="32"/>
          <w:lang w:eastAsia="zh-CN"/>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p>
    <w:p>
      <w:pPr>
        <w:widowControl/>
        <w:spacing w:line="570" w:lineRule="exact"/>
        <w:ind w:left="643" w:hanging="640" w:hangingChars="200"/>
        <w:jc w:val="left"/>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p>
    <w:p>
      <w:pPr>
        <w:widowControl/>
        <w:spacing w:line="570" w:lineRule="exact"/>
        <w:ind w:left="643" w:hanging="640" w:hangingChars="200"/>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hint="eastAsia"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4C6BD6"/>
    <w:rsid w:val="08333BD0"/>
    <w:rsid w:val="33016F44"/>
    <w:rsid w:val="466E2BF9"/>
    <w:rsid w:val="580F7555"/>
    <w:rsid w:val="5F812F36"/>
    <w:rsid w:val="67CE6A4C"/>
    <w:rsid w:val="6E8A580B"/>
    <w:rsid w:val="79FD2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customStyle="1" w:styleId="9">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89</Pages>
  <Words>32389</Words>
  <Characters>37515</Characters>
  <Lines>6346</Lines>
  <Paragraphs>2058</Paragraphs>
  <TotalTime>8</TotalTime>
  <ScaleCrop>false</ScaleCrop>
  <LinksUpToDate>false</LinksUpToDate>
  <CharactersWithSpaces>37997</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2017-10-27T09:28:00Z</dcterms:created>
  <dc:creator>lenovo</dc:creator>
  <cp:lastModifiedBy>111</cp:lastModifiedBy>
  <dcterms:modified xsi:type="dcterms:W3CDTF">2024-12-20T01:10:36Z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16DE6D2CBC9A41D7B09255E2E398C3E1</vt:lpwstr>
  </property>
</Properties>
</file>