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广阳区九州镇白家务办事处</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w:t>
      </w:r>
      <w:bookmarkStart w:id="4" w:name="_GoBack"/>
      <w:bookmarkEnd w:id="4"/>
      <w:r>
        <w:rPr>
          <w:rFonts w:hint="eastAsia" w:ascii="Times New Roman" w:hAnsi="Times New Roman" w:eastAsia="仿宋_GB2312" w:cs="Times New Roman"/>
          <w:sz w:val="32"/>
          <w:szCs w:val="32"/>
        </w:rPr>
        <w:t>阳区九州镇白家务办事处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6" w:lineRule="exact"/>
        <w:ind w:left="559" w:leftChars="266"/>
        <w:rPr>
          <w:rFonts w:ascii="仿宋_GB2312" w:eastAsia="仿宋_GB2312"/>
          <w:sz w:val="32"/>
          <w:szCs w:val="32"/>
        </w:rPr>
      </w:pPr>
      <w:r>
        <w:rPr>
          <w:rFonts w:hint="eastAsia" w:ascii="Arial" w:hAnsi="Arial"/>
          <w:color w:val="222222"/>
          <w:sz w:val="28"/>
          <w:szCs w:val="28"/>
          <w:shd w:val="clear" w:color="auto" w:fill="FFFFFF"/>
        </w:rPr>
        <w:t>（</w:t>
      </w:r>
      <w:r>
        <w:rPr>
          <w:rFonts w:ascii="仿宋_GB2312" w:hAnsi="仿宋" w:eastAsia="仿宋_GB2312"/>
          <w:sz w:val="32"/>
          <w:szCs w:val="32"/>
        </w:rPr>
        <w:t>1</w:t>
      </w:r>
      <w:r>
        <w:rPr>
          <w:rFonts w:hint="eastAsia" w:ascii="仿宋_GB2312" w:hAnsi="仿宋" w:eastAsia="仿宋_GB2312"/>
          <w:sz w:val="32"/>
          <w:szCs w:val="32"/>
        </w:rPr>
        <w:t>）、执行本级人民代表大会的决议和上级国家行政机关的决定和命令，发布决定和命令</w:t>
      </w:r>
      <w:r>
        <w:rPr>
          <w:rFonts w:ascii="仿宋_GB2312" w:hAnsi="仿宋" w:eastAsia="仿宋_GB2312"/>
          <w:sz w:val="32"/>
          <w:szCs w:val="32"/>
        </w:rPr>
        <w:t>;</w:t>
      </w:r>
      <w:r>
        <w:rPr>
          <w:rFonts w:ascii="仿宋_GB2312" w:hAnsi="仿宋" w:eastAsia="仿宋_GB2312"/>
          <w:sz w:val="32"/>
          <w:szCs w:val="32"/>
        </w:rPr>
        <w:br w:type="textWrapping"/>
      </w: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）、执行本行政区域内的经济和社会发展计划、预算，管理本行政区域内的经济、教育、科学、文化、卫生、体育事业和财政、民政、公安、司法行政、计划生育等行政工作</w:t>
      </w:r>
      <w:r>
        <w:rPr>
          <w:rFonts w:ascii="仿宋_GB2312" w:hAnsi="仿宋" w:eastAsia="仿宋_GB2312"/>
          <w:sz w:val="32"/>
          <w:szCs w:val="32"/>
        </w:rPr>
        <w:t>;</w:t>
      </w:r>
      <w:r>
        <w:rPr>
          <w:rFonts w:ascii="仿宋_GB2312" w:hAnsi="仿宋" w:eastAsia="仿宋_GB2312"/>
          <w:sz w:val="32"/>
          <w:szCs w:val="32"/>
        </w:rPr>
        <w:br w:type="textWrapping"/>
      </w: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）、保护社会主义的全民所有的财产和劳动群众集体所有的财产，保护公民私人所有的合法财产，维护社会秩序，保障公民的人身权利、民主权利和其他权利</w:t>
      </w:r>
      <w:r>
        <w:rPr>
          <w:rFonts w:ascii="仿宋_GB2312" w:hAnsi="仿宋" w:eastAsia="仿宋_GB2312"/>
          <w:sz w:val="32"/>
          <w:szCs w:val="32"/>
        </w:rPr>
        <w:t>;</w:t>
      </w:r>
      <w:r>
        <w:rPr>
          <w:rFonts w:ascii="仿宋_GB2312" w:hAnsi="仿宋" w:eastAsia="仿宋_GB2312"/>
          <w:sz w:val="32"/>
          <w:szCs w:val="32"/>
        </w:rPr>
        <w:br w:type="textWrapping"/>
      </w: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）、保护各种经济组织的合法权益</w:t>
      </w:r>
      <w:r>
        <w:rPr>
          <w:rFonts w:ascii="仿宋_GB2312" w:hAnsi="仿宋" w:eastAsia="仿宋_GB2312"/>
          <w:sz w:val="32"/>
          <w:szCs w:val="32"/>
        </w:rPr>
        <w:t>;</w:t>
      </w:r>
      <w:r>
        <w:rPr>
          <w:rFonts w:ascii="仿宋_GB2312" w:hAnsi="仿宋" w:eastAsia="仿宋_GB2312"/>
          <w:sz w:val="32"/>
          <w:szCs w:val="32"/>
        </w:rPr>
        <w:br w:type="textWrapping"/>
      </w: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）、保障少数民族的权利和尊重少数民族的风俗习惯</w:t>
      </w:r>
      <w:r>
        <w:rPr>
          <w:rFonts w:ascii="Arial" w:hAnsi="Arial"/>
          <w:color w:val="222222"/>
          <w:sz w:val="28"/>
          <w:szCs w:val="28"/>
          <w:shd w:val="clear" w:color="auto" w:fill="FFFFFF"/>
        </w:rPr>
        <w:t>;</w:t>
      </w:r>
      <w:r>
        <w:rPr>
          <w:rFonts w:ascii="Arial" w:hAnsi="Arial"/>
          <w:color w:val="222222"/>
          <w:sz w:val="28"/>
          <w:szCs w:val="28"/>
        </w:rPr>
        <w:br w:type="textWrapping"/>
      </w:r>
      <w:r>
        <w:rPr>
          <w:rFonts w:hint="eastAsia" w:ascii="仿宋_GB2312" w:hAnsi="仿宋" w:eastAsia="仿宋_GB2312"/>
          <w:sz w:val="32"/>
          <w:szCs w:val="32"/>
        </w:rPr>
        <w:t>（</w:t>
      </w:r>
      <w:r>
        <w:rPr>
          <w:rFonts w:ascii="仿宋_GB2312" w:hAnsi="仿宋" w:eastAsia="仿宋_GB2312"/>
          <w:sz w:val="32"/>
          <w:szCs w:val="32"/>
        </w:rPr>
        <w:t>6</w:t>
      </w:r>
      <w:r>
        <w:rPr>
          <w:rFonts w:hint="eastAsia" w:ascii="仿宋_GB2312" w:hAnsi="仿宋" w:eastAsia="仿宋_GB2312"/>
          <w:sz w:val="32"/>
          <w:szCs w:val="32"/>
        </w:rPr>
        <w:t>）、办理上级区委、区政府交办的其他事项。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廊坊市广阳区九州镇白家务办事处</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b/>
              </w:rPr>
              <w:t>廊坊市广阳区九州镇白家务办事处小学</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b/>
              </w:rPr>
              <w:t>廊坊市广阳区九州镇白家务办事处其他教育</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广阳区九州镇白家务办事处</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2809.58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2809.58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广阳区九州镇白家务办事处</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2809.58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2720.58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2638.31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82.27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89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包括本级支出，</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非公办教师经费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运维经费</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2809.58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822.89</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4.92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827.81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对村民委员会和村党支部的补助</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办事处</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82.27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九州镇白家务办事处</w:t>
      </w:r>
      <w:r>
        <w:rPr>
          <w:rFonts w:ascii="Times New Roman" w:hAnsi="Times New Roman" w:eastAsia="仿宋_GB2312" w:cs="Times New Roman"/>
          <w:sz w:val="32"/>
          <w:szCs w:val="32"/>
        </w:rPr>
        <w:t>机关及所属事业单位办公区的日常维修、办公用房水电费、办公用房取暖费、办公用房物业管理费等日常运行支出。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numPr>
          <w:ilvl w:val="0"/>
          <w:numId w:val="1"/>
        </w:num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以习近平新时代中国特色社会主义思想为指导，全面贯彻落实党的十九届二中、三中、四中全会会议精神，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1、持续提升政务服务与管理工作水平</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公文及时起草或办理，公文起草及办理的质量和效率满足《机关工作标准化流程》要求，拟办意见采纳率90%以上；会议计划100%执行，大型会议圆满完成率达到100%；政务公开及村务公开的完成率达到95%。</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2、持续提升政府电子政务管理水平</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3、提升应急管理水平</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绩效指标：保障日常应急值守和突发事件及时处理，处理率达到95%；做好应急宣传工作，宣传覆盖面积达到95%以上。</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4、持续提升综合业务事务管理水平</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绩效目标：做好辖区内散乱污、饭店油烟、工地扬尘治理管控工作，使得环境得到改善，天气优良率提升；进一步健全城乡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spacing w:line="500" w:lineRule="exact"/>
        <w:ind w:firstLine="640" w:firstLineChars="200"/>
        <w:jc w:val="left"/>
        <w:rPr>
          <w:rFonts w:ascii="Times New Roman" w:eastAsia="方正仿宋_GBK"/>
          <w:sz w:val="28"/>
        </w:rPr>
      </w:pPr>
      <w:r>
        <w:rPr>
          <w:rFonts w:hint="eastAsia" w:ascii="仿宋" w:hAnsi="仿宋" w:eastAsia="仿宋" w:cs="仿宋"/>
          <w:sz w:val="32"/>
          <w:szCs w:val="32"/>
        </w:rPr>
        <w:t>绩效指标：做好散乱污等治理工作，改善辖区内环境，优良天气增加；加强村级建设，更好为辖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w:t>
      </w:r>
      <w:r>
        <w:rPr>
          <w:rFonts w:hint="eastAsia" w:ascii="仿宋" w:hAnsi="仿宋" w:eastAsia="仿宋" w:cs="仿宋"/>
          <w:sz w:val="32"/>
          <w:szCs w:val="32"/>
          <w:lang w:eastAsia="zh-CN"/>
        </w:rPr>
        <w:t>更好地为</w:t>
      </w:r>
      <w:r>
        <w:rPr>
          <w:rFonts w:hint="eastAsia" w:ascii="仿宋" w:hAnsi="仿宋" w:eastAsia="仿宋" w:cs="仿宋"/>
          <w:sz w:val="32"/>
          <w:szCs w:val="32"/>
        </w:rPr>
        <w:t>村级服务，群众满意度达到95%及以上。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强化预算执行。将年度工作目标任务细化分解，落实到岗、落实到人。科学制定预算使用计划，加快履行政府采购程序，督促相关科室加快项目执行，根据需要召开调度会，及时协调解决工作中存在的困难和问题。</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加强内控建设。建立健全内部控制体系，认真执行财经法规和政策要求，对重大支出、资产处置及其他重要经济事项进行有效监督，并完善内部审计，配合做好审计、财政等外部检查，确保资金使用安全有效。</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4"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4"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76"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jc w:val="center"/>
              <w:rPr>
                <w:rFonts w:ascii="宋体" w:hAnsi="宋体" w:cs="宋体"/>
                <w:sz w:val="18"/>
                <w:szCs w:val="18"/>
              </w:rPr>
            </w:pPr>
            <w:r>
              <w:rPr>
                <w:rFonts w:hint="eastAsia"/>
                <w:sz w:val="18"/>
                <w:szCs w:val="18"/>
              </w:rPr>
              <w:t>发放人数</w:t>
            </w:r>
          </w:p>
        </w:tc>
        <w:tc>
          <w:tcPr>
            <w:tcW w:w="2172" w:type="dxa"/>
            <w:tcBorders>
              <w:tl2br w:val="nil"/>
              <w:tr2bl w:val="nil"/>
            </w:tcBorders>
            <w:vAlign w:val="center"/>
          </w:tcPr>
          <w:p>
            <w:pPr>
              <w:jc w:val="center"/>
              <w:rPr>
                <w:rFonts w:ascii="宋体" w:hAnsi="宋体" w:cs="宋体"/>
                <w:sz w:val="18"/>
                <w:szCs w:val="18"/>
              </w:rPr>
            </w:pPr>
            <w:r>
              <w:rPr>
                <w:rFonts w:hint="eastAsia"/>
                <w:sz w:val="18"/>
                <w:szCs w:val="18"/>
              </w:rPr>
              <w:t>20</w:t>
            </w:r>
          </w:p>
        </w:tc>
        <w:tc>
          <w:tcPr>
            <w:tcW w:w="1483" w:type="dxa"/>
            <w:tcBorders>
              <w:tl2br w:val="nil"/>
              <w:tr2bl w:val="nil"/>
            </w:tcBorders>
            <w:vAlign w:val="center"/>
          </w:tcPr>
          <w:p>
            <w:pPr>
              <w:jc w:val="center"/>
              <w:rPr>
                <w:rFonts w:ascii="宋体" w:hAnsi="宋体" w:cs="宋体"/>
                <w:sz w:val="18"/>
                <w:szCs w:val="18"/>
              </w:rPr>
            </w:pPr>
            <w:r>
              <w:rPr>
                <w:rFonts w:hint="eastAsia"/>
                <w:sz w:val="16"/>
                <w:szCs w:val="18"/>
              </w:rPr>
              <w:t>享受此项待遇人员数</w:t>
            </w:r>
          </w:p>
        </w:tc>
        <w:tc>
          <w:tcPr>
            <w:tcW w:w="543" w:type="dxa"/>
            <w:tcBorders>
              <w:tl2br w:val="nil"/>
              <w:tr2bl w:val="nil"/>
            </w:tcBorders>
            <w:vAlign w:val="center"/>
          </w:tcPr>
          <w:p>
            <w:pPr>
              <w:jc w:val="center"/>
              <w:rPr>
                <w:rFonts w:ascii="宋体" w:hAnsi="宋体" w:cs="宋体"/>
                <w:sz w:val="18"/>
                <w:szCs w:val="18"/>
              </w:rPr>
            </w:pPr>
            <w:r>
              <w:rPr>
                <w:rFonts w:hint="eastAsia"/>
                <w:sz w:val="18"/>
                <w:szCs w:val="18"/>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jc w:val="center"/>
              <w:rPr>
                <w:rFonts w:ascii="宋体" w:hAnsi="宋体" w:cs="宋体"/>
                <w:sz w:val="18"/>
                <w:szCs w:val="18"/>
              </w:rPr>
            </w:pPr>
            <w:r>
              <w:rPr>
                <w:rFonts w:hint="eastAsia"/>
                <w:sz w:val="18"/>
                <w:szCs w:val="18"/>
              </w:rPr>
              <w:t>实际人数</w:t>
            </w:r>
          </w:p>
        </w:tc>
        <w:tc>
          <w:tcPr>
            <w:tcW w:w="1277" w:type="dxa"/>
            <w:tcBorders>
              <w:tl2br w:val="nil"/>
              <w:tr2bl w:val="nil"/>
            </w:tcBorders>
            <w:vAlign w:val="center"/>
          </w:tcPr>
          <w:p>
            <w:pPr>
              <w:jc w:val="center"/>
              <w:rPr>
                <w:rFonts w:ascii="宋体" w:hAnsi="宋体" w:cs="宋体"/>
                <w:sz w:val="18"/>
                <w:szCs w:val="18"/>
              </w:rPr>
            </w:pPr>
            <w:r>
              <w:rPr>
                <w:rFonts w:hint="eastAsia"/>
                <w:sz w:val="18"/>
                <w:szCs w:val="18"/>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rPr>
                <w:rFonts w:ascii="宋体" w:hAnsi="宋体" w:cs="宋体"/>
                <w:sz w:val="18"/>
                <w:szCs w:val="18"/>
              </w:rPr>
            </w:pPr>
            <w:r>
              <w:rPr>
                <w:rFonts w:hint="eastAsia"/>
                <w:sz w:val="18"/>
                <w:szCs w:val="18"/>
              </w:rPr>
              <w:t>工程质量合格率</w:t>
            </w:r>
          </w:p>
        </w:tc>
        <w:tc>
          <w:tcPr>
            <w:tcW w:w="2172" w:type="dxa"/>
            <w:tcBorders>
              <w:tl2br w:val="nil"/>
              <w:tr2bl w:val="nil"/>
            </w:tcBorders>
            <w:vAlign w:val="center"/>
          </w:tcPr>
          <w:p>
            <w:pPr>
              <w:rPr>
                <w:rFonts w:ascii="宋体" w:hAnsi="宋体" w:cs="宋体"/>
                <w:sz w:val="18"/>
                <w:szCs w:val="18"/>
              </w:rPr>
            </w:pPr>
            <w:r>
              <w:rPr>
                <w:rFonts w:hint="eastAsia"/>
                <w:sz w:val="18"/>
                <w:szCs w:val="18"/>
              </w:rPr>
              <w:t>20</w:t>
            </w:r>
          </w:p>
        </w:tc>
        <w:tc>
          <w:tcPr>
            <w:tcW w:w="1483" w:type="dxa"/>
            <w:tcBorders>
              <w:tl2br w:val="nil"/>
              <w:tr2bl w:val="nil"/>
            </w:tcBorders>
            <w:vAlign w:val="center"/>
          </w:tcPr>
          <w:p>
            <w:pPr>
              <w:rPr>
                <w:rFonts w:ascii="宋体" w:hAnsi="宋体" w:cs="宋体"/>
                <w:sz w:val="18"/>
                <w:szCs w:val="18"/>
              </w:rPr>
            </w:pPr>
            <w:r>
              <w:rPr>
                <w:rFonts w:hint="eastAsia"/>
                <w:sz w:val="18"/>
                <w:szCs w:val="18"/>
              </w:rPr>
              <w:t>合格的工程数量占工程完工总量的比率</w:t>
            </w:r>
          </w:p>
        </w:tc>
        <w:tc>
          <w:tcPr>
            <w:tcW w:w="543" w:type="dxa"/>
            <w:tcBorders>
              <w:tl2br w:val="nil"/>
              <w:tr2bl w:val="nil"/>
            </w:tcBorders>
            <w:vAlign w:val="center"/>
          </w:tcPr>
          <w:p>
            <w:pPr>
              <w:jc w:val="center"/>
              <w:rPr>
                <w:rFonts w:ascii="宋体" w:hAnsi="宋体" w:cs="宋体"/>
                <w:sz w:val="18"/>
                <w:szCs w:val="18"/>
              </w:rPr>
            </w:pPr>
            <w:r>
              <w:rPr>
                <w:rFonts w:hint="eastAsia"/>
                <w:sz w:val="18"/>
                <w:szCs w:val="18"/>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tcPr>
          <w:p>
            <w:r>
              <w:rPr>
                <w:rFonts w:hint="eastAsia"/>
                <w:sz w:val="18"/>
                <w:szCs w:val="18"/>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95"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rPr>
                <w:rFonts w:ascii="宋体" w:hAnsi="宋体" w:cs="宋体"/>
                <w:sz w:val="18"/>
                <w:szCs w:val="18"/>
              </w:rPr>
            </w:pPr>
            <w:r>
              <w:rPr>
                <w:rFonts w:hint="eastAsia"/>
                <w:sz w:val="18"/>
                <w:szCs w:val="18"/>
              </w:rPr>
              <w:t>发放及时率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1483" w:type="dxa"/>
            <w:tcBorders>
              <w:tl2br w:val="nil"/>
              <w:tr2bl w:val="nil"/>
            </w:tcBorders>
            <w:vAlign w:val="center"/>
          </w:tcPr>
          <w:p>
            <w:pPr>
              <w:rPr>
                <w:rFonts w:ascii="宋体" w:hAnsi="宋体" w:cs="宋体"/>
                <w:sz w:val="18"/>
                <w:szCs w:val="18"/>
              </w:rPr>
            </w:pPr>
            <w:r>
              <w:rPr>
                <w:rFonts w:hint="eastAsia"/>
                <w:sz w:val="18"/>
                <w:szCs w:val="18"/>
              </w:rPr>
              <w:t>发放的及时性</w:t>
            </w:r>
          </w:p>
          <w:p>
            <w:pPr>
              <w:widowControl/>
              <w:adjustRightInd w:val="0"/>
              <w:snapToGrid w:val="0"/>
              <w:rPr>
                <w:rFonts w:ascii="方正书宋_GBK" w:eastAsia="方正书宋_GBK"/>
              </w:rPr>
            </w:pPr>
          </w:p>
        </w:tc>
        <w:tc>
          <w:tcPr>
            <w:tcW w:w="543" w:type="dxa"/>
            <w:tcBorders>
              <w:tl2br w:val="nil"/>
              <w:tr2bl w:val="nil"/>
            </w:tcBorders>
            <w:vAlign w:val="center"/>
          </w:tcPr>
          <w:p>
            <w:pPr>
              <w:jc w:val="center"/>
              <w:rPr>
                <w:rFonts w:ascii="宋体" w:hAnsi="宋体" w:cs="宋体"/>
                <w:sz w:val="18"/>
                <w:szCs w:val="18"/>
              </w:rPr>
            </w:pPr>
            <w:r>
              <w:rPr>
                <w:rFonts w:hint="eastAsia"/>
                <w:sz w:val="18"/>
                <w:szCs w:val="18"/>
              </w:rPr>
              <w:t>≥</w:t>
            </w:r>
          </w:p>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tcPr>
          <w:p>
            <w:r>
              <w:rPr>
                <w:rFonts w:hint="eastAsia"/>
                <w:sz w:val="18"/>
                <w:szCs w:val="18"/>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rPr>
                <w:rFonts w:ascii="宋体" w:hAnsi="宋体" w:cs="宋体"/>
                <w:sz w:val="18"/>
                <w:szCs w:val="18"/>
              </w:rPr>
            </w:pPr>
            <w:r>
              <w:rPr>
                <w:rFonts w:hint="eastAsia"/>
                <w:sz w:val="18"/>
                <w:szCs w:val="18"/>
              </w:rPr>
              <w:t>资金成本</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20</w:t>
            </w:r>
          </w:p>
        </w:tc>
        <w:tc>
          <w:tcPr>
            <w:tcW w:w="1483" w:type="dxa"/>
            <w:tcBorders>
              <w:tl2br w:val="nil"/>
              <w:tr2bl w:val="nil"/>
            </w:tcBorders>
            <w:vAlign w:val="center"/>
          </w:tcPr>
          <w:p>
            <w:pPr>
              <w:rPr>
                <w:rFonts w:ascii="宋体" w:hAnsi="宋体" w:cs="宋体"/>
                <w:sz w:val="18"/>
                <w:szCs w:val="18"/>
              </w:rPr>
            </w:pPr>
            <w:r>
              <w:rPr>
                <w:rFonts w:hint="eastAsia"/>
                <w:sz w:val="18"/>
                <w:szCs w:val="18"/>
              </w:rPr>
              <w:t>资金成本</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tcPr>
          <w:p>
            <w:r>
              <w:rPr>
                <w:rFonts w:hint="eastAsia"/>
                <w:sz w:val="18"/>
                <w:szCs w:val="18"/>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vAlign w:val="center"/>
          </w:tcPr>
          <w:p>
            <w:pPr>
              <w:rPr>
                <w:rFonts w:ascii="宋体" w:hAnsi="宋体" w:cs="宋体"/>
                <w:sz w:val="18"/>
                <w:szCs w:val="18"/>
              </w:rPr>
            </w:pPr>
            <w:r>
              <w:rPr>
                <w:rFonts w:hint="eastAsia"/>
                <w:sz w:val="18"/>
                <w:szCs w:val="18"/>
              </w:rPr>
              <w:t>服务群众生产生活</w:t>
            </w:r>
          </w:p>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10</w:t>
            </w:r>
          </w:p>
        </w:tc>
        <w:tc>
          <w:tcPr>
            <w:tcW w:w="1483" w:type="dxa"/>
            <w:tcBorders>
              <w:tl2br w:val="nil"/>
              <w:tr2bl w:val="nil"/>
            </w:tcBorders>
            <w:vAlign w:val="center"/>
          </w:tcPr>
          <w:p>
            <w:pPr>
              <w:rPr>
                <w:rFonts w:ascii="宋体" w:hAnsi="宋体" w:cs="宋体"/>
                <w:sz w:val="18"/>
                <w:szCs w:val="18"/>
              </w:rPr>
            </w:pPr>
            <w:r>
              <w:rPr>
                <w:rFonts w:hint="eastAsia"/>
                <w:sz w:val="18"/>
                <w:szCs w:val="18"/>
              </w:rPr>
              <w:t>确保群众生产生活活动正常开展</w:t>
            </w:r>
          </w:p>
          <w:p>
            <w:pPr>
              <w:widowControl/>
              <w:adjustRightInd w:val="0"/>
              <w:snapToGrid w:val="0"/>
              <w:rPr>
                <w:rFonts w:ascii="方正书宋_GBK" w:eastAsia="方正书宋_GBK"/>
              </w:rPr>
            </w:pPr>
          </w:p>
        </w:tc>
        <w:tc>
          <w:tcPr>
            <w:tcW w:w="543" w:type="dxa"/>
            <w:tcBorders>
              <w:tl2br w:val="nil"/>
              <w:tr2bl w:val="nil"/>
            </w:tcBorders>
            <w:vAlign w:val="center"/>
          </w:tcPr>
          <w:p>
            <w:pPr>
              <w:jc w:val="center"/>
              <w:rPr>
                <w:rFonts w:ascii="宋体" w:hAnsi="宋体" w:cs="宋体"/>
                <w:sz w:val="18"/>
                <w:szCs w:val="18"/>
              </w:rPr>
            </w:pPr>
            <w:r>
              <w:rPr>
                <w:rFonts w:hint="eastAsia"/>
                <w:sz w:val="18"/>
                <w:szCs w:val="18"/>
              </w:rPr>
              <w:t>文字描述</w:t>
            </w:r>
          </w:p>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基本保障</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sz w:val="18"/>
                <w:szCs w:val="18"/>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vAlign w:val="center"/>
          </w:tcPr>
          <w:p>
            <w:pPr>
              <w:rPr>
                <w:rFonts w:ascii="宋体" w:hAnsi="宋体" w:cs="宋体"/>
                <w:sz w:val="18"/>
                <w:szCs w:val="18"/>
              </w:rPr>
            </w:pPr>
            <w:r>
              <w:rPr>
                <w:rFonts w:hint="eastAsia"/>
                <w:sz w:val="18"/>
                <w:szCs w:val="18"/>
              </w:rPr>
              <w:t>群众满意度</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10</w:t>
            </w:r>
          </w:p>
        </w:tc>
        <w:tc>
          <w:tcPr>
            <w:tcW w:w="1483" w:type="dxa"/>
            <w:tcBorders>
              <w:tl2br w:val="nil"/>
              <w:tr2bl w:val="nil"/>
            </w:tcBorders>
            <w:vAlign w:val="center"/>
          </w:tcPr>
          <w:p>
            <w:pPr>
              <w:rPr>
                <w:rFonts w:ascii="宋体" w:hAnsi="宋体" w:cs="宋体"/>
                <w:sz w:val="18"/>
                <w:szCs w:val="18"/>
              </w:rPr>
            </w:pPr>
            <w:r>
              <w:rPr>
                <w:rFonts w:hint="eastAsia"/>
                <w:sz w:val="18"/>
                <w:szCs w:val="18"/>
              </w:rPr>
              <w:t>接受服务的群众满意度调查达到完全满意或者满意的占全部调查对象的比例</w:t>
            </w:r>
          </w:p>
        </w:tc>
        <w:tc>
          <w:tcPr>
            <w:tcW w:w="543" w:type="dxa"/>
            <w:tcBorders>
              <w:tl2br w:val="nil"/>
              <w:tr2bl w:val="nil"/>
            </w:tcBorders>
            <w:vAlign w:val="center"/>
          </w:tcPr>
          <w:p>
            <w:pPr>
              <w:jc w:val="center"/>
              <w:rPr>
                <w:rFonts w:ascii="宋体" w:hAnsi="宋体" w:cs="宋体"/>
                <w:sz w:val="18"/>
                <w:szCs w:val="18"/>
              </w:rPr>
            </w:pPr>
            <w:r>
              <w:rPr>
                <w:rFonts w:hint="eastAsia"/>
                <w:sz w:val="18"/>
                <w:szCs w:val="18"/>
              </w:rPr>
              <w:t>≥</w:t>
            </w:r>
          </w:p>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85</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sz w:val="18"/>
                <w:szCs w:val="18"/>
              </w:rPr>
              <w:t>按政策要求</w:t>
            </w:r>
          </w:p>
        </w:tc>
      </w:tr>
    </w:tbl>
    <w:p>
      <w:pPr>
        <w:spacing w:line="584"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bookmarkStart w:id="0" w:name="_Toc67213548"/>
    </w:p>
    <w:p>
      <w:pPr>
        <w:jc w:val="left"/>
        <w:outlineLvl w:val="3"/>
        <w:rPr>
          <w:rFonts w:ascii="仿宋" w:hAnsi="仿宋" w:eastAsia="仿宋" w:cs="仿宋"/>
          <w:bCs/>
          <w:sz w:val="32"/>
          <w:szCs w:val="32"/>
        </w:rPr>
      </w:pPr>
      <w:r>
        <w:rPr>
          <w:rFonts w:hint="eastAsia" w:ascii="仿宋" w:hAnsi="仿宋" w:eastAsia="仿宋" w:cs="仿宋"/>
          <w:bCs/>
          <w:sz w:val="32"/>
          <w:szCs w:val="32"/>
        </w:rPr>
        <w:t>1.运维经费绩效目标表</w:t>
      </w:r>
      <w:bookmarkEnd w:id="0"/>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TC 1、运维经费绩效目标表 \f C \l 1 </w:instrText>
      </w:r>
      <w:r>
        <w:rPr>
          <w:rFonts w:hint="eastAsia" w:ascii="仿宋" w:hAnsi="仿宋" w:eastAsia="仿宋" w:cs="仿宋"/>
          <w:bCs/>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清理机场周边杂草，减少火灾隐患</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杂草清理面积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杂草清理面积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1024</w:t>
            </w:r>
            <w:r>
              <w:rPr>
                <w:rFonts w:hint="eastAsia" w:ascii="方正书宋_GBK" w:eastAsia="方正书宋_GBK"/>
              </w:rPr>
              <w:t>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廊广白</w:t>
            </w:r>
            <w:r>
              <w:rPr>
                <w:rFonts w:ascii="方正书宋_GBK" w:eastAsia="方正书宋_GBK"/>
              </w:rPr>
              <w:t>[2021]14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合格的工程数量占工程完工总量的比率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廊广白</w:t>
            </w:r>
            <w:r>
              <w:rPr>
                <w:rFonts w:ascii="方正书宋_GBK" w:eastAsia="方正书宋_GBK"/>
              </w:rPr>
              <w:t>[2021]14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区域杂草清除按时清理完成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按预计时间完成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按预计时间完成</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廊广白</w:t>
            </w:r>
            <w:r>
              <w:rPr>
                <w:rFonts w:ascii="方正书宋_GBK" w:eastAsia="方正书宋_GBK"/>
              </w:rPr>
              <w:t>[2021]14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廊广白</w:t>
            </w:r>
            <w:r>
              <w:rPr>
                <w:rFonts w:ascii="方正书宋_GBK" w:eastAsia="方正书宋_GBK"/>
              </w:rPr>
              <w:t>[2021]14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消除火灾隐患</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消除火灾隐患</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有效的防止火灾的发生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廊广白</w:t>
            </w:r>
            <w:r>
              <w:rPr>
                <w:rFonts w:ascii="方正书宋_GBK" w:eastAsia="方正书宋_GBK"/>
              </w:rPr>
              <w:t>[2021]14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廊广白</w:t>
            </w:r>
            <w:r>
              <w:rPr>
                <w:rFonts w:ascii="方正书宋_GBK" w:eastAsia="方正书宋_GBK"/>
              </w:rPr>
              <w:t>[2021]14</w:t>
            </w:r>
            <w:r>
              <w:rPr>
                <w:rFonts w:hint="eastAsia" w:ascii="方正书宋_GBK" w:eastAsia="方正书宋_GBK"/>
              </w:rPr>
              <w:t>号</w:t>
            </w:r>
          </w:p>
        </w:tc>
      </w:tr>
    </w:tbl>
    <w:p>
      <w:pPr>
        <w:jc w:val="left"/>
        <w:outlineLvl w:val="3"/>
        <w:rPr>
          <w:rFonts w:ascii="仿宋" w:hAnsi="仿宋" w:eastAsia="仿宋" w:cs="仿宋"/>
          <w:bCs/>
          <w:sz w:val="32"/>
          <w:szCs w:val="32"/>
        </w:rPr>
      </w:pPr>
      <w:bookmarkStart w:id="1" w:name="_Toc67213549"/>
      <w:r>
        <w:rPr>
          <w:rFonts w:hint="eastAsia" w:ascii="仿宋" w:hAnsi="仿宋" w:eastAsia="仿宋" w:cs="仿宋"/>
          <w:bCs/>
          <w:sz w:val="32"/>
          <w:szCs w:val="32"/>
        </w:rPr>
        <w:t>2.非公办教师经费绩效目标表</w:t>
      </w:r>
      <w:bookmarkEnd w:id="1"/>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TC 2、非公办教师经费绩效目标表 \f C \l 1 </w:instrText>
      </w:r>
      <w:r>
        <w:rPr>
          <w:rFonts w:hint="eastAsia" w:ascii="仿宋" w:hAnsi="仿宋" w:eastAsia="仿宋" w:cs="仿宋"/>
          <w:bCs/>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确保民师工资足额发放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确保民师工资及时发放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及时缴纳民师各类保险</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非公办教师人数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廊坊市广阳区人民政府区长办公室会议纪要【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足额发放非公办教师工资</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是否足额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及时发放足额</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廊坊市广阳区人民政府区长办公室会议纪要【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资金发放准时率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资金发放准时率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廊坊市广阳区人民政府区长办公室会议纪要【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工资按标准发放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是否按工资标准发放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按工资标准发放</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廊坊市广阳区人民政府区长办公室会议纪要【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提高非公办教师整体教学水平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提高非公办教师整体教学水平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廊坊市广阳区人民政府区长办公室会议纪要【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调查中满意和较满意民师占总人数的比率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廊坊市广阳区人民政府区长办公室会议纪要【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4.2</w:t>
      </w:r>
      <w:r>
        <w:rPr>
          <w:rFonts w:ascii="Times New Roman" w:hAnsi="Times New Roman" w:eastAsia="仿宋_GB2312" w:cs="Times New Roman"/>
          <w:sz w:val="32"/>
          <w:szCs w:val="24"/>
        </w:rPr>
        <w:t>万元。具体内容见下表。</w:t>
      </w:r>
    </w:p>
    <w:bookmarkEnd w:id="2"/>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3" w:name="_Toc64920910"/>
      <w:r>
        <w:rPr>
          <w:rFonts w:hint="eastAsia" w:ascii="方正小标宋_GBK" w:eastAsia="方正小标宋_GBK" w:cs="Times New Roman"/>
          <w:sz w:val="32"/>
        </w:rPr>
        <w:t>部门政府采购预算</w:t>
      </w:r>
      <w:bookmarkEnd w:id="3"/>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ascii="方正书宋_GBK" w:eastAsia="方正书宋_GBK"/>
                <w:b/>
              </w:rPr>
              <w:t>913</w:t>
            </w:r>
            <w:r>
              <w:rPr>
                <w:rFonts w:hint="eastAsia" w:ascii="方正书宋_GBK" w:eastAsia="方正书宋_GBK"/>
                <w:b/>
              </w:rPr>
              <w:t>廊坊市广阳区九州镇白家务办事处本级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4.2</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4.2</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公用类项目</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台式计算机</w:t>
            </w:r>
          </w:p>
        </w:tc>
        <w:tc>
          <w:tcPr>
            <w:tcW w:w="153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A02010104</w:t>
            </w:r>
          </w:p>
        </w:tc>
        <w:tc>
          <w:tcPr>
            <w:tcW w:w="709" w:type="dxa"/>
            <w:shd w:val="clear" w:color="auto" w:fill="auto"/>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台</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4</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0.5</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2</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2</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b/>
              </w:rPr>
              <w:t>公用类项目</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一般财力</w:t>
            </w:r>
          </w:p>
        </w:tc>
        <w:tc>
          <w:tcPr>
            <w:tcW w:w="153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b/>
              </w:rPr>
              <w:t>多功能一体机</w:t>
            </w:r>
          </w:p>
        </w:tc>
        <w:tc>
          <w:tcPr>
            <w:tcW w:w="153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A020204</w:t>
            </w:r>
          </w:p>
        </w:tc>
        <w:tc>
          <w:tcPr>
            <w:tcW w:w="709"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b/>
              </w:rPr>
              <w:t>台</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2</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0.3</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0.6</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0.6</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b/>
              </w:rPr>
              <w:t>公用类项目</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一般财力</w:t>
            </w:r>
          </w:p>
        </w:tc>
        <w:tc>
          <w:tcPr>
            <w:tcW w:w="153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b/>
              </w:rPr>
              <w:t>激光打印机</w:t>
            </w:r>
          </w:p>
        </w:tc>
        <w:tc>
          <w:tcPr>
            <w:tcW w:w="153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sz w:val="18"/>
              </w:rPr>
              <w:t>A0201060102</w:t>
            </w:r>
          </w:p>
        </w:tc>
        <w:tc>
          <w:tcPr>
            <w:tcW w:w="709"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b/>
              </w:rPr>
              <w:t>台</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2</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0.2</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0.4</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0.4</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b/>
              </w:rPr>
              <w:t>公用类项目</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一般财力</w:t>
            </w:r>
          </w:p>
        </w:tc>
        <w:tc>
          <w:tcPr>
            <w:tcW w:w="153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b/>
                <w:sz w:val="15"/>
              </w:rPr>
              <w:t>专用制冷、空调设备</w:t>
            </w:r>
          </w:p>
        </w:tc>
        <w:tc>
          <w:tcPr>
            <w:tcW w:w="153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A02052309</w:t>
            </w:r>
          </w:p>
        </w:tc>
        <w:tc>
          <w:tcPr>
            <w:tcW w:w="709"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b/>
              </w:rPr>
              <w:t>台</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2</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0.3</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0.6</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0.6</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b/>
              </w:rPr>
              <w:t>公用类项目</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一般财力</w:t>
            </w:r>
          </w:p>
        </w:tc>
        <w:tc>
          <w:tcPr>
            <w:tcW w:w="153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b/>
              </w:rPr>
              <w:t>便携式计算机</w:t>
            </w:r>
          </w:p>
        </w:tc>
        <w:tc>
          <w:tcPr>
            <w:tcW w:w="1531" w:type="dxa"/>
            <w:shd w:val="clear" w:color="auto" w:fill="auto"/>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A02010105</w:t>
            </w:r>
          </w:p>
        </w:tc>
        <w:tc>
          <w:tcPr>
            <w:tcW w:w="709"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b/>
              </w:rPr>
              <w:t>台</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1</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0.6</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0.6</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0.6</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广阳区九州镇白家务办事处(含所属单位）</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460.02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总额为4.2万元，</w:t>
      </w:r>
      <w:r>
        <w:rPr>
          <w:rFonts w:ascii="Times New Roman" w:hAnsi="Times New Roman" w:eastAsia="仿宋_GB2312" w:cs="Times New Roman"/>
          <w:sz w:val="32"/>
          <w:szCs w:val="32"/>
        </w:rPr>
        <w:t>主要为计算机设备、打印设备、空调等，已列入政府采购预算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广阳区九州镇白家务办事处部门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方正书宋_GBK" w:eastAsia="方正书宋_GBK"/>
                <w:b/>
              </w:rPr>
              <w:t>廊坊市广阳区九州镇白家务办事处本级</w:t>
            </w:r>
          </w:p>
        </w:tc>
        <w:tc>
          <w:tcPr>
            <w:tcW w:w="5103" w:type="dxa"/>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460.02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13673</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220</w:t>
            </w:r>
          </w:p>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13673</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220</w:t>
            </w:r>
          </w:p>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61.28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178.74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14</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B066B"/>
    <w:multiLevelType w:val="singleLevel"/>
    <w:tmpl w:val="886B066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95C8E"/>
    <w:rsid w:val="00273249"/>
    <w:rsid w:val="002A01A9"/>
    <w:rsid w:val="00301F9F"/>
    <w:rsid w:val="00356683"/>
    <w:rsid w:val="00383EF0"/>
    <w:rsid w:val="003C4EC4"/>
    <w:rsid w:val="004A54AA"/>
    <w:rsid w:val="006244DD"/>
    <w:rsid w:val="006C566D"/>
    <w:rsid w:val="00714268"/>
    <w:rsid w:val="00807A76"/>
    <w:rsid w:val="00814E7B"/>
    <w:rsid w:val="008F0EB4"/>
    <w:rsid w:val="0095435A"/>
    <w:rsid w:val="00A218C6"/>
    <w:rsid w:val="00A34AF4"/>
    <w:rsid w:val="00AD5D67"/>
    <w:rsid w:val="00B17B32"/>
    <w:rsid w:val="00B80935"/>
    <w:rsid w:val="00CB4BC2"/>
    <w:rsid w:val="00CC608C"/>
    <w:rsid w:val="00CE25A3"/>
    <w:rsid w:val="00D347CC"/>
    <w:rsid w:val="00DE6F9C"/>
    <w:rsid w:val="00E27CE3"/>
    <w:rsid w:val="00E711A2"/>
    <w:rsid w:val="00E73E69"/>
    <w:rsid w:val="00E92DA3"/>
    <w:rsid w:val="00F674A1"/>
    <w:rsid w:val="130D70F5"/>
    <w:rsid w:val="2EE471D5"/>
    <w:rsid w:val="3834276D"/>
    <w:rsid w:val="3A836010"/>
    <w:rsid w:val="45E3179A"/>
    <w:rsid w:val="5B6C3C0A"/>
    <w:rsid w:val="6F5A3972"/>
    <w:rsid w:val="703C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907</Words>
  <Characters>5171</Characters>
  <Lines>43</Lines>
  <Paragraphs>12</Paragraphs>
  <TotalTime>1</TotalTime>
  <ScaleCrop>false</ScaleCrop>
  <LinksUpToDate>false</LinksUpToDate>
  <CharactersWithSpaces>6066</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2021-04-06T05:48:00Z</dcterms:created>
  <dc:creator>guest</dc:creator>
  <cp:lastModifiedBy>lenovo</cp:lastModifiedBy>
  <cp:lastPrinted>2018-01-30T06:12:00Z</cp:lastPrinted>
  <dcterms:modified xsi:type="dcterms:W3CDTF">2023-06-08T07:35:24Z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798A4080E44F4B9B96503DB0D33AE0A4</vt:lpwstr>
  </property>
</Properties>
</file>