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廊坊市广阳区人力资源和社会保障局201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bookmarkStart w:id="0" w:name="_GoBack"/>
      <w:bookmarkEnd w:id="0"/>
      <w:r>
        <w:rPr>
          <w:rFonts w:hint="eastAsia" w:ascii="仿宋_GB2312" w:eastAsia="仿宋_GB2312"/>
          <w:sz w:val="32"/>
          <w:szCs w:val="32"/>
          <w:lang w:eastAsia="zh-CN"/>
        </w:rPr>
        <w:t>《中华人民共和国预算法》</w:t>
      </w:r>
      <w:r>
        <w:rPr>
          <w:rFonts w:hint="eastAsia" w:ascii="仿宋_GB2312" w:eastAsia="仿宋_GB2312"/>
          <w:sz w:val="32"/>
          <w:szCs w:val="32"/>
        </w:rPr>
        <w:t>、《地方预决算公开操作规程》和《河北省省级预算公开办法》规定，现将</w:t>
      </w:r>
      <w:r>
        <w:rPr>
          <w:rFonts w:hint="eastAsia" w:ascii="仿宋_GB2312" w:eastAsia="仿宋_GB2312" w:cs="宋体"/>
          <w:color w:val="000000"/>
          <w:kern w:val="0"/>
          <w:sz w:val="32"/>
          <w:szCs w:val="32"/>
        </w:rPr>
        <w:t>廊坊市</w:t>
      </w:r>
      <w:r>
        <w:rPr>
          <w:rFonts w:hint="eastAsia" w:ascii="仿宋_GB2312" w:eastAsia="仿宋_GB2312" w:cs="宋体"/>
          <w:kern w:val="0"/>
          <w:sz w:val="32"/>
          <w:szCs w:val="32"/>
        </w:rPr>
        <w:t>广阳区</w:t>
      </w:r>
      <w:r>
        <w:rPr>
          <w:rFonts w:hint="eastAsia" w:ascii="仿宋_GB2312" w:eastAsia="仿宋_GB2312" w:cs="宋体"/>
          <w:bCs/>
          <w:kern w:val="0"/>
          <w:sz w:val="32"/>
          <w:szCs w:val="32"/>
        </w:rPr>
        <w:t>人力资源和社会保障局</w:t>
      </w:r>
      <w:r>
        <w:rPr>
          <w:rFonts w:hint="eastAsia" w:ascii="仿宋_GB2312" w:eastAsia="仿宋_GB2312"/>
          <w:sz w:val="32"/>
          <w:szCs w:val="32"/>
        </w:rPr>
        <w:t>2018年部门预算公开如下：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pStyle w:val="8"/>
        <w:widowControl/>
        <w:numPr>
          <w:ilvl w:val="0"/>
          <w:numId w:val="2"/>
        </w:numPr>
        <w:spacing w:line="570" w:lineRule="exact"/>
        <w:ind w:firstLineChars="0"/>
        <w:jc w:val="left"/>
        <w:rPr>
          <w:rFonts w:ascii="仿宋_GB2312" w:eastAsia="仿宋_GB2312"/>
          <w:sz w:val="32"/>
          <w:szCs w:val="32"/>
        </w:rPr>
      </w:pPr>
      <w:r>
        <w:rPr>
          <w:rFonts w:hint="eastAsia" w:ascii="仿宋_GB2312" w:eastAsia="仿宋_GB2312"/>
          <w:sz w:val="32"/>
          <w:szCs w:val="32"/>
        </w:rPr>
        <w:t>严格按照省级职称申报推荐要求，进行职称申报工作的部署、组织和初审，规范全区事业单位专业技术岗位聘用工作严格；</w:t>
      </w:r>
    </w:p>
    <w:p>
      <w:pPr>
        <w:pStyle w:val="8"/>
        <w:widowControl/>
        <w:numPr>
          <w:ilvl w:val="0"/>
          <w:numId w:val="2"/>
        </w:numPr>
        <w:spacing w:line="570" w:lineRule="exact"/>
        <w:ind w:firstLineChars="0"/>
        <w:jc w:val="left"/>
        <w:rPr>
          <w:rFonts w:ascii="仿宋_GB2312" w:eastAsia="仿宋_GB2312"/>
          <w:sz w:val="32"/>
          <w:szCs w:val="32"/>
        </w:rPr>
      </w:pPr>
      <w:r>
        <w:rPr>
          <w:rFonts w:hint="eastAsia" w:ascii="仿宋_GB2312" w:eastAsia="仿宋_GB2312"/>
          <w:sz w:val="32"/>
          <w:szCs w:val="32"/>
        </w:rPr>
        <w:t>全区优秀人才选拔工作，包过“三三三人才”选拔工作和“有突出贡献人才”选拔工作。</w:t>
      </w:r>
    </w:p>
    <w:p>
      <w:pPr>
        <w:pStyle w:val="8"/>
        <w:widowControl/>
        <w:numPr>
          <w:ilvl w:val="0"/>
          <w:numId w:val="2"/>
        </w:numPr>
        <w:spacing w:line="570" w:lineRule="exact"/>
        <w:ind w:firstLineChars="0"/>
        <w:jc w:val="left"/>
        <w:rPr>
          <w:rFonts w:ascii="仿宋_GB2312" w:eastAsia="仿宋_GB2312"/>
          <w:sz w:val="32"/>
          <w:szCs w:val="32"/>
        </w:rPr>
      </w:pPr>
      <w:r>
        <w:rPr>
          <w:rFonts w:hint="eastAsia" w:ascii="仿宋_GB2312" w:eastAsia="仿宋_GB2312"/>
          <w:sz w:val="32"/>
          <w:szCs w:val="32"/>
        </w:rPr>
        <w:t>流动人员的档案和转递、材料收集、鉴别归档、整理、保管，推进电子档案建立、数据集中，对档案安全检查排除、失窃、失密、损坏等事故发生，加大对流动人员人事档案库房、服务场所和信息系统等基础设施的投入，保障相关工作正常开展。</w:t>
      </w:r>
    </w:p>
    <w:p>
      <w:pPr>
        <w:pStyle w:val="8"/>
        <w:widowControl/>
        <w:numPr>
          <w:ilvl w:val="0"/>
          <w:numId w:val="2"/>
        </w:numPr>
        <w:spacing w:line="570" w:lineRule="exact"/>
        <w:ind w:firstLineChars="0"/>
        <w:jc w:val="left"/>
        <w:rPr>
          <w:rFonts w:ascii="仿宋_GB2312" w:eastAsia="仿宋_GB2312"/>
          <w:sz w:val="32"/>
          <w:szCs w:val="32"/>
        </w:rPr>
      </w:pPr>
      <w:r>
        <w:rPr>
          <w:rFonts w:hint="eastAsia" w:ascii="仿宋_GB2312" w:eastAsia="仿宋_GB2312"/>
          <w:sz w:val="32"/>
          <w:szCs w:val="32"/>
        </w:rPr>
        <w:t>军转干部安置，机关单位及公务员管理，管理人事工资政策及退休福利政策，管理机关事业单位技术工人。</w:t>
      </w:r>
    </w:p>
    <w:p>
      <w:pPr>
        <w:pStyle w:val="8"/>
        <w:widowControl/>
        <w:numPr>
          <w:ilvl w:val="0"/>
          <w:numId w:val="2"/>
        </w:numPr>
        <w:spacing w:line="570" w:lineRule="exact"/>
        <w:ind w:firstLineChars="0"/>
        <w:jc w:val="left"/>
        <w:rPr>
          <w:rFonts w:ascii="仿宋_GB2312" w:eastAsia="仿宋_GB2312"/>
          <w:sz w:val="32"/>
          <w:szCs w:val="32"/>
        </w:rPr>
      </w:pPr>
      <w:r>
        <w:rPr>
          <w:rFonts w:hint="eastAsia" w:ascii="仿宋_GB2312" w:eastAsia="仿宋_GB2312"/>
          <w:sz w:val="32"/>
          <w:szCs w:val="32"/>
        </w:rPr>
        <w:t>拟订县级军队转业干部安置计划并组织实施，组织拟定部分企业军转干部解困和稳定政策及军转干部管理服务，负责自主择业转业干部的管理服务。</w:t>
      </w:r>
    </w:p>
    <w:p>
      <w:pPr>
        <w:pStyle w:val="8"/>
        <w:widowControl/>
        <w:numPr>
          <w:ilvl w:val="0"/>
          <w:numId w:val="2"/>
        </w:numPr>
        <w:spacing w:line="570" w:lineRule="exact"/>
        <w:ind w:firstLineChars="0"/>
        <w:jc w:val="left"/>
        <w:rPr>
          <w:rFonts w:ascii="仿宋_GB2312" w:eastAsia="仿宋_GB2312"/>
          <w:sz w:val="32"/>
          <w:szCs w:val="32"/>
        </w:rPr>
      </w:pPr>
      <w:r>
        <w:rPr>
          <w:rFonts w:hint="eastAsia" w:ascii="仿宋_GB2312" w:eastAsia="仿宋_GB2312"/>
          <w:sz w:val="32"/>
          <w:szCs w:val="32"/>
        </w:rPr>
        <w:t>开展公务员职位管理任免、招录、考核奖励、培训事业单位参照公务员法管理工作</w:t>
      </w:r>
    </w:p>
    <w:p>
      <w:pPr>
        <w:pStyle w:val="8"/>
        <w:widowControl/>
        <w:numPr>
          <w:ilvl w:val="0"/>
          <w:numId w:val="2"/>
        </w:numPr>
        <w:spacing w:line="570" w:lineRule="exact"/>
        <w:ind w:firstLineChars="0"/>
        <w:jc w:val="left"/>
        <w:rPr>
          <w:rFonts w:ascii="仿宋_GB2312" w:eastAsia="仿宋_GB2312"/>
          <w:sz w:val="32"/>
          <w:szCs w:val="32"/>
        </w:rPr>
      </w:pPr>
      <w:r>
        <w:rPr>
          <w:rFonts w:hint="eastAsia" w:ascii="仿宋_GB2312" w:eastAsia="仿宋_GB2312"/>
          <w:sz w:val="32"/>
          <w:szCs w:val="32"/>
        </w:rPr>
        <w:t>组织实施区直机关事业单位工作人员工资政策落实，制定出台事业单位绩效工资政策并组织实施，为符合退休条件人员办理退休手续。</w:t>
      </w:r>
    </w:p>
    <w:p>
      <w:pPr>
        <w:pStyle w:val="8"/>
        <w:widowControl/>
        <w:numPr>
          <w:ilvl w:val="0"/>
          <w:numId w:val="2"/>
        </w:numPr>
        <w:spacing w:line="570" w:lineRule="exact"/>
        <w:ind w:firstLineChars="0"/>
        <w:jc w:val="left"/>
        <w:rPr>
          <w:rFonts w:ascii="仿宋_GB2312" w:eastAsia="仿宋_GB2312"/>
          <w:sz w:val="32"/>
          <w:szCs w:val="32"/>
        </w:rPr>
      </w:pPr>
      <w:r>
        <w:rPr>
          <w:rFonts w:hint="eastAsia" w:ascii="仿宋_GB2312" w:eastAsia="仿宋_GB2312"/>
          <w:sz w:val="32"/>
          <w:szCs w:val="32"/>
        </w:rPr>
        <w:t>组织全区机关事业事业单位技术工人技术等级考核报名考试组档上报工作</w:t>
      </w:r>
    </w:p>
    <w:p>
      <w:pPr>
        <w:pStyle w:val="8"/>
        <w:widowControl/>
        <w:numPr>
          <w:ilvl w:val="0"/>
          <w:numId w:val="2"/>
        </w:numPr>
        <w:spacing w:line="570" w:lineRule="exact"/>
        <w:ind w:firstLineChars="0"/>
        <w:jc w:val="left"/>
        <w:rPr>
          <w:rFonts w:ascii="方正书宋_GBK" w:eastAsia="方正书宋_GBK"/>
        </w:rPr>
      </w:pPr>
      <w:r>
        <w:rPr>
          <w:rFonts w:hint="eastAsia" w:ascii="仿宋_GB2312" w:eastAsia="仿宋_GB2312"/>
          <w:sz w:val="32"/>
          <w:szCs w:val="32"/>
        </w:rPr>
        <w:t>拟定全区企业职工工资收入及其他劳动报酬的调控政策和措施；负责全区企业职工工资指导线和最低工资保障的政策组织和实施；</w:t>
      </w:r>
    </w:p>
    <w:p>
      <w:pPr>
        <w:pStyle w:val="8"/>
        <w:widowControl/>
        <w:spacing w:line="570" w:lineRule="exact"/>
        <w:ind w:left="1199" w:firstLine="0" w:firstLineChars="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6"/>
        <w:gridCol w:w="2073"/>
        <w:gridCol w:w="1786"/>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 w:eastAsia="仿宋" w:cs="宋体"/>
                <w:b/>
                <w:bCs/>
                <w:kern w:val="0"/>
                <w:sz w:val="32"/>
                <w:szCs w:val="32"/>
              </w:rPr>
            </w:pPr>
            <w:r>
              <w:rPr>
                <w:rFonts w:hint="eastAsia" w:ascii="仿宋" w:eastAsia="仿宋"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 w:eastAsia="仿宋" w:cs="宋体"/>
                <w:b/>
                <w:bCs/>
                <w:kern w:val="0"/>
                <w:sz w:val="32"/>
                <w:szCs w:val="32"/>
              </w:rPr>
            </w:pPr>
            <w:r>
              <w:rPr>
                <w:rFonts w:hint="eastAsia" w:ascii="仿宋" w:eastAsia="仿宋"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 w:eastAsia="仿宋" w:cs="宋体"/>
                <w:b/>
                <w:bCs/>
                <w:kern w:val="0"/>
                <w:sz w:val="32"/>
                <w:szCs w:val="32"/>
              </w:rPr>
            </w:pPr>
            <w:r>
              <w:rPr>
                <w:rFonts w:hint="eastAsia" w:ascii="仿宋" w:eastAsia="仿宋" w:cs="宋体"/>
                <w:b/>
                <w:bCs/>
                <w:kern w:val="0"/>
                <w:sz w:val="32"/>
                <w:szCs w:val="32"/>
              </w:rPr>
              <w:t>单位规格</w:t>
            </w:r>
          </w:p>
        </w:tc>
        <w:tc>
          <w:tcPr>
            <w:tcW w:w="426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hint="eastAsia" w:ascii="仿宋" w:eastAsia="仿宋" w:cs="宋体"/>
                <w:b/>
                <w:bCs/>
                <w:kern w:val="0"/>
                <w:sz w:val="32"/>
                <w:szCs w:val="32"/>
              </w:rPr>
            </w:pPr>
            <w:r>
              <w:rPr>
                <w:rFonts w:hint="eastAsia" w:ascii="仿宋" w:eastAsia="仿宋"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hint="eastAsia" w:ascii="仿宋" w:eastAsia="仿宋"/>
                <w:sz w:val="24"/>
                <w:szCs w:val="24"/>
              </w:rPr>
            </w:pPr>
            <w:r>
              <w:rPr>
                <w:rFonts w:hint="eastAsia" w:ascii="仿宋" w:eastAsia="仿宋"/>
                <w:sz w:val="24"/>
                <w:szCs w:val="24"/>
              </w:rPr>
              <w:t>廊坊市广阳区人力资源和社会保障局</w:t>
            </w:r>
          </w:p>
        </w:tc>
        <w:tc>
          <w:tcPr>
            <w:tcW w:w="207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行政</w:t>
            </w:r>
          </w:p>
        </w:tc>
        <w:tc>
          <w:tcPr>
            <w:tcW w:w="1786"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正科级</w:t>
            </w:r>
          </w:p>
        </w:tc>
        <w:tc>
          <w:tcPr>
            <w:tcW w:w="4268"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ascii="仿宋" w:eastAsia="仿宋"/>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hint="eastAsia" w:ascii="仿宋" w:eastAsia="仿宋"/>
                <w:sz w:val="24"/>
                <w:szCs w:val="24"/>
              </w:rPr>
            </w:pPr>
            <w:r>
              <w:rPr>
                <w:rFonts w:hint="eastAsia" w:ascii="仿宋" w:eastAsia="仿宋"/>
                <w:sz w:val="24"/>
                <w:szCs w:val="24"/>
              </w:rPr>
              <w:t>廊坊市广阳区就业服务局</w:t>
            </w:r>
          </w:p>
        </w:tc>
        <w:tc>
          <w:tcPr>
            <w:tcW w:w="207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事业</w:t>
            </w:r>
          </w:p>
        </w:tc>
        <w:tc>
          <w:tcPr>
            <w:tcW w:w="1786"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副科级</w:t>
            </w:r>
          </w:p>
        </w:tc>
        <w:tc>
          <w:tcPr>
            <w:tcW w:w="4268"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hint="eastAsia" w:ascii="仿宋" w:eastAsia="仿宋"/>
                <w:sz w:val="24"/>
                <w:szCs w:val="24"/>
              </w:rPr>
            </w:pPr>
            <w:r>
              <w:rPr>
                <w:rFonts w:hint="eastAsia" w:ascii="仿宋" w:eastAsia="仿宋"/>
                <w:sz w:val="24"/>
                <w:szCs w:val="24"/>
              </w:rPr>
              <w:t>廊坊市广阳区社会保险事业管理所</w:t>
            </w:r>
          </w:p>
        </w:tc>
        <w:tc>
          <w:tcPr>
            <w:tcW w:w="207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事业</w:t>
            </w:r>
          </w:p>
        </w:tc>
        <w:tc>
          <w:tcPr>
            <w:tcW w:w="1786"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其他</w:t>
            </w:r>
          </w:p>
        </w:tc>
        <w:tc>
          <w:tcPr>
            <w:tcW w:w="4268"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hint="eastAsia" w:ascii="仿宋" w:eastAsia="仿宋"/>
                <w:sz w:val="24"/>
                <w:szCs w:val="24"/>
              </w:rPr>
            </w:pPr>
            <w:r>
              <w:rPr>
                <w:rFonts w:hint="eastAsia" w:ascii="仿宋" w:eastAsia="仿宋"/>
                <w:sz w:val="24"/>
                <w:szCs w:val="24"/>
              </w:rPr>
              <w:t>廊坊市广阳区机关事业社会保险所</w:t>
            </w:r>
          </w:p>
        </w:tc>
        <w:tc>
          <w:tcPr>
            <w:tcW w:w="207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事业</w:t>
            </w:r>
          </w:p>
        </w:tc>
        <w:tc>
          <w:tcPr>
            <w:tcW w:w="1786"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其他</w:t>
            </w:r>
          </w:p>
        </w:tc>
        <w:tc>
          <w:tcPr>
            <w:tcW w:w="4268"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hint="eastAsia" w:ascii="仿宋" w:eastAsia="仿宋"/>
                <w:sz w:val="24"/>
                <w:szCs w:val="24"/>
              </w:rPr>
            </w:pPr>
            <w:r>
              <w:rPr>
                <w:rFonts w:hint="eastAsia" w:ascii="仿宋" w:eastAsia="仿宋"/>
                <w:sz w:val="24"/>
                <w:szCs w:val="24"/>
              </w:rPr>
              <w:t>廊坊市广阳区农村养老保险事业管理所</w:t>
            </w:r>
          </w:p>
        </w:tc>
        <w:tc>
          <w:tcPr>
            <w:tcW w:w="207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事业</w:t>
            </w:r>
          </w:p>
        </w:tc>
        <w:tc>
          <w:tcPr>
            <w:tcW w:w="1786"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其他</w:t>
            </w:r>
          </w:p>
        </w:tc>
        <w:tc>
          <w:tcPr>
            <w:tcW w:w="4268"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hint="eastAsia" w:ascii="仿宋" w:eastAsia="仿宋"/>
                <w:sz w:val="24"/>
                <w:szCs w:val="24"/>
              </w:rPr>
            </w:pPr>
            <w:r>
              <w:rPr>
                <w:rFonts w:hint="eastAsia" w:ascii="仿宋" w:eastAsia="仿宋"/>
                <w:sz w:val="24"/>
                <w:szCs w:val="24"/>
              </w:rPr>
              <w:t>廊坊市广阳区医疗保险所</w:t>
            </w:r>
          </w:p>
        </w:tc>
        <w:tc>
          <w:tcPr>
            <w:tcW w:w="207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事业</w:t>
            </w:r>
          </w:p>
        </w:tc>
        <w:tc>
          <w:tcPr>
            <w:tcW w:w="1786"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其他</w:t>
            </w:r>
          </w:p>
        </w:tc>
        <w:tc>
          <w:tcPr>
            <w:tcW w:w="4268"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hint="eastAsia" w:ascii="仿宋" w:eastAsia="仿宋"/>
                <w:sz w:val="24"/>
                <w:szCs w:val="24"/>
              </w:rPr>
            </w:pPr>
            <w:r>
              <w:rPr>
                <w:rFonts w:hint="eastAsia" w:ascii="仿宋" w:eastAsia="仿宋"/>
                <w:sz w:val="24"/>
                <w:szCs w:val="24"/>
              </w:rPr>
              <w:t>廊坊市广阳区工伤保险事业管理所</w:t>
            </w:r>
          </w:p>
        </w:tc>
        <w:tc>
          <w:tcPr>
            <w:tcW w:w="207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事业</w:t>
            </w:r>
          </w:p>
        </w:tc>
        <w:tc>
          <w:tcPr>
            <w:tcW w:w="1786"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其他</w:t>
            </w:r>
          </w:p>
        </w:tc>
        <w:tc>
          <w:tcPr>
            <w:tcW w:w="4268"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spacing w:line="570" w:lineRule="exact"/>
              <w:jc w:val="left"/>
              <w:rPr>
                <w:rFonts w:hint="eastAsia" w:ascii="仿宋" w:eastAsia="仿宋"/>
                <w:sz w:val="24"/>
                <w:szCs w:val="24"/>
              </w:rPr>
            </w:pPr>
            <w:r>
              <w:rPr>
                <w:rFonts w:hint="eastAsia" w:ascii="仿宋" w:eastAsia="仿宋"/>
                <w:sz w:val="24"/>
                <w:szCs w:val="24"/>
              </w:rPr>
              <w:t>廊坊市广阳区城乡居民基本医疗保险所</w:t>
            </w:r>
          </w:p>
        </w:tc>
        <w:tc>
          <w:tcPr>
            <w:tcW w:w="2073"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事业</w:t>
            </w:r>
          </w:p>
        </w:tc>
        <w:tc>
          <w:tcPr>
            <w:tcW w:w="1786"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其他</w:t>
            </w:r>
          </w:p>
        </w:tc>
        <w:tc>
          <w:tcPr>
            <w:tcW w:w="4268" w:type="dxa"/>
            <w:tcBorders>
              <w:top w:val="outset" w:color="auto" w:sz="6" w:space="0"/>
              <w:left w:val="outset" w:color="auto" w:sz="6" w:space="0"/>
              <w:bottom w:val="outset" w:color="auto" w:sz="6" w:space="0"/>
              <w:right w:val="outset" w:color="auto" w:sz="6" w:space="0"/>
            </w:tcBorders>
            <w:vAlign w:val="center"/>
          </w:tcPr>
          <w:p>
            <w:pPr>
              <w:spacing w:line="570" w:lineRule="exact"/>
              <w:jc w:val="center"/>
              <w:rPr>
                <w:rFonts w:hint="eastAsia" w:ascii="仿宋" w:eastAsia="仿宋"/>
                <w:sz w:val="32"/>
                <w:szCs w:val="32"/>
              </w:rPr>
            </w:pPr>
            <w:r>
              <w:rPr>
                <w:rFonts w:hint="eastAsia" w:ascii="仿宋" w:eastAsia="仿宋"/>
                <w:sz w:val="32"/>
                <w:szCs w:val="32"/>
              </w:rPr>
              <w:t>财政性资金基本保证</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lang w:val="en-US" w:eastAsia="zh-CN"/>
        </w:rPr>
        <w:t xml:space="preserve"> </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人力资源和社会保障局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18622.65</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18622.65</w:t>
      </w:r>
      <w:r>
        <w:rPr>
          <w:rFonts w:hint="eastAsia" w:ascii="仿宋_GB2312" w:eastAsia="仿宋_GB2312" w:cs="宋体"/>
          <w:color w:val="000000"/>
          <w:kern w:val="0"/>
          <w:sz w:val="32"/>
          <w:szCs w:val="32"/>
        </w:rPr>
        <w:t>万元，政府性基金收入</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事业收入0万元，其他收入0万元。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w:t>
      </w:r>
      <w:r>
        <w:rPr>
          <w:rFonts w:ascii="仿宋_GB2312" w:eastAsia="仿宋_GB2312" w:cs="宋体"/>
          <w:color w:val="000000"/>
          <w:kern w:val="0"/>
          <w:sz w:val="32"/>
          <w:szCs w:val="32"/>
        </w:rPr>
        <w:t>018年度部门预算中支出预算的总体情况。2018年支出预算</w:t>
      </w:r>
      <w:r>
        <w:rPr>
          <w:rFonts w:hint="eastAsia" w:ascii="仿宋_GB2312" w:eastAsia="仿宋_GB2312" w:cs="宋体"/>
          <w:color w:val="000000"/>
          <w:kern w:val="0"/>
          <w:sz w:val="32"/>
          <w:szCs w:val="32"/>
        </w:rPr>
        <w:t>1</w:t>
      </w:r>
      <w:r>
        <w:rPr>
          <w:rFonts w:ascii="仿宋_GB2312" w:eastAsia="仿宋_GB2312" w:cs="宋体"/>
          <w:color w:val="000000"/>
          <w:kern w:val="0"/>
          <w:sz w:val="32"/>
          <w:szCs w:val="32"/>
        </w:rPr>
        <w:t>8622.65万元，其中基本支出</w:t>
      </w:r>
      <w:r>
        <w:rPr>
          <w:rFonts w:hint="eastAsia" w:ascii="仿宋_GB2312" w:eastAsia="仿宋_GB2312" w:cs="宋体"/>
          <w:color w:val="000000"/>
          <w:kern w:val="0"/>
          <w:sz w:val="32"/>
          <w:szCs w:val="32"/>
        </w:rPr>
        <w:t>1</w:t>
      </w:r>
      <w:r>
        <w:rPr>
          <w:rFonts w:ascii="仿宋_GB2312" w:eastAsia="仿宋_GB2312" w:cs="宋体"/>
          <w:color w:val="000000"/>
          <w:kern w:val="0"/>
          <w:sz w:val="32"/>
          <w:szCs w:val="32"/>
        </w:rPr>
        <w:t>709.65万元，包括人员经费1654.61万元和日常公用经费55.04万元；项目支出</w:t>
      </w:r>
      <w:r>
        <w:rPr>
          <w:rFonts w:hint="eastAsia" w:ascii="仿宋_GB2312" w:eastAsia="仿宋_GB2312" w:cs="宋体"/>
          <w:color w:val="000000"/>
          <w:kern w:val="0"/>
          <w:sz w:val="32"/>
          <w:szCs w:val="32"/>
        </w:rPr>
        <w:t>1</w:t>
      </w:r>
      <w:r>
        <w:rPr>
          <w:rFonts w:ascii="仿宋_GB2312" w:eastAsia="仿宋_GB2312" w:cs="宋体"/>
          <w:color w:val="000000"/>
          <w:kern w:val="0"/>
          <w:sz w:val="32"/>
          <w:szCs w:val="32"/>
        </w:rPr>
        <w:t>6913万元，包括本级支出，主要为</w:t>
      </w:r>
      <w:r>
        <w:rPr>
          <w:rFonts w:hint="eastAsia" w:ascii="仿宋_GB2312" w:eastAsia="仿宋_GB2312" w:cs="宋体"/>
          <w:color w:val="000000"/>
          <w:kern w:val="0"/>
          <w:sz w:val="32"/>
          <w:szCs w:val="32"/>
        </w:rPr>
        <w:t>军转</w:t>
      </w:r>
      <w:r>
        <w:rPr>
          <w:rFonts w:ascii="仿宋_GB2312" w:eastAsia="仿宋_GB2312" w:cs="宋体"/>
          <w:color w:val="000000"/>
          <w:kern w:val="0"/>
          <w:sz w:val="32"/>
          <w:szCs w:val="32"/>
        </w:rPr>
        <w:t>干部管理费、机关事业单位工资政策和管理费、促进就业</w:t>
      </w:r>
      <w:r>
        <w:rPr>
          <w:rFonts w:hint="eastAsia" w:ascii="仿宋_GB2312" w:eastAsia="仿宋_GB2312" w:cs="宋体"/>
          <w:color w:val="000000"/>
          <w:kern w:val="0"/>
          <w:sz w:val="32"/>
          <w:szCs w:val="32"/>
        </w:rPr>
        <w:t>政策</w:t>
      </w:r>
      <w:r>
        <w:rPr>
          <w:rFonts w:ascii="仿宋_GB2312" w:eastAsia="仿宋_GB2312" w:cs="宋体"/>
          <w:color w:val="000000"/>
          <w:kern w:val="0"/>
          <w:sz w:val="32"/>
          <w:szCs w:val="32"/>
        </w:rPr>
        <w:t>及管理费、企业工资</w:t>
      </w:r>
      <w:r>
        <w:rPr>
          <w:rFonts w:hint="eastAsia" w:ascii="仿宋_GB2312" w:eastAsia="仿宋_GB2312" w:cs="宋体"/>
          <w:color w:val="000000"/>
          <w:kern w:val="0"/>
          <w:sz w:val="32"/>
          <w:szCs w:val="32"/>
        </w:rPr>
        <w:t>政策</w:t>
      </w:r>
      <w:r>
        <w:rPr>
          <w:rFonts w:ascii="仿宋_GB2312" w:eastAsia="仿宋_GB2312" w:cs="宋体"/>
          <w:color w:val="000000"/>
          <w:kern w:val="0"/>
          <w:sz w:val="32"/>
          <w:szCs w:val="32"/>
        </w:rPr>
        <w:t>和管理费等。</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18622.65</w:t>
      </w:r>
      <w:r>
        <w:rPr>
          <w:rFonts w:hint="eastAsia" w:ascii="仿宋_GB2312" w:eastAsia="仿宋_GB2312" w:cs="宋体"/>
          <w:color w:val="000000"/>
          <w:kern w:val="0"/>
          <w:sz w:val="32"/>
          <w:szCs w:val="32"/>
        </w:rPr>
        <w:t>万元，我单位为2017年</w:t>
      </w:r>
      <w:r>
        <w:rPr>
          <w:rFonts w:ascii="仿宋_GB2312" w:eastAsia="仿宋_GB2312" w:cs="宋体"/>
          <w:color w:val="000000"/>
          <w:kern w:val="0"/>
          <w:sz w:val="32"/>
          <w:szCs w:val="32"/>
        </w:rPr>
        <w:t>机构改革，合并为人力资源和社会保障局</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所以无上年数据对比。</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8.86</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5.86</w:t>
      </w:r>
      <w:r>
        <w:rPr>
          <w:rFonts w:hint="eastAsia" w:ascii="仿宋_GB2312" w:eastAsia="仿宋_GB2312" w:cs="宋体"/>
          <w:color w:val="000000"/>
          <w:kern w:val="0"/>
          <w:sz w:val="32"/>
          <w:szCs w:val="32"/>
        </w:rPr>
        <w:t>万元，其他业务费</w:t>
      </w:r>
      <w:r>
        <w:rPr>
          <w:rFonts w:ascii="仿宋_GB2312" w:eastAsia="仿宋_GB2312" w:cs="宋体"/>
          <w:color w:val="000000"/>
          <w:kern w:val="0"/>
          <w:sz w:val="32"/>
          <w:szCs w:val="32"/>
        </w:rPr>
        <w:t>3万元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6.9</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6.9</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6.9</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同比去年我单位三公预算安排增加6.9万元，增加原因为：1、工作任务多；2、执法需要公车；3、公务车维护维修开支增大；</w:t>
      </w:r>
    </w:p>
    <w:p>
      <w:pPr>
        <w:spacing w:line="570" w:lineRule="exact"/>
        <w:ind w:firstLine="560"/>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深入学习贯彻党的十九大精神，贯彻落实区委、区政府决策部署，坚持民生为本、人才优先工作主线，抓重点、出亮点、补短板、防风险，统筹做好各项人社工作，全力增进民生福祉。</w:t>
      </w:r>
    </w:p>
    <w:p>
      <w:pPr>
        <w:widowControl/>
        <w:spacing w:line="570" w:lineRule="exact"/>
        <w:ind w:left="160" w:leftChars="76" w:firstLine="480" w:firstLineChars="150"/>
        <w:jc w:val="left"/>
        <w:rPr>
          <w:rFonts w:ascii="宋体" w:hAnsi="宋体" w:eastAsia="仿宋_GB2312" w:cs="宋体"/>
          <w:color w:val="000000"/>
          <w:kern w:val="0"/>
          <w:sz w:val="32"/>
          <w:szCs w:val="32"/>
        </w:rPr>
      </w:pPr>
    </w:p>
    <w:p>
      <w:pPr>
        <w:spacing w:line="570" w:lineRule="exact"/>
        <w:ind w:left="0"/>
        <w:rPr>
          <w:rFonts w:hint="eastAsia"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1.认真落实就业创业政策</w:t>
      </w:r>
      <w:r>
        <w:rPr>
          <w:rFonts w:hint="eastAsia" w:ascii="仿宋_GB2312" w:eastAsia="仿宋_GB2312" w:cs="宋体"/>
          <w:color w:val="000000"/>
          <w:kern w:val="0"/>
          <w:sz w:val="32"/>
          <w:szCs w:val="32"/>
        </w:rPr>
        <w:tab/>
      </w:r>
      <w:r>
        <w:rPr>
          <w:rFonts w:hint="eastAsia" w:ascii="仿宋_GB2312" w:eastAsia="仿宋_GB2312" w:cs="宋体"/>
          <w:color w:val="000000"/>
          <w:kern w:val="0"/>
          <w:sz w:val="32"/>
          <w:szCs w:val="32"/>
        </w:rPr>
        <w:t>2.持续完善社会保障体系3.不断优化人事人才管理。4.积极构建和谐劳动关系5.深化干部队伍作风建设。</w:t>
      </w:r>
    </w:p>
    <w:p>
      <w:pPr>
        <w:widowControl/>
        <w:spacing w:line="570" w:lineRule="exact"/>
        <w:jc w:val="left"/>
        <w:rPr>
          <w:rFonts w:ascii="仿宋_GB2312" w:eastAsia="仿宋_GB2312" w:cs="宋体"/>
          <w:color w:val="000000"/>
          <w:kern w:val="0"/>
          <w:sz w:val="32"/>
          <w:szCs w:val="32"/>
        </w:rPr>
      </w:pPr>
    </w:p>
    <w:p>
      <w:pPr>
        <w:widowControl/>
        <w:spacing w:line="570" w:lineRule="exact"/>
        <w:jc w:val="center"/>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233廊坊市广阳区人力资源和社会保障局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hint="eastAsia" w:ascii="仿宋" w:eastAsia="仿宋"/>
                <w:sz w:val="32"/>
                <w:szCs w:val="32"/>
              </w:rPr>
            </w:pPr>
            <w:r>
              <w:rPr>
                <w:rFonts w:hint="eastAsia" w:ascii="仿宋" w:eastAsia="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职责活动</w:t>
            </w:r>
          </w:p>
        </w:tc>
        <w:tc>
          <w:tcPr>
            <w:tcW w:w="1276" w:type="dxa"/>
            <w:vMerge w:val="restart"/>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年度预算数</w:t>
            </w:r>
          </w:p>
        </w:tc>
        <w:tc>
          <w:tcPr>
            <w:tcW w:w="2976" w:type="dxa"/>
            <w:vMerge w:val="restart"/>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内容描述</w:t>
            </w:r>
          </w:p>
        </w:tc>
        <w:tc>
          <w:tcPr>
            <w:tcW w:w="2976" w:type="dxa"/>
            <w:vMerge w:val="restart"/>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绩效目标</w:t>
            </w:r>
          </w:p>
        </w:tc>
        <w:tc>
          <w:tcPr>
            <w:tcW w:w="1417" w:type="dxa"/>
            <w:vMerge w:val="restart"/>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绩效指标</w:t>
            </w:r>
          </w:p>
        </w:tc>
        <w:tc>
          <w:tcPr>
            <w:tcW w:w="2948" w:type="dxa"/>
            <w:gridSpan w:val="4"/>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优</w:t>
            </w:r>
          </w:p>
        </w:tc>
        <w:tc>
          <w:tcPr>
            <w:tcW w:w="737" w:type="dxa"/>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良</w:t>
            </w:r>
          </w:p>
        </w:tc>
        <w:tc>
          <w:tcPr>
            <w:tcW w:w="737" w:type="dxa"/>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中</w:t>
            </w:r>
          </w:p>
        </w:tc>
        <w:tc>
          <w:tcPr>
            <w:tcW w:w="737" w:type="dxa"/>
            <w:shd w:val="clear" w:color="auto" w:fill="auto"/>
            <w:vAlign w:val="center"/>
          </w:tcPr>
          <w:p>
            <w:pPr>
              <w:spacing w:line="570" w:lineRule="exact"/>
              <w:jc w:val="center"/>
              <w:rPr>
                <w:rFonts w:hint="eastAsia" w:ascii="仿宋" w:eastAsia="仿宋"/>
                <w:b/>
                <w:sz w:val="32"/>
                <w:szCs w:val="32"/>
              </w:rPr>
            </w:pPr>
            <w:r>
              <w:rPr>
                <w:rFonts w:hint="eastAsia" w:ascii="仿宋" w:eastAsia="仿宋"/>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一、人才队伍建设</w:t>
            </w:r>
          </w:p>
        </w:tc>
        <w:tc>
          <w:tcPr>
            <w:tcW w:w="1276" w:type="dxa"/>
            <w:shd w:val="clear" w:color="auto" w:fill="auto"/>
            <w:vAlign w:val="center"/>
          </w:tcPr>
          <w:p>
            <w:pPr>
              <w:spacing w:line="570" w:lineRule="exact"/>
              <w:jc w:val="left"/>
              <w:rPr>
                <w:rFonts w:hint="eastAsia" w:ascii="仿宋" w:eastAsia="仿宋"/>
                <w:sz w:val="32"/>
                <w:szCs w:val="32"/>
              </w:rPr>
            </w:pP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管理职称工作</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规范专业技术人员管理，建立健全高层次专业技术人才队伍，规范专业技术人员管理及职称档案。</w:t>
            </w:r>
          </w:p>
        </w:tc>
        <w:tc>
          <w:tcPr>
            <w:tcW w:w="1417" w:type="dxa"/>
            <w:shd w:val="clear" w:color="auto" w:fill="auto"/>
            <w:vAlign w:val="center"/>
          </w:tcPr>
          <w:p>
            <w:pPr>
              <w:spacing w:line="570" w:lineRule="exact"/>
              <w:jc w:val="left"/>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1、职称申报、聘用及政策培训</w:t>
            </w:r>
          </w:p>
        </w:tc>
        <w:tc>
          <w:tcPr>
            <w:tcW w:w="1276" w:type="dxa"/>
            <w:vMerge w:val="restart"/>
            <w:shd w:val="clear" w:color="auto" w:fill="auto"/>
            <w:vAlign w:val="center"/>
          </w:tcPr>
          <w:p>
            <w:pPr>
              <w:spacing w:line="570" w:lineRule="exact"/>
              <w:jc w:val="left"/>
              <w:rPr>
                <w:rFonts w:hint="eastAsia" w:ascii="仿宋" w:eastAsia="仿宋"/>
                <w:sz w:val="32"/>
                <w:szCs w:val="32"/>
              </w:rPr>
            </w:pP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严格按照省级职称申报推荐要求，进行职称申报工作的部署、组织和初审，规范全区事业单位专业技术岗位聘用工作严格执行各项政策规定，严格管理全区事业单位中级以上职称档案工作，制定索引，科学排序。</w:t>
            </w:r>
          </w:p>
          <w:p>
            <w:pPr>
              <w:spacing w:line="570" w:lineRule="exact"/>
              <w:jc w:val="left"/>
              <w:rPr>
                <w:rFonts w:hint="eastAsia" w:ascii="仿宋" w:eastAsia="仿宋"/>
                <w:sz w:val="32"/>
                <w:szCs w:val="32"/>
              </w:rPr>
            </w:pPr>
            <w:r>
              <w:rPr>
                <w:rFonts w:hint="eastAsia" w:ascii="仿宋" w:eastAsia="仿宋"/>
                <w:sz w:val="32"/>
                <w:szCs w:val="32"/>
              </w:rPr>
              <w:t>严格按照省级职称申报推荐要求，进行职称申报工作的部署、组织和初审，规范全区事业单位专业技术岗位聘用工作严格执行各项政策规定，严格管理全区事业单位中级以上职称档案工作，制定索引，科学排序。</w:t>
            </w:r>
          </w:p>
          <w:p>
            <w:pPr>
              <w:spacing w:line="570" w:lineRule="exact"/>
              <w:jc w:val="left"/>
              <w:rPr>
                <w:rFonts w:hint="eastAsia" w:ascii="仿宋" w:eastAsia="仿宋"/>
                <w:sz w:val="32"/>
                <w:szCs w:val="32"/>
              </w:rPr>
            </w:pPr>
            <w:r>
              <w:rPr>
                <w:rFonts w:hint="eastAsia" w:ascii="仿宋" w:eastAsia="仿宋"/>
                <w:sz w:val="32"/>
                <w:szCs w:val="32"/>
              </w:rPr>
              <w:t>严格按照省级职称申报推荐要求，进行职称申报工作的部署、组织和初审，规范全区事业单位专业技术岗位聘用工作严格执行各项政策规定，严格管理全区事业单位中级以上职称档案工作，制定索引，科学排序。</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实现全区事业单位专业技术岗位聘用工作的制度化、科学化，提高全区高技能人才的比例，培养建设高技能人才队伍。</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达到省级要求</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95.00%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达到省级要求</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95.00%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达到省级要求</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95.00%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2、优秀人才选拔管理</w:t>
            </w:r>
          </w:p>
        </w:tc>
        <w:tc>
          <w:tcPr>
            <w:tcW w:w="1276" w:type="dxa"/>
            <w:vMerge w:val="restart"/>
            <w:shd w:val="clear" w:color="auto" w:fill="auto"/>
            <w:vAlign w:val="center"/>
          </w:tcPr>
          <w:p>
            <w:pPr>
              <w:spacing w:line="570" w:lineRule="exact"/>
              <w:jc w:val="left"/>
              <w:rPr>
                <w:rFonts w:hint="eastAsia" w:ascii="仿宋" w:eastAsia="仿宋"/>
                <w:sz w:val="32"/>
                <w:szCs w:val="32"/>
              </w:rPr>
            </w:pP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全区优秀人才选拔工作，包过“三三三人才”选拔工作和“有突出贡献人才”选拔工作。</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提高全区高技能人才的比例，培养建设高技能</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达到省级优秀人才选拔要求</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95.00%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达到省级优秀人才选拔要求</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95.00%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达到省级优秀人才选拔要求</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95.00%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二、人事代理</w:t>
            </w:r>
          </w:p>
        </w:tc>
        <w:tc>
          <w:tcPr>
            <w:tcW w:w="1276" w:type="dxa"/>
            <w:shd w:val="clear" w:color="auto" w:fill="auto"/>
            <w:vAlign w:val="center"/>
          </w:tcPr>
          <w:p>
            <w:pPr>
              <w:spacing w:line="570" w:lineRule="exact"/>
              <w:jc w:val="left"/>
              <w:rPr>
                <w:rFonts w:hint="eastAsia" w:ascii="仿宋" w:eastAsia="仿宋"/>
                <w:sz w:val="32"/>
                <w:szCs w:val="32"/>
              </w:rPr>
            </w:pP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促进人才流动</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lang w:eastAsia="zh-CN"/>
              </w:rPr>
              <w:t>建立健全</w:t>
            </w:r>
            <w:r>
              <w:rPr>
                <w:rFonts w:hint="eastAsia" w:ascii="仿宋" w:eastAsia="仿宋"/>
                <w:sz w:val="32"/>
                <w:szCs w:val="32"/>
              </w:rPr>
              <w:t>流动人员管理体系。</w:t>
            </w:r>
          </w:p>
        </w:tc>
        <w:tc>
          <w:tcPr>
            <w:tcW w:w="1417" w:type="dxa"/>
            <w:shd w:val="clear" w:color="auto" w:fill="auto"/>
            <w:vAlign w:val="center"/>
          </w:tcPr>
          <w:p>
            <w:pPr>
              <w:spacing w:line="570" w:lineRule="exact"/>
              <w:jc w:val="left"/>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1、流动人员的档案管理</w:t>
            </w:r>
          </w:p>
        </w:tc>
        <w:tc>
          <w:tcPr>
            <w:tcW w:w="1276" w:type="dxa"/>
            <w:vMerge w:val="restart"/>
            <w:shd w:val="clear" w:color="auto" w:fill="auto"/>
            <w:vAlign w:val="center"/>
          </w:tcPr>
          <w:p>
            <w:pPr>
              <w:spacing w:line="570" w:lineRule="exact"/>
              <w:jc w:val="left"/>
              <w:rPr>
                <w:rFonts w:hint="eastAsia" w:ascii="仿宋" w:eastAsia="仿宋"/>
                <w:sz w:val="32"/>
                <w:szCs w:val="32"/>
              </w:rPr>
            </w:pP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流动人员的档案和转递、材料收集、鉴别归档、整理、保管，推进电子档案建立、数据集中，对档案安全检查排除、失窃、失密、损坏等事故发生，加大对流动人员人事档案库房、服务场所和信息系统等基础设施的投入，保障相关工作正常开展。</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人才服务到位率</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档案信息</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95.00%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提高代理率</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提高档案保管安全</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95.00%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三、人事管理</w:t>
            </w:r>
          </w:p>
        </w:tc>
        <w:tc>
          <w:tcPr>
            <w:tcW w:w="12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5028.00</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军转干部安置，机关单位及公务员管理，管理人事工资政策及退休福利政策，管理机关事业单位技术工人。</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确保公务员招录公平、公正，完成好年度考核奖励，提高全区公务员素质稳妥做好企业军转干部解困工作，确保企业军转干部总体稳定，确保工资分配合理公正，机关事业单位技术工人考核和管理。</w:t>
            </w:r>
          </w:p>
        </w:tc>
        <w:tc>
          <w:tcPr>
            <w:tcW w:w="1417" w:type="dxa"/>
            <w:shd w:val="clear" w:color="auto" w:fill="auto"/>
            <w:vAlign w:val="center"/>
          </w:tcPr>
          <w:p>
            <w:pPr>
              <w:spacing w:line="570" w:lineRule="exact"/>
              <w:jc w:val="left"/>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1、军转干部管理</w:t>
            </w:r>
          </w:p>
        </w:tc>
        <w:tc>
          <w:tcPr>
            <w:tcW w:w="12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28.00</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拟订县级军队转业干部安置计划并组织实施，组织拟定部分企业军转干部解困和稳定政策及军转干部管理服务，负责自主择业转业干部的管理服务。</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组织全县军转干部培训工作并做好军转安置工作。落实解困政策，按时足额发放解困资金，并做好企业军转干部思想教育工作和稳控工作。</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负责自主择业转业干部的管理服务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较好完成任务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军转干部解困到位率军转干部安置计划落实率</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较好完成任务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落实解困政策，按时足额发放解困资金，并做好企业军转干部思想教育工作和稳控工作</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圆满完成任务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2、机关单位及公务员管理</w:t>
            </w:r>
          </w:p>
        </w:tc>
        <w:tc>
          <w:tcPr>
            <w:tcW w:w="1276" w:type="dxa"/>
            <w:vMerge w:val="restart"/>
            <w:shd w:val="clear" w:color="auto" w:fill="auto"/>
            <w:vAlign w:val="center"/>
          </w:tcPr>
          <w:p>
            <w:pPr>
              <w:spacing w:line="570" w:lineRule="exact"/>
              <w:jc w:val="left"/>
              <w:rPr>
                <w:rFonts w:hint="eastAsia" w:ascii="仿宋" w:eastAsia="仿宋"/>
                <w:sz w:val="32"/>
                <w:szCs w:val="32"/>
              </w:rPr>
            </w:pP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开展公务员职位管理任免、招录、考核奖励、培训事业单位参照公务员法管理工作</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加强区政府系统公务员职位管理，职务任免，做好公务员招录工作，提高公务员依法行政管理的能力。</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加强区政府系统公务员职位管理，职务任免</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开展公务员职位管理考核奖励</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机关及公务员调查满意率。</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90.00%</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3、机关事业单位工资政策和管理</w:t>
            </w:r>
          </w:p>
        </w:tc>
        <w:tc>
          <w:tcPr>
            <w:tcW w:w="12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5000.00</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组织实施区直机关事业单位工作人员工资政策落实，制定出台事业单位绩效工资政策并组织实施，为符合退休条件人员办理退休手续。</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规范全区工资管理制度，保障工作人员和离退休人员基本利益。</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事业单位绩效工资政策并组织实施</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圆满完成任务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保障工作人员和离退休人员基本利益</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较好完成任务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加强政策落实速度与准确</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较好完成任务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4、机关事业单位技术工人考核和管理</w:t>
            </w:r>
          </w:p>
        </w:tc>
        <w:tc>
          <w:tcPr>
            <w:tcW w:w="1276" w:type="dxa"/>
            <w:vMerge w:val="restart"/>
            <w:shd w:val="clear" w:color="auto" w:fill="auto"/>
            <w:vAlign w:val="center"/>
          </w:tcPr>
          <w:p>
            <w:pPr>
              <w:spacing w:line="570" w:lineRule="exact"/>
              <w:jc w:val="left"/>
              <w:rPr>
                <w:rFonts w:hint="eastAsia" w:ascii="仿宋" w:eastAsia="仿宋"/>
                <w:sz w:val="32"/>
                <w:szCs w:val="32"/>
              </w:rPr>
            </w:pP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组织全区机关事业事业单位技术工人技术等级考核报名考试组档上报工作</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提高我区技术工人业务技能。</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达到省级要求</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圆满完成任务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达到省级要求</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较好完成任务</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提高技术等级人才比例</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四、促进就业政策及管理</w:t>
            </w:r>
          </w:p>
        </w:tc>
        <w:tc>
          <w:tcPr>
            <w:tcW w:w="12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4555.00</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统筹管理全区劳动力资源的开发利用做好就业创业工作；指导劳动力市场的发展，组织建立健全就业服务体系，劳务派遣行政许可，小额担保贷款初审。组织贯彻执行职业分类、职业技能国家标准和相关行业标准，推行职业资格证书制度，拟定企业有关职工技能培训和下岗失业人员就业培训的规划、政策和措施，并组织实施。</w:t>
            </w:r>
          </w:p>
          <w:p>
            <w:pPr>
              <w:spacing w:line="570" w:lineRule="exact"/>
              <w:jc w:val="left"/>
              <w:rPr>
                <w:rFonts w:hint="eastAsia" w:ascii="仿宋" w:eastAsia="仿宋"/>
                <w:sz w:val="32"/>
                <w:szCs w:val="32"/>
              </w:rPr>
            </w:pPr>
            <w:r>
              <w:rPr>
                <w:rFonts w:hint="eastAsia" w:ascii="仿宋" w:eastAsia="仿宋"/>
                <w:sz w:val="32"/>
                <w:szCs w:val="32"/>
              </w:rPr>
              <w:t>统筹管理全区劳动力资源的开发利用做好就业创业工作；指导劳动力市场的发展，组织建立健全就业服务体系，劳务派遣行政许可，小额担保贷款初审。组织贯彻执行职业分类、职业技能国家标准和相关行业标准，推行职业资格证书制度，拟定企业有关职工技能培训和下岗失业人员就业培训的规划、政策和措施，并组织实施。</w:t>
            </w:r>
          </w:p>
          <w:p>
            <w:pPr>
              <w:spacing w:line="570" w:lineRule="exact"/>
              <w:jc w:val="left"/>
              <w:rPr>
                <w:rFonts w:hint="eastAsia" w:ascii="仿宋" w:eastAsia="仿宋"/>
                <w:sz w:val="32"/>
                <w:szCs w:val="32"/>
              </w:rPr>
            </w:pPr>
            <w:r>
              <w:rPr>
                <w:rFonts w:hint="eastAsia" w:ascii="仿宋" w:eastAsia="仿宋"/>
                <w:sz w:val="32"/>
                <w:szCs w:val="32"/>
              </w:rPr>
              <w:t>统筹管理全区劳动力资源的开发利用做好就业创业工作；指导劳动力市场的发展，组织建立健全就业服务体系，劳务派遣行政许可，小额担保贷款初审。组织贯彻执行职业分类、职业技能国家标准和相关行业标准，推行职业资格证书制度，拟定企业有关职工技能培训和下岗失业人员就业培训的规划、政策和措施，并组织实施。</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全面落实促进就业创业各项政策，重点解决高校毕业生、农村劳动力、困难群体就业问题，实现零就业家庭动态归零。</w:t>
            </w:r>
          </w:p>
          <w:p>
            <w:pPr>
              <w:spacing w:line="570" w:lineRule="exact"/>
              <w:jc w:val="left"/>
              <w:rPr>
                <w:rFonts w:hint="eastAsia" w:ascii="仿宋" w:eastAsia="仿宋"/>
                <w:sz w:val="32"/>
                <w:szCs w:val="32"/>
              </w:rPr>
            </w:pPr>
            <w:r>
              <w:rPr>
                <w:rFonts w:hint="eastAsia" w:ascii="仿宋" w:eastAsia="仿宋"/>
                <w:sz w:val="32"/>
                <w:szCs w:val="32"/>
              </w:rPr>
              <w:t>全面落实促进就业创业各项政策，重点解决高校毕业生、农村劳动力、困难群体就业问题，实现零就业家庭动态归零。</w:t>
            </w:r>
          </w:p>
          <w:p>
            <w:pPr>
              <w:spacing w:line="570" w:lineRule="exact"/>
              <w:jc w:val="left"/>
              <w:rPr>
                <w:rFonts w:hint="eastAsia" w:ascii="仿宋" w:eastAsia="仿宋"/>
                <w:sz w:val="32"/>
                <w:szCs w:val="32"/>
              </w:rPr>
            </w:pPr>
            <w:r>
              <w:rPr>
                <w:rFonts w:hint="eastAsia" w:ascii="仿宋" w:eastAsia="仿宋"/>
                <w:sz w:val="32"/>
                <w:szCs w:val="32"/>
              </w:rPr>
              <w:t>全面落实促进就业创业各项政策，重点解决高校毕业生、农村劳动力、困难群体就业问题，实现零就业家庭动态归零。</w:t>
            </w:r>
          </w:p>
        </w:tc>
        <w:tc>
          <w:tcPr>
            <w:tcW w:w="1417" w:type="dxa"/>
            <w:shd w:val="clear" w:color="auto" w:fill="auto"/>
            <w:vAlign w:val="center"/>
          </w:tcPr>
          <w:p>
            <w:pPr>
              <w:spacing w:line="570" w:lineRule="exact"/>
              <w:jc w:val="left"/>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1、就业创业扶持政策的落实及管理</w:t>
            </w:r>
          </w:p>
        </w:tc>
        <w:tc>
          <w:tcPr>
            <w:tcW w:w="12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4555.00</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落实促进城乡统筹的就业发展规划和就业创业扶持政策，就业援助政策，推动全区就业创业工作，组织和实施就业管理工作。</w:t>
            </w:r>
          </w:p>
          <w:p>
            <w:pPr>
              <w:spacing w:line="570" w:lineRule="exact"/>
              <w:jc w:val="left"/>
              <w:rPr>
                <w:rFonts w:hint="eastAsia" w:ascii="仿宋" w:eastAsia="仿宋"/>
                <w:sz w:val="32"/>
                <w:szCs w:val="32"/>
              </w:rPr>
            </w:pPr>
            <w:r>
              <w:rPr>
                <w:rFonts w:hint="eastAsia" w:ascii="仿宋" w:eastAsia="仿宋"/>
                <w:sz w:val="32"/>
                <w:szCs w:val="32"/>
              </w:rPr>
              <w:t>落实促进城乡统筹的就业发展规划和就业创业扶持政策，就业援助政策，推动全区就业创业工作，组织和实施就业管理工作。</w:t>
            </w:r>
          </w:p>
          <w:p>
            <w:pPr>
              <w:spacing w:line="570" w:lineRule="exact"/>
              <w:jc w:val="left"/>
              <w:rPr>
                <w:rFonts w:hint="eastAsia" w:ascii="仿宋" w:eastAsia="仿宋"/>
                <w:sz w:val="32"/>
                <w:szCs w:val="32"/>
              </w:rPr>
            </w:pPr>
            <w:r>
              <w:rPr>
                <w:rFonts w:hint="eastAsia" w:ascii="仿宋" w:eastAsia="仿宋"/>
                <w:sz w:val="32"/>
                <w:szCs w:val="32"/>
              </w:rPr>
              <w:t>落实促进城乡统筹的就业发展规划和就业创业扶持政策，就业援助政策，推动全区就业创业工作，组织和实施就业管理工作。</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 xml:space="preserve">    促进我区劳动者就业、创业，保持就业形势的基本稳定。</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各项就业、创业扶持政策完成率</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90%以上</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各项就业、创业扶持政策进度</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90%以上</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各项就业、创业扶持政策在我区得到全面落实。</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90%以上</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五、工资政策执行及管理</w:t>
            </w:r>
          </w:p>
        </w:tc>
        <w:tc>
          <w:tcPr>
            <w:tcW w:w="12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7325.00</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贯彻企业职工退休政策，负责区属企业职工退休审批及因病、特殊工种提前退休申报；负责国有、集体企业职工工龄接续工作；负责全区企业职工工伤认定初审工作。</w:t>
            </w:r>
          </w:p>
          <w:p>
            <w:pPr>
              <w:spacing w:line="570" w:lineRule="exact"/>
              <w:jc w:val="left"/>
              <w:rPr>
                <w:rFonts w:hint="eastAsia" w:ascii="仿宋" w:eastAsia="仿宋"/>
                <w:sz w:val="32"/>
                <w:szCs w:val="32"/>
              </w:rPr>
            </w:pPr>
            <w:r>
              <w:rPr>
                <w:rFonts w:hint="eastAsia" w:ascii="仿宋" w:eastAsia="仿宋"/>
                <w:sz w:val="32"/>
                <w:szCs w:val="32"/>
              </w:rPr>
              <w:t>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贯彻企业职工退休政策，负责区属企业职工退休审批及因病、特殊工种提前退休申报；负责国有、集体企业职工工龄接续工作；负责全区企业职工工伤认定初审工作。</w:t>
            </w:r>
          </w:p>
          <w:p>
            <w:pPr>
              <w:spacing w:line="570" w:lineRule="exact"/>
              <w:jc w:val="left"/>
              <w:rPr>
                <w:rFonts w:hint="eastAsia" w:ascii="仿宋" w:eastAsia="仿宋"/>
                <w:sz w:val="32"/>
                <w:szCs w:val="32"/>
              </w:rPr>
            </w:pPr>
            <w:r>
              <w:rPr>
                <w:rFonts w:hint="eastAsia" w:ascii="仿宋" w:eastAsia="仿宋"/>
                <w:sz w:val="32"/>
                <w:szCs w:val="32"/>
              </w:rPr>
              <w:t>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贯彻企业职工退休政策，负责区属企业职工退休审批及因病、特殊工种提前退休申报；负责国有、集体企业职工工龄接续工作；负责全区企业职工工伤认定初审工作。</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提升劳动报酬在初次分配中的比重。</w:t>
            </w:r>
          </w:p>
          <w:p>
            <w:pPr>
              <w:spacing w:line="570" w:lineRule="exact"/>
              <w:jc w:val="left"/>
              <w:rPr>
                <w:rFonts w:hint="eastAsia" w:ascii="仿宋" w:eastAsia="仿宋"/>
                <w:sz w:val="32"/>
                <w:szCs w:val="32"/>
              </w:rPr>
            </w:pPr>
            <w:r>
              <w:rPr>
                <w:rFonts w:hint="eastAsia" w:ascii="仿宋" w:eastAsia="仿宋"/>
                <w:sz w:val="32"/>
                <w:szCs w:val="32"/>
              </w:rPr>
              <w:t>提升劳动报酬在初次分配中的比重。</w:t>
            </w:r>
          </w:p>
          <w:p>
            <w:pPr>
              <w:spacing w:line="570" w:lineRule="exact"/>
              <w:jc w:val="left"/>
              <w:rPr>
                <w:rFonts w:hint="eastAsia" w:ascii="仿宋" w:eastAsia="仿宋"/>
                <w:sz w:val="32"/>
                <w:szCs w:val="32"/>
              </w:rPr>
            </w:pPr>
            <w:r>
              <w:rPr>
                <w:rFonts w:hint="eastAsia" w:ascii="仿宋" w:eastAsia="仿宋"/>
                <w:sz w:val="32"/>
                <w:szCs w:val="32"/>
              </w:rPr>
              <w:t>提升劳动报酬在初次分配中的比重。</w:t>
            </w:r>
          </w:p>
        </w:tc>
        <w:tc>
          <w:tcPr>
            <w:tcW w:w="1417" w:type="dxa"/>
            <w:shd w:val="clear" w:color="auto" w:fill="auto"/>
            <w:vAlign w:val="center"/>
          </w:tcPr>
          <w:p>
            <w:pPr>
              <w:spacing w:line="570" w:lineRule="exact"/>
              <w:jc w:val="left"/>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1、企业工资政策和管理</w:t>
            </w:r>
          </w:p>
        </w:tc>
        <w:tc>
          <w:tcPr>
            <w:tcW w:w="12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7325.00</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完善全区企业工资调控机制和工资集体协商制度，发布工资指导线和劳动力市场价位和人工成本情况，监督并审核区属国有企业工资总额管理，加强企业工资内外收入监督。</w:t>
            </w:r>
          </w:p>
          <w:p>
            <w:pPr>
              <w:spacing w:line="570" w:lineRule="exact"/>
              <w:jc w:val="left"/>
              <w:rPr>
                <w:rFonts w:hint="eastAsia" w:ascii="仿宋" w:eastAsia="仿宋"/>
                <w:sz w:val="32"/>
                <w:szCs w:val="32"/>
              </w:rPr>
            </w:pPr>
            <w:r>
              <w:rPr>
                <w:rFonts w:hint="eastAsia" w:ascii="仿宋" w:eastAsia="仿宋"/>
                <w:sz w:val="32"/>
                <w:szCs w:val="32"/>
              </w:rPr>
              <w:t>完善全区企业工资调控机制和工资集体协商制度，发布工资指导线和劳动力市场价位和人工成本情况，监督并审核区属国有企业工资总额管理，加强企业工资内外收入监督。</w:t>
            </w:r>
          </w:p>
          <w:p>
            <w:pPr>
              <w:spacing w:line="570" w:lineRule="exact"/>
              <w:jc w:val="left"/>
              <w:rPr>
                <w:rFonts w:hint="eastAsia" w:ascii="仿宋" w:eastAsia="仿宋"/>
                <w:sz w:val="32"/>
                <w:szCs w:val="32"/>
              </w:rPr>
            </w:pPr>
            <w:r>
              <w:rPr>
                <w:rFonts w:hint="eastAsia" w:ascii="仿宋" w:eastAsia="仿宋"/>
                <w:sz w:val="32"/>
                <w:szCs w:val="32"/>
              </w:rPr>
              <w:t>完善全区企业工资调控机制和工资集体协商制度，发布工资指导线和劳动力市场价位和人工成本情况，监督并审核区属国有企业工资总额管理，加强企业工资内外收入监督。</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 xml:space="preserve"> 加大对企业工资分配的宏观调控力度，合理确定收入分配水平。</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工伤认定</w:t>
            </w: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企业职工接续工龄</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90%以上</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企业职工退休审批</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90%以上</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六、劳动仲裁</w:t>
            </w:r>
          </w:p>
        </w:tc>
        <w:tc>
          <w:tcPr>
            <w:tcW w:w="12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5.00</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负责劳动争议案件仲裁调解工作，贯彻执行劳动争议处理法律法规和规章；指导企业劳动争议仲裁组织和队伍建设；负责劳动争议的预防、调解、仲裁和劳动合同备案工作。</w:t>
            </w:r>
          </w:p>
          <w:p>
            <w:pPr>
              <w:spacing w:line="570" w:lineRule="exact"/>
              <w:jc w:val="left"/>
              <w:rPr>
                <w:rFonts w:hint="eastAsia" w:ascii="仿宋" w:eastAsia="仿宋"/>
                <w:sz w:val="32"/>
                <w:szCs w:val="32"/>
              </w:rPr>
            </w:pPr>
            <w:r>
              <w:rPr>
                <w:rFonts w:hint="eastAsia" w:ascii="仿宋" w:eastAsia="仿宋"/>
                <w:sz w:val="32"/>
                <w:szCs w:val="32"/>
              </w:rPr>
              <w:t>负责劳动争议案件仲裁调解工作，贯彻执行劳动争议处理法律法规和规章；指导企业劳动争议仲裁组织和队伍建设；负责劳动争议的预防、调解、仲裁和劳动合同备案工作。</w:t>
            </w:r>
          </w:p>
          <w:p>
            <w:pPr>
              <w:spacing w:line="570" w:lineRule="exact"/>
              <w:jc w:val="left"/>
              <w:rPr>
                <w:rFonts w:hint="eastAsia" w:ascii="仿宋" w:eastAsia="仿宋"/>
                <w:sz w:val="32"/>
                <w:szCs w:val="32"/>
              </w:rPr>
            </w:pPr>
            <w:r>
              <w:rPr>
                <w:rFonts w:hint="eastAsia" w:ascii="仿宋" w:eastAsia="仿宋"/>
                <w:sz w:val="32"/>
                <w:szCs w:val="32"/>
              </w:rPr>
              <w:t>负责劳动争议案件仲裁调解工作，贯彻执行劳动争议处理法律法规和规章；指导企业劳动争议仲裁组织和队伍建设；负责劳动争议的预防、调解、仲裁和劳动合同备案工作。</w:t>
            </w:r>
          </w:p>
        </w:tc>
        <w:tc>
          <w:tcPr>
            <w:tcW w:w="2976"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认真处理劳动争议案件，维护劳动者合法权益</w:t>
            </w:r>
          </w:p>
          <w:p>
            <w:pPr>
              <w:spacing w:line="570" w:lineRule="exact"/>
              <w:jc w:val="left"/>
              <w:rPr>
                <w:rFonts w:hint="eastAsia" w:ascii="仿宋" w:eastAsia="仿宋"/>
                <w:sz w:val="32"/>
                <w:szCs w:val="32"/>
              </w:rPr>
            </w:pPr>
            <w:r>
              <w:rPr>
                <w:rFonts w:hint="eastAsia" w:ascii="仿宋" w:eastAsia="仿宋"/>
                <w:sz w:val="32"/>
                <w:szCs w:val="32"/>
              </w:rPr>
              <w:t>认真处理劳动争议案件，维护劳动者合法权益</w:t>
            </w:r>
          </w:p>
          <w:p>
            <w:pPr>
              <w:spacing w:line="570" w:lineRule="exact"/>
              <w:jc w:val="left"/>
              <w:rPr>
                <w:rFonts w:hint="eastAsia" w:ascii="仿宋" w:eastAsia="仿宋"/>
                <w:sz w:val="32"/>
                <w:szCs w:val="32"/>
              </w:rPr>
            </w:pPr>
            <w:r>
              <w:rPr>
                <w:rFonts w:hint="eastAsia" w:ascii="仿宋" w:eastAsia="仿宋"/>
                <w:sz w:val="32"/>
                <w:szCs w:val="32"/>
              </w:rPr>
              <w:t>认真处理劳动争议案件，维护劳动者合法权益</w:t>
            </w:r>
          </w:p>
        </w:tc>
        <w:tc>
          <w:tcPr>
            <w:tcW w:w="1417" w:type="dxa"/>
            <w:shd w:val="clear" w:color="auto" w:fill="auto"/>
            <w:vAlign w:val="center"/>
          </w:tcPr>
          <w:p>
            <w:pPr>
              <w:spacing w:line="570" w:lineRule="exact"/>
              <w:jc w:val="left"/>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c>
          <w:tcPr>
            <w:tcW w:w="737" w:type="dxa"/>
            <w:shd w:val="clear" w:color="auto" w:fill="auto"/>
            <w:vAlign w:val="center"/>
          </w:tcPr>
          <w:p>
            <w:pPr>
              <w:spacing w:line="570" w:lineRule="exact"/>
              <w:jc w:val="center"/>
              <w:rPr>
                <w:rFonts w:hint="eastAsia" w:asci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570" w:lineRule="exact"/>
              <w:jc w:val="left"/>
              <w:rPr>
                <w:rFonts w:hint="eastAsia" w:ascii="仿宋" w:eastAsia="仿宋"/>
                <w:b/>
                <w:sz w:val="32"/>
                <w:szCs w:val="32"/>
              </w:rPr>
            </w:pPr>
            <w:r>
              <w:rPr>
                <w:rFonts w:hint="eastAsia" w:ascii="仿宋" w:eastAsia="仿宋"/>
                <w:b/>
                <w:sz w:val="32"/>
                <w:szCs w:val="32"/>
              </w:rPr>
              <w:t>　　1、劳动争议事务管理</w:t>
            </w:r>
          </w:p>
        </w:tc>
        <w:tc>
          <w:tcPr>
            <w:tcW w:w="12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5.00</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组织和实施劳动争议的调解、仲裁。</w:t>
            </w:r>
          </w:p>
          <w:p>
            <w:pPr>
              <w:spacing w:line="570" w:lineRule="exact"/>
              <w:jc w:val="left"/>
              <w:rPr>
                <w:rFonts w:hint="eastAsia" w:ascii="仿宋" w:eastAsia="仿宋"/>
                <w:sz w:val="32"/>
                <w:szCs w:val="32"/>
              </w:rPr>
            </w:pPr>
            <w:r>
              <w:rPr>
                <w:rFonts w:hint="eastAsia" w:ascii="仿宋" w:eastAsia="仿宋"/>
                <w:sz w:val="32"/>
                <w:szCs w:val="32"/>
              </w:rPr>
              <w:t>组织和实施劳动争议的调解、仲裁。</w:t>
            </w:r>
          </w:p>
          <w:p>
            <w:pPr>
              <w:spacing w:line="570" w:lineRule="exact"/>
              <w:jc w:val="left"/>
              <w:rPr>
                <w:rFonts w:hint="eastAsia" w:ascii="仿宋" w:eastAsia="仿宋"/>
                <w:sz w:val="32"/>
                <w:szCs w:val="32"/>
              </w:rPr>
            </w:pPr>
            <w:r>
              <w:rPr>
                <w:rFonts w:hint="eastAsia" w:ascii="仿宋" w:eastAsia="仿宋"/>
                <w:sz w:val="32"/>
                <w:szCs w:val="32"/>
              </w:rPr>
              <w:t>组织和实施劳动争议的调解、仲裁。</w:t>
            </w:r>
          </w:p>
        </w:tc>
        <w:tc>
          <w:tcPr>
            <w:tcW w:w="2976" w:type="dxa"/>
            <w:vMerge w:val="restart"/>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 xml:space="preserve"> 提高调解仲裁办案质量。</w:t>
            </w: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劳动仲裁完成率</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90%以上</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劳动仲裁到期结案率</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90%以上</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570" w:lineRule="exact"/>
              <w:jc w:val="left"/>
              <w:rPr>
                <w:rFonts w:hint="eastAsia" w:ascii="仿宋" w:eastAsia="仿宋"/>
                <w:sz w:val="32"/>
                <w:szCs w:val="32"/>
              </w:rPr>
            </w:pPr>
            <w:r>
              <w:rPr>
                <w:rFonts w:hint="eastAsia" w:ascii="仿宋" w:eastAsia="仿宋"/>
                <w:sz w:val="32"/>
                <w:szCs w:val="32"/>
              </w:rPr>
              <w:t>劳动仲裁进度</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90%以上</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80%-90%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70%-80%</w:t>
            </w:r>
          </w:p>
        </w:tc>
        <w:tc>
          <w:tcPr>
            <w:tcW w:w="737" w:type="dxa"/>
            <w:shd w:val="clear" w:color="auto" w:fill="auto"/>
            <w:vAlign w:val="center"/>
          </w:tcPr>
          <w:p>
            <w:pPr>
              <w:spacing w:line="570" w:lineRule="exact"/>
              <w:jc w:val="center"/>
              <w:rPr>
                <w:rFonts w:hint="eastAsia" w:ascii="仿宋" w:eastAsia="仿宋"/>
                <w:sz w:val="32"/>
                <w:szCs w:val="32"/>
              </w:rPr>
            </w:pPr>
            <w:r>
              <w:rPr>
                <w:rFonts w:hint="eastAsia" w:ascii="仿宋" w:eastAsia="仿宋"/>
                <w:sz w:val="32"/>
                <w:szCs w:val="32"/>
              </w:rPr>
              <w:t>70%以下</w:t>
            </w:r>
          </w:p>
        </w:tc>
      </w:tr>
    </w:tbl>
    <w:p>
      <w:pPr>
        <w:widowControl/>
        <w:spacing w:line="570" w:lineRule="exac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安排政府采购预算。</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hint="eastAsia" w:ascii="仿宋_GB2312" w:eastAsia="仿宋_GB2312" w:cs="Times New Roman"/>
                <w:sz w:val="28"/>
                <w:szCs w:val="28"/>
                <w:lang w:eastAsia="zh-CN"/>
              </w:rPr>
            </w:pPr>
            <w:r>
              <w:rPr>
                <w:rFonts w:hint="eastAsia" w:ascii="仿宋_GB2312" w:eastAsia="仿宋_GB2312" w:cs="Times New Roman"/>
                <w:sz w:val="28"/>
                <w:szCs w:val="28"/>
                <w:lang w:val="en-US" w:eastAsia="zh-CN"/>
              </w:rPr>
              <w:t>233-</w:t>
            </w:r>
            <w:r>
              <w:rPr>
                <w:rFonts w:hint="eastAsia" w:ascii="仿宋_GB2312" w:eastAsia="仿宋_GB2312" w:cs="Times New Roman"/>
                <w:sz w:val="28"/>
                <w:szCs w:val="28"/>
              </w:rPr>
              <w:t>廊坊市广阳区</w:t>
            </w:r>
            <w:r>
              <w:rPr>
                <w:rFonts w:hint="eastAsia" w:ascii="仿宋_GB2312" w:eastAsia="仿宋_GB2312" w:cs="Times New Roman"/>
                <w:sz w:val="28"/>
                <w:szCs w:val="28"/>
                <w:lang w:eastAsia="zh-CN"/>
              </w:rPr>
              <w:t>人力资源和社会保障局</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7"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7"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7" w:type="dxa"/>
            <w:shd w:val="clear" w:color="auto" w:fill="auto"/>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1" w:type="dxa"/>
            <w:shd w:val="clear" w:color="auto" w:fill="auto"/>
            <w:vAlign w:val="center"/>
          </w:tcPr>
          <w:p>
            <w:pPr>
              <w:spacing w:line="570" w:lineRule="exact"/>
              <w:jc w:val="center"/>
              <w:rPr>
                <w:rFonts w:ascii="仿宋_GB2312" w:eastAsia="仿宋_GB2312" w:cs="Times New Roman"/>
                <w:sz w:val="28"/>
                <w:szCs w:val="28"/>
              </w:rPr>
            </w:pPr>
          </w:p>
        </w:tc>
        <w:tc>
          <w:tcPr>
            <w:tcW w:w="1013"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1327"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34" w:type="dxa"/>
            <w:shd w:val="clear" w:color="auto" w:fill="auto"/>
            <w:vAlign w:val="center"/>
          </w:tcPr>
          <w:p>
            <w:pPr>
              <w:spacing w:line="570" w:lineRule="exact"/>
              <w:jc w:val="center"/>
              <w:rPr>
                <w:rFonts w:ascii="仿宋_GB2312" w:eastAsia="仿宋_GB2312" w:cs="Times New Roman"/>
                <w:sz w:val="28"/>
                <w:szCs w:val="28"/>
              </w:rPr>
            </w:pPr>
          </w:p>
        </w:tc>
        <w:tc>
          <w:tcPr>
            <w:tcW w:w="856"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853" w:type="dxa"/>
            <w:shd w:val="clear" w:color="auto" w:fill="auto"/>
            <w:vAlign w:val="center"/>
          </w:tcPr>
          <w:p>
            <w:pPr>
              <w:spacing w:line="570" w:lineRule="exact"/>
              <w:jc w:val="center"/>
              <w:rPr>
                <w:rFonts w:ascii="仿宋_GB2312" w:eastAsia="仿宋_GB2312" w:cs="Times New Roman"/>
                <w:sz w:val="28"/>
                <w:szCs w:val="28"/>
              </w:rPr>
            </w:pPr>
          </w:p>
        </w:tc>
        <w:tc>
          <w:tcPr>
            <w:tcW w:w="776"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837" w:type="dxa"/>
            <w:shd w:val="clear" w:color="auto" w:fill="auto"/>
            <w:vAlign w:val="center"/>
          </w:tcPr>
          <w:p>
            <w:pPr>
              <w:spacing w:line="570" w:lineRule="exact"/>
              <w:jc w:val="center"/>
              <w:rPr>
                <w:rFonts w:ascii="仿宋_GB2312" w:eastAsia="仿宋_GB2312" w:cs="Times New Roman"/>
                <w:sz w:val="28"/>
                <w:szCs w:val="28"/>
              </w:rPr>
            </w:pPr>
          </w:p>
        </w:tc>
        <w:tc>
          <w:tcPr>
            <w:tcW w:w="787" w:type="dxa"/>
            <w:shd w:val="clear" w:color="auto" w:fill="auto"/>
            <w:vAlign w:val="center"/>
          </w:tcPr>
          <w:p>
            <w:pPr>
              <w:spacing w:line="570" w:lineRule="exact"/>
              <w:jc w:val="center"/>
              <w:rPr>
                <w:rFonts w:ascii="仿宋_GB2312" w:eastAsia="仿宋_GB2312" w:cs="Times New Roman"/>
                <w:sz w:val="28"/>
                <w:szCs w:val="28"/>
              </w:rPr>
            </w:pPr>
          </w:p>
        </w:tc>
      </w:tr>
    </w:tbl>
    <w:p>
      <w:pPr>
        <w:widowControl/>
        <w:spacing w:line="570" w:lineRule="exact"/>
        <w:jc w:val="left"/>
        <w:rPr>
          <w:rFonts w:ascii="仿宋_GB2312" w:eastAsia="仿宋_GB2312" w:cs="宋体"/>
          <w:b/>
          <w:bCs/>
          <w:color w:val="000000"/>
          <w:kern w:val="0"/>
          <w:sz w:val="32"/>
          <w:szCs w:val="32"/>
        </w:rPr>
      </w:pPr>
    </w:p>
    <w:p>
      <w:pPr>
        <w:widowControl/>
        <w:spacing w:line="570" w:lineRule="exact"/>
        <w:ind w:left="16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Times New Roman" w:hAnsi="Times New Roman" w:eastAsia="仿宋_GB2312" w:cs="Times New Roman"/>
          <w:sz w:val="32"/>
          <w:szCs w:val="32"/>
        </w:rPr>
        <w:t>廊坊市广阳区</w:t>
      </w:r>
      <w:r>
        <w:rPr>
          <w:rFonts w:hint="eastAsia" w:ascii="Times New Roman" w:hAnsi="Times New Roman" w:eastAsia="仿宋_GB2312" w:cs="Times New Roman"/>
          <w:sz w:val="32"/>
          <w:szCs w:val="32"/>
          <w:lang w:eastAsia="zh-CN"/>
        </w:rPr>
        <w:t>人力资源和社会保障局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807.35</w:t>
      </w:r>
      <w:r>
        <w:rPr>
          <w:rFonts w:hint="eastAsia" w:ascii="仿宋_GB2312" w:eastAsia="仿宋_GB2312" w:cs="宋体"/>
          <w:color w:val="000000"/>
          <w:kern w:val="0"/>
          <w:sz w:val="32"/>
          <w:szCs w:val="32"/>
        </w:rPr>
        <w:t>万元，我部门本年度</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拟购置固定资产，详见下表。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hint="eastAsia" w:ascii="仿宋_GB2312" w:eastAsia="仿宋_GB2312" w:cs="宋体"/>
                <w:kern w:val="0"/>
                <w:sz w:val="28"/>
                <w:szCs w:val="28"/>
                <w:lang w:eastAsia="zh-CN"/>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233-</w:t>
            </w:r>
            <w:r>
              <w:rPr>
                <w:rFonts w:hint="eastAsia" w:ascii="仿宋_GB2312" w:eastAsia="仿宋_GB2312" w:cs="宋体"/>
                <w:b/>
                <w:bCs/>
                <w:kern w:val="0"/>
                <w:sz w:val="28"/>
                <w:szCs w:val="28"/>
              </w:rPr>
              <w:t>廊坊市广阳区</w:t>
            </w:r>
            <w:r>
              <w:rPr>
                <w:rFonts w:hint="eastAsia" w:ascii="仿宋_GB2312" w:eastAsia="仿宋_GB2312" w:cs="宋体"/>
                <w:b/>
                <w:bCs/>
                <w:kern w:val="0"/>
                <w:sz w:val="28"/>
                <w:szCs w:val="28"/>
                <w:lang w:eastAsia="zh-CN"/>
              </w:rPr>
              <w:t>人力资源和社会保障局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8</w:t>
            </w:r>
            <w:r>
              <w:rPr>
                <w:rFonts w:ascii="仿宋_GB2312" w:eastAsia="仿宋_GB2312" w:cs="宋体"/>
                <w:kern w:val="0"/>
                <w:sz w:val="28"/>
                <w:szCs w:val="28"/>
              </w:rPr>
              <w:t>07.35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1058.44</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51.65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7</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100.37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hint="eastAsia" w:ascii="仿宋_GB2312" w:eastAsia="仿宋_GB2312" w:cs="宋体"/>
                <w:kern w:val="0"/>
                <w:sz w:val="28"/>
                <w:szCs w:val="28"/>
                <w:lang w:val="en-US" w:eastAsia="zh-CN"/>
              </w:rPr>
            </w:pPr>
            <w:r>
              <w:rPr>
                <w:rFonts w:hint="eastAsia" w:ascii="仿宋_GB2312" w:eastAsia="仿宋_GB2312" w:cs="宋体"/>
                <w:kern w:val="0"/>
                <w:sz w:val="28"/>
                <w:szCs w:val="28"/>
                <w:lang w:val="en-US" w:eastAsia="zh-CN"/>
              </w:rPr>
              <w:t>655.33</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D618DB"/>
    <w:multiLevelType w:val="multilevel"/>
    <w:tmpl w:val="10D618DB"/>
    <w:lvl w:ilvl="0" w:tentative="0">
      <w:start w:val="1"/>
      <w:numFmt w:val="decimal"/>
      <w:lvlText w:val="%1、"/>
      <w:lvlJc w:val="left"/>
      <w:pPr>
        <w:tabs>
          <w:tab w:val="left" w:pos="0"/>
        </w:tabs>
        <w:ind w:left="1199" w:hanging="720"/>
      </w:pPr>
      <w:rPr>
        <w:rFonts w:hint="default" w:ascii="仿宋_GB2312" w:hAnsi="仿宋_GB2312" w:eastAsia="仿宋_GB2312" w:cs="宋体"/>
        <w:color w:val="000000"/>
        <w:sz w:val="32"/>
      </w:rPr>
    </w:lvl>
    <w:lvl w:ilvl="1" w:tentative="0">
      <w:start w:val="1"/>
      <w:numFmt w:val="lowerLetter"/>
      <w:lvlText w:val="%2)"/>
      <w:lvlJc w:val="left"/>
      <w:pPr>
        <w:tabs>
          <w:tab w:val="left" w:pos="0"/>
        </w:tabs>
        <w:ind w:left="1319" w:hanging="420"/>
      </w:pPr>
    </w:lvl>
    <w:lvl w:ilvl="2" w:tentative="0">
      <w:start w:val="1"/>
      <w:numFmt w:val="lowerRoman"/>
      <w:lvlText w:val="%3."/>
      <w:lvlJc w:val="right"/>
      <w:pPr>
        <w:tabs>
          <w:tab w:val="left" w:pos="0"/>
        </w:tabs>
        <w:ind w:left="1739" w:hanging="420"/>
      </w:pPr>
    </w:lvl>
    <w:lvl w:ilvl="3" w:tentative="0">
      <w:start w:val="1"/>
      <w:numFmt w:val="decimal"/>
      <w:lvlText w:val="%4."/>
      <w:lvlJc w:val="left"/>
      <w:pPr>
        <w:tabs>
          <w:tab w:val="left" w:pos="0"/>
        </w:tabs>
        <w:ind w:left="2159" w:hanging="420"/>
      </w:pPr>
    </w:lvl>
    <w:lvl w:ilvl="4" w:tentative="0">
      <w:start w:val="1"/>
      <w:numFmt w:val="lowerLetter"/>
      <w:lvlText w:val="%5)"/>
      <w:lvlJc w:val="left"/>
      <w:pPr>
        <w:tabs>
          <w:tab w:val="left" w:pos="0"/>
        </w:tabs>
        <w:ind w:left="2579" w:hanging="420"/>
      </w:pPr>
    </w:lvl>
    <w:lvl w:ilvl="5" w:tentative="0">
      <w:start w:val="1"/>
      <w:numFmt w:val="lowerRoman"/>
      <w:lvlText w:val="%6."/>
      <w:lvlJc w:val="right"/>
      <w:pPr>
        <w:tabs>
          <w:tab w:val="left" w:pos="0"/>
        </w:tabs>
        <w:ind w:left="2999" w:hanging="420"/>
      </w:pPr>
    </w:lvl>
    <w:lvl w:ilvl="6" w:tentative="0">
      <w:start w:val="1"/>
      <w:numFmt w:val="decimal"/>
      <w:lvlText w:val="%7."/>
      <w:lvlJc w:val="left"/>
      <w:pPr>
        <w:tabs>
          <w:tab w:val="left" w:pos="0"/>
        </w:tabs>
        <w:ind w:left="3419" w:hanging="420"/>
      </w:pPr>
    </w:lvl>
    <w:lvl w:ilvl="7" w:tentative="0">
      <w:start w:val="1"/>
      <w:numFmt w:val="lowerLetter"/>
      <w:lvlText w:val="%8)"/>
      <w:lvlJc w:val="left"/>
      <w:pPr>
        <w:tabs>
          <w:tab w:val="left" w:pos="0"/>
        </w:tabs>
        <w:ind w:left="3839" w:hanging="420"/>
      </w:pPr>
    </w:lvl>
    <w:lvl w:ilvl="8" w:tentative="0">
      <w:start w:val="1"/>
      <w:numFmt w:val="lowerRoman"/>
      <w:lvlText w:val="%9."/>
      <w:lvlJc w:val="right"/>
      <w:pPr>
        <w:tabs>
          <w:tab w:val="left" w:pos="0"/>
        </w:tabs>
        <w:ind w:left="425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4366833"/>
    <w:rsid w:val="26B82EB7"/>
    <w:rsid w:val="4437575F"/>
    <w:rsid w:val="48F34AE8"/>
    <w:rsid w:val="60C84807"/>
    <w:rsid w:val="6DEF2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40</Pages>
  <Words>6308</Words>
  <Characters>6661</Characters>
  <Lines>1075</Lines>
  <Paragraphs>278</Paragraphs>
  <TotalTime>22</TotalTime>
  <ScaleCrop>false</ScaleCrop>
  <LinksUpToDate>false</LinksUpToDate>
  <CharactersWithSpaces>6766</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2024-05-16T07:53:13Z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1C0A758B0763435E98317ADAC2314F70</vt:lpwstr>
  </property>
</Properties>
</file>