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廊坊市广阳区解放道街道办事处2020年部门预算信息公开情况说明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部门职责：</w:t>
      </w:r>
    </w:p>
    <w:p>
      <w:pPr>
        <w:ind w:firstLine="640" w:firstLineChars="200"/>
        <w:rPr>
          <w:rFonts w:ascii="仿宋_GB2312" w:eastAsia="仿宋_GB2312"/>
          <w:sz w:val="32"/>
          <w:szCs w:val="32"/>
        </w:rPr>
      </w:pPr>
      <w:r>
        <w:rPr>
          <w:rFonts w:hint="eastAsia" w:ascii="仿宋_GB2312" w:eastAsia="仿宋_GB2312"/>
          <w:sz w:val="32"/>
          <w:szCs w:val="32"/>
        </w:rPr>
        <w:t>解放道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、宣传、贯彻、落实党的路线、方针、政策和国家的法律法规，执行上级党委、政府的决定和命令；</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、制定并组织实施本行政区域内的经济和社会发展规划，促进经济和社会事业的全面发展；</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、加强街道、社区党的建设，领导和支持群团组织依法独立开展工作；</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、依法管理本行政区域内的各项社会事务，组织协调本辖区内机关、团体和企事业单位完成地区性、群众性和社会性的工作任务，支持、配合、监督派驻本辖区的公安、工商、税务等机构或人员正常开展工作；</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、加强街道、社区精神文明建设和文化建设，促进社会文明进步；</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、加强街道、社区社会治安综合治理工作，维护社会稳定；</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、兴建社区服务设施，强化服务功能，提供多种形式的公共服务；</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、加大城市建设与经营管理力度，发展社会公共事业，加快城市建设和发展步伐；</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、完成区委、区政府交办的其它工作任务。</w:t>
      </w:r>
    </w:p>
    <w:p>
      <w:pPr>
        <w:spacing w:line="584" w:lineRule="exact"/>
        <w:ind w:firstLine="643" w:firstLineChars="200"/>
        <w:rPr>
          <w:rFonts w:ascii="Times New Roman" w:hAnsi="Times New Roman" w:eastAsia="楷体_GB2312"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ascii="Times New Roman" w:hAnsi="Times New Roman" w:eastAsia="仿宋_GB2312" w:cs="Times New Roman"/>
              </w:rPr>
            </w:pPr>
            <w:r>
              <w:rPr>
                <w:rFonts w:hint="eastAsia" w:ascii="仿宋_GB2312" w:eastAsia="仿宋_GB2312" w:cs="宋体"/>
                <w:kern w:val="0"/>
                <w:sz w:val="32"/>
                <w:szCs w:val="32"/>
              </w:rPr>
              <w:t>廊坊市广阳区解放道街道办事处</w:t>
            </w:r>
          </w:p>
        </w:tc>
        <w:tc>
          <w:tcPr>
            <w:tcW w:w="1134" w:type="dxa"/>
            <w:shd w:val="clear" w:color="auto" w:fill="auto"/>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p>
            <w:pPr>
              <w:widowControl/>
              <w:spacing w:line="225" w:lineRule="atLeast"/>
              <w:jc w:val="center"/>
              <w:rPr>
                <w:rFonts w:ascii="Times New Roman" w:hAnsi="Times New Roman" w:eastAsia="仿宋_GB2312" w:cs="Times New Roman"/>
              </w:rPr>
            </w:pPr>
          </w:p>
        </w:tc>
        <w:tc>
          <w:tcPr>
            <w:tcW w:w="1276" w:type="dxa"/>
            <w:shd w:val="clear" w:color="auto" w:fill="auto"/>
            <w:vAlign w:val="center"/>
          </w:tcPr>
          <w:p>
            <w:pPr>
              <w:widowControl/>
              <w:spacing w:line="225" w:lineRule="atLeast"/>
              <w:jc w:val="center"/>
              <w:rPr>
                <w:rFonts w:ascii="Times New Roman" w:hAnsi="Times New Roman" w:eastAsia="仿宋_GB2312" w:cs="Times New Roman"/>
              </w:rPr>
            </w:pPr>
            <w:r>
              <w:rPr>
                <w:rFonts w:hint="eastAsia" w:ascii="仿宋_GB2312" w:eastAsia="仿宋_GB2312" w:cs="宋体"/>
                <w:kern w:val="0"/>
                <w:sz w:val="32"/>
                <w:szCs w:val="32"/>
              </w:rPr>
              <w:t>正科级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rPr>
            </w:pPr>
            <w:r>
              <w:rPr>
                <w:rFonts w:hint="eastAsia" w:ascii="仿宋_GB2312" w:eastAsia="仿宋_GB2312" w:cs="宋体"/>
                <w:kern w:val="0"/>
                <w:sz w:val="32"/>
                <w:szCs w:val="32"/>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2152.95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2152.95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2152.95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1998.2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1852.53</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145.67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154.75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社区聘用人员工资及保险、办公支出。</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2152.95</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1.34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5.37</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保险</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3.03</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社区聘用人员保险比例下调</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145.67</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sz w:val="32"/>
          <w:szCs w:val="32"/>
        </w:rPr>
        <w:t>与20</w:t>
      </w:r>
      <w:r>
        <w:rPr>
          <w:rFonts w:hint="eastAsia" w:ascii="Times New Roman" w:hAnsi="Times New Roman" w:eastAsia="仿宋_GB2312" w:cs="Times New Roman"/>
          <w:color w:val="000000"/>
          <w:sz w:val="32"/>
          <w:szCs w:val="32"/>
        </w:rPr>
        <w:t>19</w:t>
      </w:r>
      <w:r>
        <w:rPr>
          <w:rFonts w:ascii="Times New Roman" w:hAnsi="Times New Roman" w:eastAsia="仿宋_GB2312" w:cs="Times New Roman"/>
          <w:color w:val="000000"/>
          <w:sz w:val="32"/>
          <w:szCs w:val="32"/>
        </w:rPr>
        <w:t>年相比</w:t>
      </w:r>
      <w:r>
        <w:rPr>
          <w:rFonts w:hint="eastAsia" w:ascii="Times New Roman" w:hAnsi="Times New Roman" w:eastAsia="仿宋_GB2312" w:cs="Times New Roman"/>
          <w:color w:val="000000"/>
          <w:sz w:val="32"/>
          <w:szCs w:val="32"/>
        </w:rPr>
        <w:t>持平。</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楷体" w:hAnsi="楷体" w:eastAsia="楷体" w:cs="Times New Roman"/>
          <w:b/>
          <w:sz w:val="32"/>
          <w:szCs w:val="32"/>
        </w:rPr>
      </w:pPr>
      <w:bookmarkStart w:id="0" w:name="_Toc471398463"/>
      <w:r>
        <w:rPr>
          <w:rFonts w:hint="eastAsia" w:ascii="楷体" w:hAnsi="楷体" w:eastAsia="楷体" w:cs="Times New Roman"/>
          <w:b/>
          <w:sz w:val="32"/>
          <w:szCs w:val="32"/>
        </w:rPr>
        <w:t>第一部分 部门整体绩效目标</w:t>
      </w:r>
    </w:p>
    <w:p>
      <w:pPr>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一是推进经济持续增长。狠抓招商引资，坚持“区域突破，扩大规模，内外联动”策略，力争多招商、招好商。同时，力推项目建设，结合去年的项目建设，一些扩建项目还要继续推进，争取更大更多的项目。二是加强社区民生服务。进一步强化社区网格服务功能，坚持以党建带社管、管理与服务相结合，不断提升网格承载的社会管理和公共服务的能力。推行了解民情零距离、答复民疑零延迟、解决民难零推脱的“三零”标准。把就业、计生、司法、民政、环保、大气防治等服务不断充实到网格里，实现网格员和网格长上门服务居民。三是创新社区文化品牌。多形式设计活动载体，充分发挥公益性社会群团组织作用，激发社区文化活力，提高原创作品的创作能力，提升社区文化品质，打造文化街道品牌。四是坚持维护稳定大局。深入排查化解矛盾纠纷，积极预防和妥善处置群体性事件，坚持做到涉稳问题排查化解到位、重点涉稳人员稳控到位、预防和处置非访事件准备工作到位，为实现广阳又好又快发展做出更大的贡献。五是实行科技环保督查。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六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p>
    <w:p>
      <w:pPr>
        <w:spacing w:line="584" w:lineRule="exact"/>
        <w:ind w:firstLine="643" w:firstLineChars="20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（二）分项绩效目标</w:t>
      </w:r>
    </w:p>
    <w:p>
      <w:pPr>
        <w:pStyle w:val="12"/>
        <w:ind w:left="643" w:leftChars="306" w:firstLine="640" w:firstLineChars="200"/>
        <w:rPr>
          <w:rFonts w:ascii="Times New Roman" w:eastAsia="仿宋_GB2312" w:cs="Times New Roman"/>
          <w:kern w:val="2"/>
          <w:sz w:val="32"/>
          <w:szCs w:val="32"/>
          <w:lang w:eastAsia="zh-CN"/>
        </w:rPr>
      </w:pPr>
      <w:r>
        <w:rPr>
          <w:rFonts w:hint="eastAsia" w:ascii="Times New Roman" w:eastAsia="仿宋_GB2312" w:cs="Times New Roman"/>
          <w:kern w:val="2"/>
          <w:sz w:val="32"/>
          <w:szCs w:val="32"/>
          <w:lang w:eastAsia="zh-CN"/>
        </w:rPr>
        <w:t>解放道</w:t>
      </w:r>
      <w:r>
        <w:rPr>
          <w:rFonts w:ascii="Times New Roman" w:eastAsia="仿宋_GB2312" w:cs="Times New Roman"/>
          <w:kern w:val="2"/>
          <w:sz w:val="32"/>
          <w:szCs w:val="32"/>
          <w:lang w:eastAsia="zh-CN"/>
        </w:rPr>
        <w:t>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1、宣传、贯彻、落实党的路线、方针、政策和国家的法律法规，执行上级党委、政府的决定和命令；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2、制定并组织实施本行政区域内的经济和社会发展规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划，促进经济和社会事业的全面发展；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43"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3、加强街道、社区党的建设，领导和支持群团组织依法独立开展工作；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638" w:leftChars="304"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加强街道、社区精神文明建设和文化建设，促进社会文明进步；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加强街道、社区社会治安综合治理工作，维护社会稳定；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7、兴建社区服务设施，强化服务功能，提供多种形式的公共服务；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8、加大城市建设与经营管理力度，发展社会公共事业，加快城市建设和发展步伐；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9、完成区委、区政府交办的其它工作任务。</w:t>
      </w:r>
    </w:p>
    <w:p>
      <w:pPr>
        <w:tabs>
          <w:tab w:val="left" w:pos="3780"/>
        </w:tabs>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（三）工作保障措施</w:t>
      </w:r>
      <w:r>
        <w:rPr>
          <w:rFonts w:hint="eastAsia" w:ascii="仿宋_GB2312" w:hAnsi="Times New Roman" w:eastAsia="仿宋_GB2312" w:cs="Times New Roman"/>
          <w:b/>
          <w:sz w:val="32"/>
          <w:szCs w:val="32"/>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0" w:after="100" w:line="360" w:lineRule="auto"/>
        <w:ind w:firstLine="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 基层党建促提质。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w:t>
      </w:r>
      <w:r>
        <w:rPr>
          <w:rFonts w:hint="eastAsia" w:ascii="Times New Roman" w:hAnsi="Times New Roman" w:eastAsia="仿宋_GB2312" w:cs="Times New Roman"/>
          <w:sz w:val="32"/>
          <w:szCs w:val="32"/>
          <w:lang w:eastAsia="zh-CN"/>
        </w:rPr>
        <w:t>松弛</w:t>
      </w:r>
      <w:r>
        <w:rPr>
          <w:rFonts w:ascii="Times New Roman" w:hAnsi="Times New Roman" w:eastAsia="仿宋_GB2312" w:cs="Times New Roman"/>
          <w:sz w:val="32"/>
          <w:szCs w:val="32"/>
        </w:rPr>
        <w:t>、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（二） 项目引建求突破。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 社区创建增亮点。一是深化社区服务功能。紧紧围绕志愿者服务开展工作，进一步创新服务形式，以“特色专业志愿服务团队”建设为侧重点，细化服务方向，提高服务质量，不断开创解放道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14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 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第二部分 资金绩效目标</w:t>
      </w:r>
    </w:p>
    <w:bookmarkEnd w:id="0"/>
    <w:p>
      <w:pPr>
        <w:ind w:firstLine="562" w:firstLineChars="200"/>
        <w:jc w:val="left"/>
        <w:outlineLvl w:val="1"/>
        <w:rPr>
          <w:rFonts w:ascii="Times New Roman" w:hAnsi="Times New Roman"/>
          <w:b/>
          <w:sz w:val="28"/>
        </w:rPr>
      </w:pPr>
      <w:r>
        <w:rPr>
          <w:rFonts w:hint="eastAsia" w:ascii="方正仿宋_GBK" w:eastAsia="方正仿宋_GBK"/>
          <w:b/>
          <w:sz w:val="28"/>
        </w:rPr>
        <w:t>1.社区聘用人员工资及保险绩效目标表</w:t>
      </w:r>
      <w:bookmarkStart w:id="1" w:name="_Toc32410859"/>
      <w:bookmarkEnd w:id="1"/>
      <w:r>
        <w:rPr>
          <w:rFonts w:ascii="方正仿宋_GBK" w:eastAsia="方正仿宋_GBK"/>
          <w:b/>
          <w:vanish/>
          <w:sz w:val="28"/>
        </w:rPr>
        <w:t xml:space="preserve">{ </w:t>
      </w:r>
      <w:r>
        <w:rPr>
          <w:rFonts w:hint="eastAsia" w:ascii="方正仿宋_GBK" w:eastAsia="方正仿宋_GBK"/>
          <w:b/>
          <w:vanish/>
          <w:sz w:val="28"/>
        </w:rPr>
        <w:t>TC 1、社区聘用人员工资及保险绩效目标表 \f C \l 1</w:t>
      </w:r>
      <w:r>
        <w:rPr>
          <w:rFonts w:ascii="方正仿宋_GBK" w:eastAsia="方正仿宋_GBK"/>
          <w:b/>
          <w:vanish/>
          <w:sz w:val="28"/>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、加强和完善社区治理，事关基层和谐稳定，进一步健全城乡社区治理体系，推进治理能力现代化。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、积极开展社区服务工作，大力兴办社区福利事业，发动和组织社区成员开展各类社区公益活动；负责拥军优属、优抚安置、社会救济、社会福利、社区文化、科普、体育、教育等工作。</w:t>
            </w:r>
          </w:p>
        </w:tc>
      </w:tr>
    </w:tbl>
    <w:p>
      <w:pPr>
        <w:spacing w:line="14" w:lineRule="exact"/>
        <w:ind w:firstLine="420" w:firstLineChars="200"/>
        <w:jc w:val="center"/>
        <w:rPr>
          <w:rFonts w:ascii="Times New Roman" w:hAnsi="Times New Roman"/>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全员发放</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33</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发放工资到位率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全额发放</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154.75</w:t>
            </w:r>
            <w:r>
              <w:rPr>
                <w:rFonts w:hint="eastAsia" w:ascii="方正书宋_GBK" w:eastAsia="方正书宋_GBK"/>
              </w:rPr>
              <w:t>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促进社会稳定水平</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社会基本稳定</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收到广大群众认可</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群众对整体工作满意度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群众对当年工作满意度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号）文</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left="210" w:leftChars="100" w:firstLine="640" w:firstLineChars="200"/>
        <w:outlineLvl w:val="0"/>
        <w:rPr>
          <w:rFonts w:ascii="Times New Roman" w:hAnsi="Times New Roman" w:eastAsia="仿宋_GB2312" w:cs="Times New Roman"/>
          <w:sz w:val="32"/>
          <w:szCs w:val="32"/>
        </w:rPr>
      </w:pPr>
      <w:bookmarkStart w:id="2" w:name="_Toc471398468"/>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年，我部门安排政府采购预算</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8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[919]廊坊市广阳区解放道街道办事处</w:t>
            </w:r>
          </w:p>
        </w:tc>
        <w:tc>
          <w:tcPr>
            <w:tcW w:w="6387" w:type="dxa"/>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7"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87" w:type="dxa"/>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1061" w:type="dxa"/>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932" w:type="dxa"/>
            <w:vMerge w:val="continue"/>
            <w:shd w:val="clear" w:color="auto" w:fill="auto"/>
            <w:vAlign w:val="center"/>
          </w:tcPr>
          <w:p/>
        </w:tc>
        <w:tc>
          <w:tcPr>
            <w:tcW w:w="1372" w:type="dxa"/>
            <w:vMerge w:val="continue"/>
            <w:shd w:val="clear" w:color="auto" w:fill="auto"/>
            <w:vAlign w:val="center"/>
          </w:tcPr>
          <w:p/>
        </w:tc>
        <w:tc>
          <w:tcPr>
            <w:tcW w:w="720" w:type="dxa"/>
            <w:vMerge w:val="continue"/>
            <w:shd w:val="clear" w:color="auto" w:fill="auto"/>
            <w:vAlign w:val="center"/>
          </w:tcPr>
          <w:p/>
        </w:tc>
        <w:tc>
          <w:tcPr>
            <w:tcW w:w="740" w:type="dxa"/>
            <w:vMerge w:val="continue"/>
            <w:shd w:val="clear" w:color="auto" w:fill="auto"/>
            <w:vAlign w:val="center"/>
          </w:tcPr>
          <w:p/>
        </w:tc>
        <w:tc>
          <w:tcPr>
            <w:tcW w:w="950" w:type="dxa"/>
            <w:vMerge w:val="continue"/>
            <w:shd w:val="clear" w:color="auto" w:fill="auto"/>
            <w:vAlign w:val="center"/>
          </w:tc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1238" w:type="dxa"/>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991" w:type="dxa"/>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1136" w:type="dxa"/>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1189" w:type="dxa"/>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877" w:type="dxa"/>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61"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1238" w:type="dxa"/>
            <w:shd w:val="clear" w:color="auto" w:fill="auto"/>
            <w:vAlign w:val="center"/>
          </w:tcPr>
          <w:p>
            <w:pPr>
              <w:spacing w:line="584" w:lineRule="exact"/>
              <w:jc w:val="right"/>
              <w:rPr>
                <w:rFonts w:ascii="Times New Roman" w:hAnsi="Times New Roman" w:eastAsia="仿宋_GB2312" w:cs="Times New Roman"/>
                <w:b/>
              </w:rPr>
            </w:pPr>
          </w:p>
        </w:tc>
        <w:tc>
          <w:tcPr>
            <w:tcW w:w="991" w:type="dxa"/>
            <w:shd w:val="clear" w:color="auto" w:fill="auto"/>
            <w:vAlign w:val="center"/>
          </w:tcPr>
          <w:p>
            <w:pPr>
              <w:spacing w:line="584" w:lineRule="exact"/>
              <w:jc w:val="right"/>
              <w:rPr>
                <w:rFonts w:ascii="Times New Roman" w:hAnsi="Times New Roman" w:eastAsia="仿宋_GB2312" w:cs="Times New Roman"/>
                <w:b/>
              </w:rPr>
            </w:pPr>
          </w:p>
        </w:tc>
        <w:tc>
          <w:tcPr>
            <w:tcW w:w="1136" w:type="dxa"/>
            <w:shd w:val="clear" w:color="auto" w:fill="auto"/>
            <w:vAlign w:val="center"/>
          </w:tcPr>
          <w:p>
            <w:pPr>
              <w:spacing w:line="584" w:lineRule="exact"/>
              <w:jc w:val="right"/>
              <w:rPr>
                <w:rFonts w:ascii="Times New Roman" w:hAnsi="Times New Roman" w:eastAsia="仿宋_GB2312" w:cs="Times New Roman"/>
                <w:b/>
              </w:rPr>
            </w:pPr>
          </w:p>
        </w:tc>
        <w:tc>
          <w:tcPr>
            <w:tcW w:w="1189" w:type="dxa"/>
            <w:shd w:val="clear" w:color="auto" w:fill="auto"/>
            <w:vAlign w:val="center"/>
          </w:tcPr>
          <w:p>
            <w:pPr>
              <w:spacing w:line="584" w:lineRule="exact"/>
              <w:jc w:val="right"/>
              <w:rPr>
                <w:rFonts w:ascii="Times New Roman" w:hAnsi="Times New Roman" w:eastAsia="仿宋_GB2312" w:cs="Times New Roman"/>
                <w:b/>
              </w:rPr>
            </w:pPr>
          </w:p>
        </w:tc>
        <w:tc>
          <w:tcPr>
            <w:tcW w:w="877"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p>
        </w:tc>
        <w:tc>
          <w:tcPr>
            <w:tcW w:w="1061"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1238" w:type="dxa"/>
            <w:shd w:val="clear" w:color="auto" w:fill="auto"/>
            <w:vAlign w:val="center"/>
          </w:tcPr>
          <w:p>
            <w:pPr>
              <w:spacing w:line="584" w:lineRule="exact"/>
              <w:jc w:val="right"/>
              <w:rPr>
                <w:rFonts w:ascii="Times New Roman" w:hAnsi="Times New Roman" w:eastAsia="仿宋_GB2312" w:cs="Times New Roman"/>
                <w:b/>
              </w:rPr>
            </w:pPr>
          </w:p>
        </w:tc>
        <w:tc>
          <w:tcPr>
            <w:tcW w:w="991" w:type="dxa"/>
            <w:shd w:val="clear" w:color="auto" w:fill="auto"/>
            <w:vAlign w:val="center"/>
          </w:tcPr>
          <w:p>
            <w:pPr>
              <w:spacing w:line="584" w:lineRule="exact"/>
              <w:jc w:val="right"/>
              <w:rPr>
                <w:rFonts w:ascii="Times New Roman" w:hAnsi="Times New Roman" w:eastAsia="仿宋_GB2312" w:cs="Times New Roman"/>
                <w:b/>
              </w:rPr>
            </w:pPr>
          </w:p>
        </w:tc>
        <w:tc>
          <w:tcPr>
            <w:tcW w:w="1136" w:type="dxa"/>
            <w:shd w:val="clear" w:color="auto" w:fill="auto"/>
            <w:vAlign w:val="center"/>
          </w:tcPr>
          <w:p>
            <w:pPr>
              <w:spacing w:line="584" w:lineRule="exact"/>
              <w:jc w:val="right"/>
              <w:rPr>
                <w:rFonts w:ascii="Times New Roman" w:hAnsi="Times New Roman" w:eastAsia="仿宋_GB2312" w:cs="Times New Roman"/>
                <w:b/>
              </w:rPr>
            </w:pPr>
          </w:p>
        </w:tc>
        <w:tc>
          <w:tcPr>
            <w:tcW w:w="1189" w:type="dxa"/>
            <w:shd w:val="clear" w:color="auto" w:fill="auto"/>
            <w:vAlign w:val="center"/>
          </w:tcPr>
          <w:p>
            <w:pPr>
              <w:spacing w:line="584" w:lineRule="exact"/>
              <w:jc w:val="right"/>
              <w:rPr>
                <w:rFonts w:ascii="Times New Roman" w:hAnsi="Times New Roman" w:eastAsia="仿宋_GB2312" w:cs="Times New Roman"/>
                <w:b/>
              </w:rPr>
            </w:pPr>
          </w:p>
        </w:tc>
        <w:tc>
          <w:tcPr>
            <w:tcW w:w="877"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61"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1238" w:type="dxa"/>
            <w:shd w:val="clear" w:color="auto" w:fill="auto"/>
            <w:vAlign w:val="center"/>
          </w:tcPr>
          <w:p>
            <w:pPr>
              <w:spacing w:line="584" w:lineRule="exact"/>
              <w:jc w:val="right"/>
              <w:rPr>
                <w:rFonts w:ascii="Times New Roman" w:hAnsi="Times New Roman" w:eastAsia="仿宋_GB2312" w:cs="Times New Roman"/>
              </w:rPr>
            </w:pPr>
          </w:p>
        </w:tc>
        <w:tc>
          <w:tcPr>
            <w:tcW w:w="991" w:type="dxa"/>
            <w:shd w:val="clear" w:color="auto" w:fill="auto"/>
            <w:vAlign w:val="center"/>
          </w:tcPr>
          <w:p>
            <w:pPr>
              <w:spacing w:line="584" w:lineRule="exact"/>
              <w:jc w:val="right"/>
              <w:rPr>
                <w:rFonts w:ascii="Times New Roman" w:hAnsi="Times New Roman" w:eastAsia="仿宋_GB2312" w:cs="Times New Roman"/>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61"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1238" w:type="dxa"/>
            <w:shd w:val="clear" w:color="auto" w:fill="auto"/>
            <w:vAlign w:val="center"/>
          </w:tcPr>
          <w:p>
            <w:pPr>
              <w:spacing w:line="584" w:lineRule="exact"/>
              <w:jc w:val="right"/>
              <w:rPr>
                <w:rFonts w:ascii="Times New Roman" w:hAnsi="Times New Roman" w:eastAsia="仿宋_GB2312" w:cs="Times New Roman"/>
              </w:rPr>
            </w:pPr>
          </w:p>
        </w:tc>
        <w:tc>
          <w:tcPr>
            <w:tcW w:w="991" w:type="dxa"/>
            <w:shd w:val="clear" w:color="auto" w:fill="auto"/>
            <w:vAlign w:val="center"/>
          </w:tcPr>
          <w:p>
            <w:pPr>
              <w:spacing w:line="584" w:lineRule="exact"/>
              <w:jc w:val="right"/>
              <w:rPr>
                <w:rFonts w:ascii="Times New Roman" w:hAnsi="Times New Roman" w:eastAsia="仿宋_GB2312" w:cs="Times New Roman"/>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61"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1238" w:type="dxa"/>
            <w:shd w:val="clear" w:color="auto" w:fill="auto"/>
            <w:vAlign w:val="center"/>
          </w:tcPr>
          <w:p>
            <w:pPr>
              <w:spacing w:line="584" w:lineRule="exact"/>
              <w:jc w:val="right"/>
              <w:rPr>
                <w:rFonts w:ascii="Times New Roman" w:hAnsi="Times New Roman" w:eastAsia="仿宋_GB2312" w:cs="Times New Roman"/>
              </w:rPr>
            </w:pPr>
          </w:p>
        </w:tc>
        <w:tc>
          <w:tcPr>
            <w:tcW w:w="991" w:type="dxa"/>
            <w:shd w:val="clear" w:color="auto" w:fill="auto"/>
            <w:vAlign w:val="center"/>
          </w:tcPr>
          <w:p>
            <w:pPr>
              <w:spacing w:line="584" w:lineRule="exact"/>
              <w:jc w:val="right"/>
              <w:rPr>
                <w:rFonts w:ascii="Times New Roman" w:hAnsi="Times New Roman" w:eastAsia="仿宋_GB2312" w:cs="Times New Roman"/>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61"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1238" w:type="dxa"/>
            <w:shd w:val="clear" w:color="auto" w:fill="auto"/>
            <w:vAlign w:val="center"/>
          </w:tcPr>
          <w:p>
            <w:pPr>
              <w:spacing w:line="584" w:lineRule="exact"/>
              <w:jc w:val="right"/>
              <w:rPr>
                <w:rFonts w:ascii="Times New Roman" w:hAnsi="Times New Roman" w:eastAsia="仿宋_GB2312" w:cs="Times New Roman"/>
              </w:rPr>
            </w:pPr>
          </w:p>
        </w:tc>
        <w:tc>
          <w:tcPr>
            <w:tcW w:w="991" w:type="dxa"/>
            <w:shd w:val="clear" w:color="auto" w:fill="auto"/>
            <w:vAlign w:val="center"/>
          </w:tcPr>
          <w:p>
            <w:pPr>
              <w:spacing w:line="584" w:lineRule="exact"/>
              <w:jc w:val="right"/>
              <w:rPr>
                <w:rFonts w:ascii="Times New Roman" w:hAnsi="Times New Roman" w:eastAsia="仿宋_GB2312" w:cs="Times New Roman"/>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748.568</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广阳区放道街道办事处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748.568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473.8929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473.8929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33.9</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240.77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DD0116"/>
    <w:rsid w:val="002879E3"/>
    <w:rsid w:val="007C73B8"/>
    <w:rsid w:val="0098481B"/>
    <w:rsid w:val="009A0253"/>
    <w:rsid w:val="00B86A70"/>
    <w:rsid w:val="00DD0116"/>
    <w:rsid w:val="00F272EB"/>
    <w:rsid w:val="237F0BB2"/>
    <w:rsid w:val="25373DE5"/>
    <w:rsid w:val="4AA8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qFormat/>
    <w:uiPriority w:val="0"/>
    <w:rPr>
      <w:rFonts w:ascii="宋体" w:hAnsi="Times New Roman" w:eastAsia="宋体" w:cs="Arial"/>
      <w:sz w:val="24"/>
      <w:lang w:val="en-US" w:eastAsia="en-US" w:bidi="ar-SA"/>
    </w:rPr>
  </w:style>
  <w:style w:type="paragraph" w:customStyle="1" w:styleId="13">
    <w:name w:val="p.MsoNormal"/>
    <w:basedOn w:val="12"/>
    <w:uiPriority w:val="0"/>
    <w:pPr>
      <w:jc w:val="both"/>
    </w:pPr>
    <w:rPr>
      <w:rFonts w:ascii="Calibri" w:hAnsi="Calibri" w:eastAsia="Calibri"/>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816</Words>
  <Characters>4654</Characters>
  <Lines>38</Lines>
  <Paragraphs>10</Paragraphs>
  <TotalTime>70</TotalTime>
  <ScaleCrop>false</ScaleCrop>
  <LinksUpToDate>false</LinksUpToDate>
  <CharactersWithSpaces>5460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2024-05-15T07:48:35Z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EAD3876B67E547E7A0A66BDC0E21E3D3</vt:lpwstr>
  </property>
</Properties>
</file>