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hint="eastAsia"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r>
        <w:rPr>
          <w:rFonts w:ascii="Times New Roman" w:hAnsi="Times New Roman" w:eastAsia="方正小标宋简体" w:cs="Times New Roman"/>
          <w:sz w:val="44"/>
          <w:szCs w:val="44"/>
        </w:rPr>
        <w:t>应急管理局20</w:t>
      </w:r>
      <w:r>
        <w:rPr>
          <w:rFonts w:hint="eastAsia" w:ascii="Times New Roman" w:hAnsi="Times New Roman" w:eastAsia="方正小标宋简体" w:cs="Times New Roman"/>
          <w:sz w:val="44"/>
          <w:szCs w:val="44"/>
        </w:rPr>
        <w:t>20</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广阳区广阳区应急</w:t>
      </w:r>
      <w:r>
        <w:rPr>
          <w:rFonts w:ascii="Times New Roman" w:hAnsi="Times New Roman" w:eastAsia="仿宋_GB2312" w:cs="Times New Roman"/>
          <w:sz w:val="32"/>
          <w:szCs w:val="32"/>
        </w:rPr>
        <w:t>管理局20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bookmarkStart w:id="4" w:name="_GoBack"/>
      <w:bookmarkEnd w:id="4"/>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（一）负责应急管理工作，指导各级各部门应对安全生产类、自然灾害类等突发事件和综合防灾减灾救灾工作。负责安全生产综合监督管理和工贸商贸行业安全生产监督管理工作。</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（二）拟订应急管理、安全生产等政策规定，组织编制区应急体系建设、安全生产和综合防灾减灾规划，组织编制防震减灾规划、计划，组织制定相关规程和标准并监督实施。</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三）指导应急预案体系建设，建立完善事故灾害和自然灾害分类应对制度，组织编制区总体应急预案和安全生产类、自然灾害类专项预案，综合协调应急预案衔接工作，组织开展预案演练，推动应急避难设施建设。</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（四）牵头建立统一的全区应急管理信息系统，负责信息传输渠道的规划和布局，建立监测预警和灾情报告制度，健全自然灾害信息资源获取和共享机制，依法统一发布灾情</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（五）组织指导协调安全生产类、自然灾害类等突发事件应急救援，</w:t>
      </w:r>
      <w:r>
        <w:rPr>
          <w:rFonts w:ascii="仿宋" w:hAnsi="仿宋" w:eastAsia="仿宋" w:cs="仿宋"/>
          <w:sz w:val="32"/>
          <w:szCs w:val="32"/>
        </w:rPr>
        <w:t>承担</w:t>
      </w:r>
      <w:r>
        <w:rPr>
          <w:rFonts w:hint="eastAsia" w:ascii="仿宋" w:hAnsi="仿宋" w:eastAsia="仿宋" w:cs="仿宋"/>
          <w:sz w:val="32"/>
          <w:szCs w:val="32"/>
        </w:rPr>
        <w:t>区应对重大灾害指挥部工作，综合研判突发事件发展态势并提出应对建议，协助区委、区政府指定的负责同志组织重大灾害应急处置工作。</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（六）统一协调指挥各类应急专业队伍，建立应急协调联动机制，推进指挥平台对接，衔接解放军和武警部队参与应急救援工作。</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（七）统筹应急救援力量建设，负责消防、森林和草原火灾扑救、抗洪抢险、地震和地质灾害救援、生产安全事故救援等专业应急救援力量建设，管理区综合性应急救援队伍，指导各级及社会应急救援力量建设。</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（八）组织协调消防工作，指导各级消防监督、火灾预防、火灾扑救等工作。</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（九）指导协调森林和草原火灾、水旱灾害、地质灾害等防治工作，组织开展地震监测预报工作和地震灾害预防工作，负责自然灾害和综合监测预警工作，指导开展自然灾害综合风险评估工作。</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（十）组织协调灾害救助工作，组织指导灾情核查、损失评估、救灾捐赠工作，管理、分配区救灾款物并监督使用。</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（十一）依法行使区安全生产综合监督管理职权，指导协调、监督检查区有关部门和各乡镇政府、街道办事处、广阳经济开发区管委会安全生产工作，组织开展安全生产巡查、考核工作。</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（十二）按照分级、属地原则，依法监督检查工矿商贸生产经营单位贯彻执行安全生产法律法规情况，及其安全生产条件和有关设备（特种</w:t>
      </w:r>
      <w:r>
        <w:rPr>
          <w:rFonts w:ascii="仿宋" w:hAnsi="仿宋" w:eastAsia="仿宋" w:cs="仿宋"/>
          <w:sz w:val="32"/>
          <w:szCs w:val="32"/>
        </w:rPr>
        <w:t>设备除外</w:t>
      </w:r>
      <w:r>
        <w:rPr>
          <w:rFonts w:hint="eastAsia" w:ascii="仿宋" w:hAnsi="仿宋" w:eastAsia="仿宋" w:cs="仿宋"/>
          <w:sz w:val="32"/>
          <w:szCs w:val="32"/>
        </w:rPr>
        <w:t>）、材料、劳动防护用品的安全生产管理工作；负责监督管理工矿商贸行业区属企业的安全生产工作；依法组织并指导监督实施安全生产准入制度；负责危险化学品安全监管综合工作和烟花爆竹安全生产监管工作。</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（十三）依法组织指导生产安全事故调查处理，监督事故查处和责任追究落实情况。组织开展自然灾害类突发事件的调查评估工作。</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（十四）制定应急物资储备和应急救援装备规划并组织实施，会同区粮食和物资储备等部门建立健全应急物资信息平台和调拨制度，在救灾时统一调度。</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（十五）负责应急管理、安全生产宣传教育和培训工作，组织指导应急管理、安全生产的科学技术研究、推广应用和信息化建设工作。</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（十六）负责组织指导协调和监督全区安全生产行政执法工作，组织开展对安全生产重点企业的执法检查，负责全区抗震设防执法工作。</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（十七）组织开展应急管理方面的对外交流与合作。</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（十八）完成区委、区政府交办的其他任务。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w:t>
            </w:r>
            <w:r>
              <w:rPr>
                <w:rFonts w:ascii="Times New Roman" w:hAnsi="Times New Roman" w:eastAsia="仿宋_GB2312" w:cs="Times New Roman"/>
                <w:b/>
              </w:rPr>
              <w:t>广阳区应急管理局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广阳区应急管理局</w:t>
      </w:r>
      <w:r>
        <w:rPr>
          <w:rFonts w:ascii="Times New Roman" w:hAnsi="Times New Roman" w:eastAsia="仿宋_GB2312" w:cs="Times New Roman"/>
          <w:sz w:val="32"/>
          <w:szCs w:val="32"/>
        </w:rPr>
        <w:t>机关及所属事业单位的收支包含在部门预算中</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(一）收入说明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25.43万元，其中：一般公共预算收入</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25.43万元，基金预算收入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（二）支出说明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广阳区应急管理局2020</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25.43万元，其中基本支出</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18.96万元，包括人员经费</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99.41万元和日常公用经费219.55万元；项目支出</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.474万元，主要为</w:t>
      </w:r>
      <w:r>
        <w:rPr>
          <w:rFonts w:hint="eastAsia" w:ascii="Times New Roman" w:hAnsi="Times New Roman" w:eastAsia="仿宋_GB2312" w:cs="Times New Roman"/>
          <w:sz w:val="32"/>
          <w:szCs w:val="32"/>
        </w:rPr>
        <w:t>农村住房</w:t>
      </w:r>
      <w:r>
        <w:rPr>
          <w:rFonts w:ascii="Times New Roman" w:hAnsi="Times New Roman" w:eastAsia="仿宋_GB2312" w:cs="Times New Roman"/>
          <w:sz w:val="32"/>
          <w:szCs w:val="32"/>
        </w:rPr>
        <w:t>保险补助</w:t>
      </w:r>
      <w:r>
        <w:rPr>
          <w:rFonts w:hint="eastAsia" w:ascii="Times New Roman" w:hAnsi="Times New Roman" w:eastAsia="仿宋_GB2312" w:cs="Times New Roman"/>
          <w:sz w:val="32"/>
          <w:szCs w:val="32"/>
        </w:rPr>
        <w:t>支出</w:t>
      </w:r>
      <w:r>
        <w:rPr>
          <w:rFonts w:ascii="Times New Roman" w:hAnsi="Times New Roman" w:eastAsia="仿宋_GB2312" w:cs="Times New Roman"/>
          <w:sz w:val="32"/>
          <w:szCs w:val="32"/>
        </w:rPr>
        <w:t>；其他支出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（三）</w:t>
      </w:r>
      <w:r>
        <w:rPr>
          <w:rFonts w:ascii="Times New Roman" w:hAnsi="Times New Roman" w:eastAsia="仿宋_GB2312" w:cs="Times New Roman"/>
          <w:b/>
          <w:sz w:val="32"/>
          <w:szCs w:val="32"/>
        </w:rPr>
        <w:t>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25.43万元，较201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6.06万元，其中：基本支出增加</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69.37万元，主要为增加</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.474万元，主要为增加</w:t>
      </w:r>
      <w:r>
        <w:rPr>
          <w:rFonts w:hint="eastAsia" w:ascii="Times New Roman" w:hAnsi="Times New Roman" w:eastAsia="仿宋_GB2312" w:cs="Times New Roman"/>
          <w:sz w:val="32"/>
          <w:szCs w:val="32"/>
        </w:rPr>
        <w:t>农村住房</w:t>
      </w:r>
      <w:r>
        <w:rPr>
          <w:rFonts w:ascii="Times New Roman" w:hAnsi="Times New Roman" w:eastAsia="仿宋_GB2312" w:cs="Times New Roman"/>
          <w:sz w:val="32"/>
          <w:szCs w:val="32"/>
        </w:rPr>
        <w:t>保险补助支出</w:t>
      </w:r>
      <w:r>
        <w:rPr>
          <w:rFonts w:hint="eastAsia" w:ascii="Times New Roman" w:hAnsi="Times New Roman" w:eastAsia="仿宋_GB2312" w:cs="Times New Roman"/>
          <w:sz w:val="32"/>
          <w:szCs w:val="32"/>
        </w:rPr>
        <w:t>：其他支出无增减变化</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19.55万元，主要用于日常维修、办公用房水电费、办公用房取暖费、办公用房物业管理费等日常运行支出。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3.11万元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3.11万元（其中：公务用车购置费为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3.11万元)；公务接待费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  部门整体绩效目标</w:t>
      </w:r>
    </w:p>
    <w:p>
      <w:pPr>
        <w:pStyle w:val="16"/>
        <w:numPr>
          <w:ilvl w:val="0"/>
          <w:numId w:val="1"/>
        </w:numPr>
        <w:spacing w:line="584" w:lineRule="exact"/>
        <w:ind w:firstLineChars="0"/>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总体绩效目标：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92" w:lineRule="exact"/>
        <w:ind w:firstLine="643"/>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2020年广阳应急管理局将从保稳定、促发展的高度，警钟长鸣，常抓不懈，狠抓事故源头管理，认真排查事故隐患，建立健全安全监管长效机制，落实各项安全综合检查措施，确保我区安全稳定。</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p>
    <w:p>
      <w:pPr>
        <w:spacing w:line="500" w:lineRule="exact"/>
        <w:ind w:firstLine="640" w:firstLineChars="200"/>
        <w:jc w:val="left"/>
        <w:rPr>
          <w:rFonts w:ascii="仿宋" w:eastAsia="仿宋" w:cs="仿宋_GB2312"/>
          <w:bCs/>
          <w:sz w:val="32"/>
          <w:szCs w:val="32"/>
        </w:rPr>
      </w:pPr>
      <w:r>
        <w:rPr>
          <w:rFonts w:ascii="仿宋" w:eastAsia="仿宋" w:cs="仿宋_GB2312"/>
          <w:bCs/>
          <w:sz w:val="32"/>
          <w:szCs w:val="32"/>
        </w:rPr>
        <w:t>1</w:t>
      </w:r>
      <w:r>
        <w:rPr>
          <w:rFonts w:hint="eastAsia" w:ascii="仿宋" w:eastAsia="仿宋" w:cs="仿宋_GB2312"/>
          <w:bCs/>
          <w:sz w:val="32"/>
          <w:szCs w:val="32"/>
        </w:rPr>
        <w:t>、负责应急管理工作，指导各级各部门应对安全生产类、自然灾害类等突发事件和综合防灾减灾救灾工作。负责安全生产综合监督管理和工贸商贸行业安全生产监督管理工作。</w:t>
      </w:r>
    </w:p>
    <w:p>
      <w:pPr>
        <w:spacing w:line="500" w:lineRule="exact"/>
        <w:ind w:firstLine="640" w:firstLineChars="200"/>
        <w:jc w:val="left"/>
        <w:rPr>
          <w:rFonts w:ascii="仿宋" w:eastAsia="仿宋" w:cs="仿宋_GB2312"/>
          <w:bCs/>
          <w:sz w:val="32"/>
          <w:szCs w:val="32"/>
        </w:rPr>
      </w:pPr>
      <w:r>
        <w:rPr>
          <w:rFonts w:hint="eastAsia" w:ascii="仿宋" w:eastAsia="仿宋" w:cs="仿宋_GB2312"/>
          <w:bCs/>
          <w:sz w:val="32"/>
          <w:szCs w:val="32"/>
        </w:rPr>
        <w:t>2、拟订应急管理、安全生产等政策规定，组织编制区应急体系建设、安全生产和综合防灾减灾规划，组织编制防震减灾规划、计划，组织制定相关规程和标准并监督实施。</w:t>
      </w:r>
    </w:p>
    <w:p>
      <w:pPr>
        <w:spacing w:line="500" w:lineRule="exact"/>
        <w:ind w:firstLine="640" w:firstLineChars="200"/>
        <w:jc w:val="left"/>
        <w:rPr>
          <w:rFonts w:ascii="仿宋" w:eastAsia="仿宋" w:cs="仿宋_GB2312"/>
          <w:bCs/>
          <w:sz w:val="32"/>
          <w:szCs w:val="32"/>
        </w:rPr>
      </w:pPr>
      <w:r>
        <w:rPr>
          <w:rFonts w:hint="eastAsia" w:ascii="仿宋" w:eastAsia="仿宋" w:cs="仿宋_GB2312"/>
          <w:bCs/>
          <w:sz w:val="32"/>
          <w:szCs w:val="32"/>
        </w:rPr>
        <w:t>3、指导应急预案体系建设，建立完善事故灾害和自然灾害分类应对制度，组织编制区总体应急预案和安全生产类、自然灾害类专项预案，综合协调应急预案衔接工作，组织开展预案演练，推动应急避难设施建设。</w:t>
      </w:r>
    </w:p>
    <w:p>
      <w:pPr>
        <w:spacing w:line="500" w:lineRule="exact"/>
        <w:ind w:firstLine="640" w:firstLineChars="200"/>
        <w:jc w:val="left"/>
        <w:rPr>
          <w:rFonts w:ascii="仿宋" w:eastAsia="仿宋" w:cs="仿宋_GB2312"/>
          <w:bCs/>
          <w:sz w:val="32"/>
          <w:szCs w:val="32"/>
        </w:rPr>
      </w:pPr>
      <w:r>
        <w:rPr>
          <w:rFonts w:hint="eastAsia" w:ascii="仿宋" w:eastAsia="仿宋" w:cs="仿宋_GB2312"/>
          <w:bCs/>
          <w:sz w:val="32"/>
          <w:szCs w:val="32"/>
        </w:rPr>
        <w:t>4、牵头建立统一的全区应急管理信息系统，负责信息传输渠道的规划和布局，建立监测预警和灾情报告制度，健全自然灾害信息资源获取和共享机制，依法统一发布灾情</w:t>
      </w:r>
    </w:p>
    <w:p>
      <w:pPr>
        <w:spacing w:line="500" w:lineRule="exact"/>
        <w:ind w:firstLine="640" w:firstLineChars="200"/>
        <w:jc w:val="left"/>
        <w:rPr>
          <w:rFonts w:ascii="仿宋" w:eastAsia="仿宋" w:cs="仿宋_GB2312"/>
          <w:bCs/>
          <w:sz w:val="32"/>
          <w:szCs w:val="32"/>
        </w:rPr>
      </w:pPr>
      <w:r>
        <w:rPr>
          <w:rFonts w:hint="eastAsia" w:ascii="仿宋" w:eastAsia="仿宋" w:cs="仿宋_GB2312"/>
          <w:bCs/>
          <w:sz w:val="32"/>
          <w:szCs w:val="32"/>
        </w:rPr>
        <w:t>5、组织指导协调安全生产类、自然灾害类等突发事件应急救援，承担区应对重大灾害指挥部工作，综合研判突发事件发展态势并提出应对建议，协助区委、区政府指定的负责同志组织重大灾害应急处置工作。</w:t>
      </w:r>
    </w:p>
    <w:p>
      <w:pPr>
        <w:spacing w:line="500" w:lineRule="exact"/>
        <w:ind w:firstLine="640" w:firstLineChars="200"/>
        <w:jc w:val="left"/>
        <w:rPr>
          <w:rFonts w:ascii="仿宋" w:eastAsia="仿宋" w:cs="仿宋_GB2312"/>
          <w:bCs/>
          <w:sz w:val="32"/>
          <w:szCs w:val="32"/>
        </w:rPr>
      </w:pPr>
      <w:r>
        <w:rPr>
          <w:rFonts w:hint="eastAsia" w:ascii="仿宋" w:eastAsia="仿宋" w:cs="仿宋_GB2312"/>
          <w:bCs/>
          <w:sz w:val="32"/>
          <w:szCs w:val="32"/>
        </w:rPr>
        <w:t>6、统一协调指挥各类应急专业队伍，建立应急协调联动机制，推进指挥平台对接，衔接解放军和武警部队参与应急救援工作。</w:t>
      </w:r>
    </w:p>
    <w:p>
      <w:pPr>
        <w:spacing w:line="500" w:lineRule="exact"/>
        <w:ind w:firstLine="640" w:firstLineChars="200"/>
        <w:jc w:val="left"/>
        <w:rPr>
          <w:rFonts w:ascii="仿宋" w:eastAsia="仿宋" w:cs="仿宋_GB2312"/>
          <w:bCs/>
          <w:sz w:val="32"/>
          <w:szCs w:val="32"/>
        </w:rPr>
      </w:pPr>
      <w:r>
        <w:rPr>
          <w:rFonts w:hint="eastAsia" w:ascii="仿宋" w:eastAsia="仿宋" w:cs="仿宋_GB2312"/>
          <w:bCs/>
          <w:sz w:val="32"/>
          <w:szCs w:val="32"/>
        </w:rPr>
        <w:t>7、统筹应急救援力量建设，负责消防、森林和草原火灾扑救、抗洪抢险、地震和地质灾害救援、生产安全事故救援等专业应急救援力量建设，管理区综合性应急救援队伍，指导各级及社会应急救援力量建设。</w:t>
      </w:r>
    </w:p>
    <w:p>
      <w:pPr>
        <w:spacing w:line="500" w:lineRule="exact"/>
        <w:ind w:firstLine="640" w:firstLineChars="200"/>
        <w:jc w:val="left"/>
        <w:rPr>
          <w:rFonts w:ascii="仿宋" w:eastAsia="仿宋" w:cs="仿宋_GB2312"/>
          <w:bCs/>
          <w:sz w:val="32"/>
          <w:szCs w:val="32"/>
        </w:rPr>
      </w:pPr>
      <w:r>
        <w:rPr>
          <w:rFonts w:hint="eastAsia" w:ascii="仿宋" w:eastAsia="仿宋" w:cs="仿宋_GB2312"/>
          <w:bCs/>
          <w:sz w:val="32"/>
          <w:szCs w:val="32"/>
        </w:rPr>
        <w:t>8、组织协调消防工作，指导各级消防监督、火灾预防、火灾扑救等工作。</w:t>
      </w:r>
    </w:p>
    <w:p>
      <w:pPr>
        <w:spacing w:line="500" w:lineRule="exact"/>
        <w:ind w:firstLine="640" w:firstLineChars="200"/>
        <w:jc w:val="left"/>
        <w:rPr>
          <w:rFonts w:ascii="仿宋" w:eastAsia="仿宋" w:cs="仿宋_GB2312"/>
          <w:bCs/>
          <w:sz w:val="32"/>
          <w:szCs w:val="32"/>
        </w:rPr>
      </w:pPr>
      <w:r>
        <w:rPr>
          <w:rFonts w:hint="eastAsia" w:ascii="仿宋" w:eastAsia="仿宋" w:cs="仿宋_GB2312"/>
          <w:bCs/>
          <w:sz w:val="32"/>
          <w:szCs w:val="32"/>
        </w:rPr>
        <w:t>9、指导协调森林和草原火灾、水旱灾害、地质灾害等防治工作，组织开展地震监测预报工作和地震灾害预防工作，负责自然灾害和综合监测预警工作，指导开展自然灾害综合风险评估工作。</w:t>
      </w:r>
    </w:p>
    <w:p>
      <w:pPr>
        <w:spacing w:line="500" w:lineRule="exact"/>
        <w:ind w:firstLine="640" w:firstLineChars="200"/>
        <w:jc w:val="left"/>
        <w:rPr>
          <w:rFonts w:ascii="仿宋" w:eastAsia="仿宋" w:cs="仿宋_GB2312"/>
          <w:bCs/>
          <w:sz w:val="32"/>
          <w:szCs w:val="32"/>
        </w:rPr>
      </w:pPr>
      <w:r>
        <w:rPr>
          <w:rFonts w:ascii="仿宋" w:eastAsia="仿宋" w:cs="仿宋_GB2312"/>
          <w:bCs/>
          <w:sz w:val="32"/>
          <w:szCs w:val="32"/>
        </w:rPr>
        <w:t>10</w:t>
      </w:r>
      <w:r>
        <w:rPr>
          <w:rFonts w:hint="eastAsia" w:ascii="仿宋" w:eastAsia="仿宋" w:cs="仿宋_GB2312"/>
          <w:bCs/>
          <w:sz w:val="32"/>
          <w:szCs w:val="32"/>
        </w:rPr>
        <w:t>、组织协调灾害救助工作，组织指导灾情核查、损失评估、救灾捐赠工作，管理、分配区救灾款物并监督使用。</w:t>
      </w:r>
    </w:p>
    <w:p>
      <w:pPr>
        <w:spacing w:line="500" w:lineRule="exact"/>
        <w:ind w:firstLine="640" w:firstLineChars="200"/>
        <w:jc w:val="left"/>
        <w:rPr>
          <w:rFonts w:ascii="仿宋" w:eastAsia="仿宋" w:cs="仿宋_GB2312"/>
          <w:bCs/>
          <w:sz w:val="32"/>
          <w:szCs w:val="32"/>
        </w:rPr>
      </w:pPr>
      <w:r>
        <w:rPr>
          <w:rFonts w:hint="eastAsia" w:ascii="仿宋" w:eastAsia="仿宋" w:cs="仿宋_GB2312"/>
          <w:bCs/>
          <w:sz w:val="32"/>
          <w:szCs w:val="32"/>
        </w:rPr>
        <w:t>1</w:t>
      </w:r>
      <w:r>
        <w:rPr>
          <w:rFonts w:ascii="仿宋" w:eastAsia="仿宋" w:cs="仿宋_GB2312"/>
          <w:bCs/>
          <w:sz w:val="32"/>
          <w:szCs w:val="32"/>
        </w:rPr>
        <w:t>1</w:t>
      </w:r>
      <w:r>
        <w:rPr>
          <w:rFonts w:hint="eastAsia" w:ascii="仿宋" w:eastAsia="仿宋" w:cs="仿宋_GB2312"/>
          <w:bCs/>
          <w:sz w:val="32"/>
          <w:szCs w:val="32"/>
        </w:rPr>
        <w:t>、依法行使区安全生产综合监督管理职权，指导协调、监督检查区有关部门和各乡镇政府、街道办事处、广阳经济开发区管委会安全生产工作，组织开展安全生产巡查、考核工作。</w:t>
      </w:r>
    </w:p>
    <w:p>
      <w:pPr>
        <w:spacing w:line="500" w:lineRule="exact"/>
        <w:ind w:firstLine="640" w:firstLineChars="200"/>
        <w:jc w:val="left"/>
        <w:rPr>
          <w:rFonts w:ascii="仿宋" w:eastAsia="仿宋" w:cs="仿宋_GB2312"/>
          <w:bCs/>
          <w:sz w:val="32"/>
          <w:szCs w:val="32"/>
        </w:rPr>
      </w:pPr>
      <w:r>
        <w:rPr>
          <w:rFonts w:hint="eastAsia" w:ascii="仿宋" w:eastAsia="仿宋" w:cs="仿宋_GB2312"/>
          <w:bCs/>
          <w:sz w:val="32"/>
          <w:szCs w:val="32"/>
        </w:rPr>
        <w:t>1</w:t>
      </w:r>
      <w:r>
        <w:rPr>
          <w:rFonts w:ascii="仿宋" w:eastAsia="仿宋" w:cs="仿宋_GB2312"/>
          <w:bCs/>
          <w:sz w:val="32"/>
          <w:szCs w:val="32"/>
        </w:rPr>
        <w:t>2</w:t>
      </w:r>
      <w:r>
        <w:rPr>
          <w:rFonts w:hint="eastAsia" w:ascii="仿宋" w:eastAsia="仿宋" w:cs="仿宋_GB2312"/>
          <w:bCs/>
          <w:sz w:val="32"/>
          <w:szCs w:val="32"/>
        </w:rPr>
        <w:t>、按照分级、属地原则，依法监督检查工矿商贸生产经营单位贯彻执行安全生产法律法规情况，及其安全生产条件和有关设备（特种设备除外）、材料、劳动防护用品的安全生产管理工作；负责监督管理工矿商贸行业区属企业的安全生产工作；依法组织并指导监督实施安全生产准入制度；负责危险化学品安全监管综合工作和烟花爆竹安全生产监管工作。</w:t>
      </w:r>
    </w:p>
    <w:p>
      <w:pPr>
        <w:spacing w:line="500" w:lineRule="exact"/>
        <w:ind w:firstLine="640" w:firstLineChars="200"/>
        <w:jc w:val="left"/>
        <w:rPr>
          <w:rFonts w:ascii="仿宋" w:eastAsia="仿宋" w:cs="仿宋_GB2312"/>
          <w:bCs/>
          <w:sz w:val="32"/>
          <w:szCs w:val="32"/>
        </w:rPr>
      </w:pPr>
      <w:r>
        <w:rPr>
          <w:rFonts w:hint="eastAsia" w:ascii="仿宋" w:eastAsia="仿宋" w:cs="仿宋_GB2312"/>
          <w:bCs/>
          <w:sz w:val="32"/>
          <w:szCs w:val="32"/>
        </w:rPr>
        <w:t>1</w:t>
      </w:r>
      <w:r>
        <w:rPr>
          <w:rFonts w:ascii="仿宋" w:eastAsia="仿宋" w:cs="仿宋_GB2312"/>
          <w:bCs/>
          <w:sz w:val="32"/>
          <w:szCs w:val="32"/>
        </w:rPr>
        <w:t>3</w:t>
      </w:r>
      <w:r>
        <w:rPr>
          <w:rFonts w:hint="eastAsia" w:ascii="仿宋" w:eastAsia="仿宋" w:cs="仿宋_GB2312"/>
          <w:bCs/>
          <w:sz w:val="32"/>
          <w:szCs w:val="32"/>
        </w:rPr>
        <w:t>、依法组织指导生产安全事故调查处理，监督事故查处和责任追究落实情况。组织开展自然灾害类突发事件的调查评估工作。</w:t>
      </w:r>
    </w:p>
    <w:p>
      <w:pPr>
        <w:spacing w:line="500" w:lineRule="exact"/>
        <w:ind w:firstLine="640" w:firstLineChars="200"/>
        <w:jc w:val="left"/>
        <w:rPr>
          <w:rFonts w:ascii="仿宋" w:eastAsia="仿宋" w:cs="仿宋_GB2312"/>
          <w:bCs/>
          <w:sz w:val="32"/>
          <w:szCs w:val="32"/>
        </w:rPr>
      </w:pPr>
      <w:r>
        <w:rPr>
          <w:rFonts w:hint="eastAsia" w:ascii="仿宋" w:eastAsia="仿宋" w:cs="仿宋_GB2312"/>
          <w:bCs/>
          <w:sz w:val="32"/>
          <w:szCs w:val="32"/>
        </w:rPr>
        <w:t>1</w:t>
      </w:r>
      <w:r>
        <w:rPr>
          <w:rFonts w:ascii="仿宋" w:eastAsia="仿宋" w:cs="仿宋_GB2312"/>
          <w:bCs/>
          <w:sz w:val="32"/>
          <w:szCs w:val="32"/>
        </w:rPr>
        <w:t>4</w:t>
      </w:r>
      <w:r>
        <w:rPr>
          <w:rFonts w:hint="eastAsia" w:ascii="仿宋" w:eastAsia="仿宋" w:cs="仿宋_GB2312"/>
          <w:bCs/>
          <w:sz w:val="32"/>
          <w:szCs w:val="32"/>
        </w:rPr>
        <w:t>、制定应急物资储备和应急救援装备规划并组织实施，会同区粮食和物资储备等部门建立健全应急物资信息平台和调拨制度，在救灾时统一调度。</w:t>
      </w:r>
    </w:p>
    <w:p>
      <w:pPr>
        <w:spacing w:line="500" w:lineRule="exact"/>
        <w:ind w:firstLine="640" w:firstLineChars="200"/>
        <w:jc w:val="left"/>
        <w:rPr>
          <w:rFonts w:ascii="仿宋" w:eastAsia="仿宋" w:cs="仿宋_GB2312"/>
          <w:bCs/>
          <w:sz w:val="32"/>
          <w:szCs w:val="32"/>
        </w:rPr>
      </w:pPr>
      <w:r>
        <w:rPr>
          <w:rFonts w:hint="eastAsia" w:ascii="仿宋" w:eastAsia="仿宋" w:cs="仿宋_GB2312"/>
          <w:bCs/>
          <w:sz w:val="32"/>
          <w:szCs w:val="32"/>
        </w:rPr>
        <w:t>1</w:t>
      </w:r>
      <w:r>
        <w:rPr>
          <w:rFonts w:ascii="仿宋" w:eastAsia="仿宋" w:cs="仿宋_GB2312"/>
          <w:bCs/>
          <w:sz w:val="32"/>
          <w:szCs w:val="32"/>
        </w:rPr>
        <w:t>5</w:t>
      </w:r>
      <w:r>
        <w:rPr>
          <w:rFonts w:hint="eastAsia" w:ascii="仿宋" w:eastAsia="仿宋" w:cs="仿宋_GB2312"/>
          <w:bCs/>
          <w:sz w:val="32"/>
          <w:szCs w:val="32"/>
        </w:rPr>
        <w:t>、负责应急管理、安全生产宣传教育和培训工作，组织指导应急管理、安全生产的科学技术研究、推广应用和信息化建设工作。</w:t>
      </w:r>
    </w:p>
    <w:p>
      <w:pPr>
        <w:spacing w:line="500" w:lineRule="exact"/>
        <w:ind w:firstLine="640" w:firstLineChars="200"/>
        <w:jc w:val="left"/>
        <w:rPr>
          <w:rFonts w:ascii="仿宋" w:eastAsia="仿宋" w:cs="仿宋_GB2312"/>
          <w:bCs/>
          <w:sz w:val="32"/>
          <w:szCs w:val="32"/>
        </w:rPr>
      </w:pPr>
      <w:r>
        <w:rPr>
          <w:rFonts w:hint="eastAsia" w:ascii="仿宋" w:eastAsia="仿宋" w:cs="仿宋_GB2312"/>
          <w:bCs/>
          <w:sz w:val="32"/>
          <w:szCs w:val="32"/>
        </w:rPr>
        <w:t>1</w:t>
      </w:r>
      <w:r>
        <w:rPr>
          <w:rFonts w:ascii="仿宋" w:eastAsia="仿宋" w:cs="仿宋_GB2312"/>
          <w:bCs/>
          <w:sz w:val="32"/>
          <w:szCs w:val="32"/>
        </w:rPr>
        <w:t>6</w:t>
      </w:r>
      <w:r>
        <w:rPr>
          <w:rFonts w:hint="eastAsia" w:ascii="仿宋" w:eastAsia="仿宋" w:cs="仿宋_GB2312"/>
          <w:bCs/>
          <w:sz w:val="32"/>
          <w:szCs w:val="32"/>
        </w:rPr>
        <w:t>、负责组织指导协调和监督全区安全生产行政执法工作，组织开展对安全生产重点企业的执法检查，负责全区抗震设防执法工作。</w:t>
      </w:r>
    </w:p>
    <w:p>
      <w:pPr>
        <w:spacing w:line="500" w:lineRule="exact"/>
        <w:ind w:firstLine="640" w:firstLineChars="200"/>
        <w:jc w:val="left"/>
        <w:rPr>
          <w:rFonts w:ascii="仿宋" w:eastAsia="仿宋" w:cs="仿宋_GB2312"/>
          <w:bCs/>
          <w:sz w:val="32"/>
          <w:szCs w:val="32"/>
        </w:rPr>
      </w:pPr>
      <w:r>
        <w:rPr>
          <w:rFonts w:hint="eastAsia" w:ascii="仿宋" w:eastAsia="仿宋" w:cs="仿宋_GB2312"/>
          <w:bCs/>
          <w:sz w:val="32"/>
          <w:szCs w:val="32"/>
        </w:rPr>
        <w:t>1</w:t>
      </w:r>
      <w:r>
        <w:rPr>
          <w:rFonts w:ascii="仿宋" w:eastAsia="仿宋" w:cs="仿宋_GB2312"/>
          <w:bCs/>
          <w:sz w:val="32"/>
          <w:szCs w:val="32"/>
        </w:rPr>
        <w:t>7</w:t>
      </w:r>
      <w:r>
        <w:rPr>
          <w:rFonts w:hint="eastAsia" w:ascii="仿宋" w:eastAsia="仿宋" w:cs="仿宋_GB2312"/>
          <w:bCs/>
          <w:sz w:val="32"/>
          <w:szCs w:val="32"/>
        </w:rPr>
        <w:t>、组织开展应急管理方面的对外交流与合作。</w:t>
      </w:r>
    </w:p>
    <w:p>
      <w:pPr>
        <w:spacing w:line="500" w:lineRule="exact"/>
        <w:ind w:firstLine="640" w:firstLineChars="200"/>
        <w:jc w:val="left"/>
        <w:rPr>
          <w:rFonts w:ascii="仿宋" w:eastAsia="仿宋" w:cs="仿宋_GB2312"/>
          <w:bCs/>
          <w:sz w:val="32"/>
          <w:szCs w:val="32"/>
        </w:rPr>
      </w:pPr>
      <w:r>
        <w:rPr>
          <w:rFonts w:hint="eastAsia" w:ascii="仿宋" w:eastAsia="仿宋" w:cs="仿宋_GB2312"/>
          <w:bCs/>
          <w:sz w:val="32"/>
          <w:szCs w:val="32"/>
        </w:rPr>
        <w:t>1</w:t>
      </w:r>
      <w:r>
        <w:rPr>
          <w:rFonts w:ascii="仿宋" w:eastAsia="仿宋" w:cs="仿宋_GB2312"/>
          <w:bCs/>
          <w:sz w:val="32"/>
          <w:szCs w:val="32"/>
        </w:rPr>
        <w:t>8</w:t>
      </w:r>
      <w:r>
        <w:rPr>
          <w:rFonts w:hint="eastAsia" w:ascii="仿宋" w:eastAsia="仿宋" w:cs="仿宋_GB2312"/>
          <w:bCs/>
          <w:sz w:val="32"/>
          <w:szCs w:val="32"/>
        </w:rPr>
        <w:t>、完成区委、区政府交办的其他任务。</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p>
      <w:pPr>
        <w:spacing w:line="500" w:lineRule="exact"/>
        <w:ind w:firstLine="640" w:firstLineChars="200"/>
        <w:jc w:val="left"/>
        <w:rPr>
          <w:rFonts w:ascii="仿宋" w:eastAsia="仿宋" w:cs="仿宋_GB2312"/>
          <w:bCs/>
          <w:sz w:val="32"/>
          <w:szCs w:val="32"/>
        </w:rPr>
      </w:pPr>
      <w:r>
        <w:rPr>
          <w:rFonts w:hint="eastAsia" w:ascii="仿宋" w:eastAsia="仿宋" w:cs="仿宋_GB2312"/>
          <w:bCs/>
          <w:sz w:val="32"/>
          <w:szCs w:val="32"/>
        </w:rPr>
        <w:t>1、切实强化安全生产综合监管工作。充分发挥好安委办的组织协调、动员部署、监督检查、督促落实作用，细化落实联席会议、工作计划备案、工作情况定期通报、综合监督检查、联合执法检查、重大隐患挂牌跟踪督办、函告和约谈、通报、目标考核等制度，强化监管措施。深化重点行业领域安全整治，坚决打好危化品综合治理攻坚战，推进火灾防控和电气火灾专项治理，突出查大风险、除大隐患、防大事故，强化安全执法力度，加强部门之间的联合执法，严厉打击非法违法生产经营活动行为。</w:t>
      </w:r>
    </w:p>
    <w:p>
      <w:pPr>
        <w:spacing w:line="500" w:lineRule="exact"/>
        <w:ind w:firstLine="640" w:firstLineChars="200"/>
        <w:jc w:val="left"/>
        <w:rPr>
          <w:rFonts w:ascii="仿宋" w:eastAsia="仿宋" w:cs="仿宋_GB2312"/>
          <w:bCs/>
          <w:sz w:val="32"/>
          <w:szCs w:val="32"/>
        </w:rPr>
      </w:pPr>
      <w:r>
        <w:rPr>
          <w:rFonts w:hint="eastAsia" w:ascii="仿宋" w:eastAsia="仿宋" w:cs="仿宋_GB2312"/>
          <w:bCs/>
          <w:sz w:val="32"/>
          <w:szCs w:val="32"/>
        </w:rPr>
        <w:t>2、扎实开展灾害防治和应急救援工作。突出夏季高温、雨水、台风等恶劣天气，认真开展防灾减灾宣传、防汛抗旱和地震监测点维护工作。积极组织重点企业、重要场所和公立场所等重点部位开展应急救援演练，提高应急处置能力。完善应急救援装备物资储备，加强灾害信息管理工作，做好应急救援资源普查和统计工作。</w:t>
      </w:r>
    </w:p>
    <w:p>
      <w:pPr>
        <w:spacing w:line="500" w:lineRule="exact"/>
        <w:ind w:firstLine="640" w:firstLineChars="200"/>
        <w:jc w:val="left"/>
        <w:rPr>
          <w:rFonts w:ascii="仿宋" w:eastAsia="仿宋" w:cs="仿宋_GB2312"/>
          <w:bCs/>
          <w:sz w:val="32"/>
          <w:szCs w:val="32"/>
        </w:rPr>
      </w:pPr>
      <w:r>
        <w:rPr>
          <w:rFonts w:hint="eastAsia" w:ascii="仿宋" w:eastAsia="仿宋" w:cs="仿宋_GB2312"/>
          <w:bCs/>
          <w:sz w:val="32"/>
          <w:szCs w:val="32"/>
        </w:rPr>
        <w:t>3、进一步做好安全生产和灾害防治防治宣传工作。深入开展安全生产宣传活动，利用安全生产宣传月组织开展系列安全生产宣活动。走进企业、校园、社区、广场进行安全生产和灾害防治宣传，筑牢全区人民安全生产和灾害防范意识。</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第二部分  资金绩效目标</w:t>
      </w:r>
    </w:p>
    <w:p>
      <w:pPr>
        <w:spacing w:line="584" w:lineRule="exact"/>
        <w:ind w:firstLine="643" w:firstLineChars="200"/>
        <w:jc w:val="left"/>
        <w:rPr>
          <w:rFonts w:ascii="楷体" w:hAnsi="楷体" w:eastAsia="楷体" w:cs="楷体"/>
          <w:b/>
          <w:sz w:val="32"/>
          <w:szCs w:val="32"/>
        </w:rPr>
      </w:pPr>
      <w:r>
        <w:rPr>
          <w:rFonts w:hint="eastAsia" w:ascii="楷体" w:hAnsi="楷体" w:eastAsia="楷体" w:cs="楷体"/>
          <w:b/>
          <w:sz w:val="32"/>
          <w:szCs w:val="32"/>
        </w:rPr>
        <w:t>(一）农村住房保险补助资金绩效目标表</w:t>
      </w:r>
    </w:p>
    <w:p>
      <w:pPr>
        <w:spacing w:line="584" w:lineRule="exact"/>
        <w:ind w:firstLine="643" w:firstLineChars="200"/>
        <w:jc w:val="left"/>
        <w:rPr>
          <w:rFonts w:ascii="楷体" w:hAnsi="楷体" w:eastAsia="楷体" w:cs="楷体"/>
          <w:b/>
          <w:sz w:val="32"/>
          <w:szCs w:val="32"/>
        </w:rPr>
      </w:pP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TC </w:instrText>
      </w:r>
      <w:bookmarkStart w:id="1" w:name="_Toc32503392"/>
      <w:r>
        <w:rPr>
          <w:rFonts w:hint="eastAsia" w:ascii="楷体" w:hAnsi="楷体" w:eastAsia="楷体" w:cs="楷体"/>
          <w:b/>
          <w:sz w:val="32"/>
          <w:szCs w:val="32"/>
        </w:rPr>
        <w:instrText xml:space="preserve">1、农村住房保险补助资金绩效目标表</w:instrText>
      </w:r>
      <w:bookmarkEnd w:id="1"/>
      <w:r>
        <w:rPr>
          <w:rFonts w:hint="eastAsia" w:ascii="楷体" w:hAnsi="楷体" w:eastAsia="楷体" w:cs="楷体"/>
          <w:b/>
          <w:sz w:val="32"/>
          <w:szCs w:val="32"/>
        </w:rPr>
        <w:instrText xml:space="preserve"> \f B \l 1 </w:instrText>
      </w:r>
      <w:r>
        <w:rPr>
          <w:rFonts w:hint="eastAsia" w:ascii="楷体" w:hAnsi="楷体" w:eastAsia="楷体" w:cs="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、有效推进农村住房保险工作。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、保障农村住房安全。</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参保农户户数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参保农户户数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32370</w:t>
            </w:r>
            <w:r>
              <w:rPr>
                <w:rFonts w:hint="eastAsia" w:ascii="方正书宋_GBK" w:eastAsia="方正书宋_GBK"/>
              </w:rPr>
              <w:t>户</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廊广应急呈【</w:t>
            </w:r>
            <w:r>
              <w:rPr>
                <w:rFonts w:ascii="方正书宋_GBK" w:eastAsia="方正书宋_GBK"/>
              </w:rPr>
              <w:t>2019</w:t>
            </w:r>
            <w:r>
              <w:rPr>
                <w:rFonts w:hint="eastAsia" w:ascii="方正书宋_GBK" w:eastAsia="方正书宋_GBK"/>
              </w:rPr>
              <w:t>】</w:t>
            </w:r>
            <w:r>
              <w:rPr>
                <w:rFonts w:ascii="方正书宋_GBK" w:eastAsia="方正书宋_GBK"/>
              </w:rPr>
              <w:t>20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拨付资金和需求资金的比例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廊广应急呈【</w:t>
            </w:r>
            <w:r>
              <w:rPr>
                <w:rFonts w:ascii="方正书宋_GBK" w:eastAsia="方正书宋_GBK"/>
              </w:rPr>
              <w:t>2019</w:t>
            </w:r>
            <w:r>
              <w:rPr>
                <w:rFonts w:hint="eastAsia" w:ascii="方正书宋_GBK" w:eastAsia="方正书宋_GBK"/>
              </w:rPr>
              <w:t>】</w:t>
            </w:r>
            <w:r>
              <w:rPr>
                <w:rFonts w:ascii="方正书宋_GBK" w:eastAsia="方正书宋_GBK"/>
              </w:rPr>
              <w:t>20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社会服务能力提升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补助所带来的单位服务社会能力提升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廊广应急呈【</w:t>
            </w:r>
            <w:r>
              <w:rPr>
                <w:rFonts w:ascii="方正书宋_GBK" w:eastAsia="方正书宋_GBK"/>
              </w:rPr>
              <w:t>2019</w:t>
            </w:r>
            <w:r>
              <w:rPr>
                <w:rFonts w:hint="eastAsia" w:ascii="方正书宋_GBK" w:eastAsia="方正书宋_GBK"/>
              </w:rPr>
              <w:t>】</w:t>
            </w:r>
            <w:r>
              <w:rPr>
                <w:rFonts w:ascii="方正书宋_GBK" w:eastAsia="方正书宋_GBK"/>
              </w:rPr>
              <w:t>20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参保农户覆盖率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补助农户和需参保农户的比例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廊广应急呈【</w:t>
            </w:r>
            <w:r>
              <w:rPr>
                <w:rFonts w:ascii="方正书宋_GBK" w:eastAsia="方正书宋_GBK"/>
              </w:rPr>
              <w:t>2019</w:t>
            </w:r>
            <w:r>
              <w:rPr>
                <w:rFonts w:hint="eastAsia" w:ascii="方正书宋_GBK" w:eastAsia="方正书宋_GBK"/>
              </w:rPr>
              <w:t>】</w:t>
            </w:r>
            <w:r>
              <w:rPr>
                <w:rFonts w:ascii="方正书宋_GBK" w:eastAsia="方正书宋_GBK"/>
              </w:rPr>
              <w:t>20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参保农户满意度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满意农户占参保农户</w:t>
            </w:r>
            <w:r>
              <w:rPr>
                <w:rFonts w:hint="eastAsia" w:ascii="方正书宋_GBK" w:eastAsia="方正书宋_GBK"/>
                <w:lang w:eastAsia="zh-CN"/>
              </w:rPr>
              <w:t>的</w:t>
            </w:r>
            <w:r>
              <w:rPr>
                <w:rFonts w:hint="eastAsia" w:ascii="方正书宋_GBK" w:eastAsia="方正书宋_GBK"/>
              </w:rPr>
              <w:t>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廊广应急呈【</w:t>
            </w:r>
            <w:r>
              <w:rPr>
                <w:rFonts w:ascii="方正书宋_GBK" w:eastAsia="方正书宋_GBK"/>
              </w:rPr>
              <w:t>2019</w:t>
            </w:r>
            <w:r>
              <w:rPr>
                <w:rFonts w:hint="eastAsia" w:ascii="方正书宋_GBK" w:eastAsia="方正书宋_GBK"/>
              </w:rPr>
              <w:t>】</w:t>
            </w:r>
            <w:r>
              <w:rPr>
                <w:rFonts w:ascii="方正书宋_GBK" w:eastAsia="方正书宋_GBK"/>
              </w:rPr>
              <w:t>20</w:t>
            </w:r>
            <w:r>
              <w:rPr>
                <w:rFonts w:hint="eastAsia" w:ascii="方正书宋_GBK" w:eastAsia="方正书宋_GBK"/>
              </w:rPr>
              <w:t>号</w:t>
            </w:r>
          </w:p>
        </w:tc>
      </w:tr>
    </w:tbl>
    <w:p>
      <w:pPr>
        <w:spacing w:line="584" w:lineRule="exact"/>
        <w:jc w:val="left"/>
        <w:rPr>
          <w:rFonts w:ascii="Times New Roman" w:hAnsi="Times New Roman" w:eastAsia="楷体_GB2312" w:cs="Times New Roman"/>
          <w:b/>
          <w:sz w:val="32"/>
          <w:szCs w:val="32"/>
        </w:rPr>
      </w:pPr>
    </w:p>
    <w:bookmarkEnd w:id="0"/>
    <w:p>
      <w:pPr>
        <w:autoSpaceDE w:val="0"/>
        <w:autoSpaceDN w:val="0"/>
        <w:adjustRightInd w:val="0"/>
        <w:spacing w:line="584" w:lineRule="exact"/>
        <w:ind w:firstLine="640" w:firstLineChars="200"/>
        <w:jc w:val="left"/>
        <w:rPr>
          <w:rFonts w:hint="eastAsia" w:ascii="Times New Roman" w:hAnsi="黑体"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黑体"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黑体"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0.16万元。具体内容见下表。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54"/>
        <w:gridCol w:w="1008"/>
        <w:gridCol w:w="1626"/>
        <w:gridCol w:w="1250"/>
        <w:gridCol w:w="667"/>
        <w:gridCol w:w="689"/>
        <w:gridCol w:w="900"/>
        <w:gridCol w:w="903"/>
        <w:gridCol w:w="1186"/>
        <w:gridCol w:w="938"/>
        <w:gridCol w:w="1084"/>
        <w:gridCol w:w="1136"/>
        <w:gridCol w:w="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915"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【721002】廊坊市广阳区应急</w:t>
            </w:r>
            <w:r>
              <w:rPr>
                <w:rFonts w:ascii="Times New Roman" w:hAnsi="Times New Roman" w:eastAsia="仿宋_GB2312" w:cs="Times New Roman"/>
                <w:sz w:val="24"/>
              </w:rPr>
              <w:t>管理局</w:t>
            </w:r>
          </w:p>
        </w:tc>
        <w:tc>
          <w:tcPr>
            <w:tcW w:w="2085"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54"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55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29"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29"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3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0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085"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08"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46"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55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29"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29"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3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0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10"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07"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22"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72"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390"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285"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0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46" w:type="pct"/>
            <w:shd w:val="clear" w:color="auto" w:fill="auto"/>
            <w:vAlign w:val="center"/>
          </w:tcPr>
          <w:p>
            <w:pPr>
              <w:spacing w:line="584" w:lineRule="exact"/>
              <w:jc w:val="right"/>
              <w:rPr>
                <w:rFonts w:ascii="Times New Roman" w:hAnsi="Times New Roman" w:eastAsia="仿宋_GB2312" w:cs="Times New Roman"/>
                <w:b/>
              </w:rPr>
            </w:pPr>
          </w:p>
        </w:tc>
        <w:tc>
          <w:tcPr>
            <w:tcW w:w="558" w:type="pct"/>
            <w:shd w:val="clear" w:color="auto" w:fill="auto"/>
            <w:vAlign w:val="center"/>
          </w:tcPr>
          <w:p>
            <w:pPr>
              <w:spacing w:line="584" w:lineRule="exact"/>
              <w:jc w:val="left"/>
              <w:rPr>
                <w:rFonts w:ascii="Times New Roman" w:hAnsi="Times New Roman" w:eastAsia="仿宋_GB2312" w:cs="Times New Roman"/>
                <w:b/>
              </w:rPr>
            </w:pPr>
          </w:p>
        </w:tc>
        <w:tc>
          <w:tcPr>
            <w:tcW w:w="429" w:type="pct"/>
            <w:shd w:val="clear" w:color="auto" w:fill="auto"/>
            <w:vAlign w:val="center"/>
          </w:tcPr>
          <w:p>
            <w:pPr>
              <w:spacing w:line="584" w:lineRule="exact"/>
              <w:jc w:val="left"/>
              <w:rPr>
                <w:rFonts w:ascii="Times New Roman" w:hAnsi="Times New Roman" w:eastAsia="仿宋_GB2312" w:cs="Times New Roman"/>
                <w:b/>
              </w:rPr>
            </w:pPr>
          </w:p>
        </w:tc>
        <w:tc>
          <w:tcPr>
            <w:tcW w:w="229" w:type="pct"/>
            <w:tcBorders>
              <w:right w:val="single" w:color="auto" w:sz="4" w:space="0"/>
            </w:tcBorders>
            <w:shd w:val="clear" w:color="auto" w:fill="auto"/>
            <w:vAlign w:val="center"/>
          </w:tcPr>
          <w:p>
            <w:pPr>
              <w:spacing w:line="584" w:lineRule="exact"/>
              <w:jc w:val="left"/>
              <w:rPr>
                <w:rFonts w:ascii="Times New Roman" w:hAnsi="Times New Roman" w:eastAsia="仿宋_GB2312" w:cs="Times New Roman"/>
                <w:b/>
              </w:rPr>
            </w:pPr>
          </w:p>
        </w:tc>
        <w:tc>
          <w:tcPr>
            <w:tcW w:w="236" w:type="pct"/>
            <w:tcBorders>
              <w:left w:val="single" w:color="auto" w:sz="4" w:space="0"/>
            </w:tcBorders>
            <w:shd w:val="clear" w:color="auto" w:fill="auto"/>
            <w:vAlign w:val="center"/>
          </w:tcPr>
          <w:p>
            <w:pPr>
              <w:spacing w:line="584" w:lineRule="exact"/>
              <w:jc w:val="right"/>
              <w:rPr>
                <w:rFonts w:ascii="Times New Roman" w:hAnsi="Times New Roman" w:eastAsia="仿宋_GB2312" w:cs="Times New Roman"/>
                <w:b/>
              </w:rPr>
            </w:pPr>
          </w:p>
        </w:tc>
        <w:tc>
          <w:tcPr>
            <w:tcW w:w="308" w:type="pct"/>
            <w:shd w:val="clear" w:color="auto" w:fill="auto"/>
            <w:vAlign w:val="center"/>
          </w:tcPr>
          <w:p>
            <w:pPr>
              <w:spacing w:line="584" w:lineRule="exact"/>
              <w:jc w:val="right"/>
              <w:rPr>
                <w:rFonts w:ascii="Times New Roman" w:hAnsi="Times New Roman" w:eastAsia="仿宋_GB2312" w:cs="Times New Roman"/>
                <w:b/>
              </w:rPr>
            </w:pPr>
          </w:p>
        </w:tc>
        <w:tc>
          <w:tcPr>
            <w:tcW w:w="310"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20.16</w:t>
            </w:r>
          </w:p>
        </w:tc>
        <w:tc>
          <w:tcPr>
            <w:tcW w:w="407"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20.16</w:t>
            </w:r>
          </w:p>
        </w:tc>
        <w:tc>
          <w:tcPr>
            <w:tcW w:w="322" w:type="pct"/>
            <w:shd w:val="clear" w:color="auto" w:fill="auto"/>
            <w:vAlign w:val="center"/>
          </w:tcPr>
          <w:p>
            <w:pPr>
              <w:spacing w:line="584" w:lineRule="exact"/>
              <w:jc w:val="right"/>
              <w:rPr>
                <w:rFonts w:ascii="Times New Roman" w:hAnsi="Times New Roman" w:eastAsia="仿宋_GB2312" w:cs="Times New Roman"/>
                <w:b/>
              </w:rPr>
            </w:pPr>
          </w:p>
        </w:tc>
        <w:tc>
          <w:tcPr>
            <w:tcW w:w="372"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285"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08" w:type="pc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其他</w:t>
            </w:r>
            <w:r>
              <w:rPr>
                <w:rFonts w:ascii="Times New Roman" w:hAnsi="Times New Roman" w:eastAsia="仿宋_GB2312" w:cs="Times New Roman"/>
                <w:b/>
              </w:rPr>
              <w:t>业务费</w:t>
            </w:r>
          </w:p>
        </w:tc>
        <w:tc>
          <w:tcPr>
            <w:tcW w:w="346" w:type="pct"/>
            <w:tcBorders>
              <w:bottom w:val="single" w:color="auto" w:sz="4" w:space="0"/>
            </w:tcBorders>
            <w:shd w:val="clear" w:color="auto" w:fill="auto"/>
            <w:vAlign w:val="center"/>
          </w:tcPr>
          <w:p>
            <w:pPr>
              <w:spacing w:line="584" w:lineRule="exact"/>
              <w:jc w:val="right"/>
              <w:rPr>
                <w:rFonts w:ascii="Times New Roman" w:hAnsi="Times New Roman" w:eastAsia="仿宋_GB2312" w:cs="Times New Roman"/>
                <w:b/>
              </w:rPr>
            </w:pPr>
          </w:p>
        </w:tc>
        <w:tc>
          <w:tcPr>
            <w:tcW w:w="558" w:type="pct"/>
            <w:tcBorders>
              <w:top w:val="nil"/>
              <w:left w:val="nil"/>
              <w:bottom w:val="single" w:color="auto" w:sz="4" w:space="0"/>
              <w:right w:val="nil"/>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台式计算机</w:t>
            </w:r>
          </w:p>
        </w:tc>
        <w:tc>
          <w:tcPr>
            <w:tcW w:w="429" w:type="pct"/>
            <w:tcBorders>
              <w:bottom w:val="single" w:color="auto" w:sz="4" w:space="0"/>
            </w:tcBorders>
            <w:shd w:val="clear" w:color="auto" w:fill="auto"/>
            <w:vAlign w:val="center"/>
          </w:tcPr>
          <w:p>
            <w:pPr>
              <w:spacing w:line="584" w:lineRule="exact"/>
              <w:jc w:val="center"/>
              <w:rPr>
                <w:rFonts w:ascii="Times New Roman" w:hAnsi="Times New Roman" w:eastAsia="仿宋_GB2312" w:cs="Times New Roman"/>
                <w:b/>
              </w:rPr>
            </w:pPr>
          </w:p>
        </w:tc>
        <w:tc>
          <w:tcPr>
            <w:tcW w:w="229" w:type="pct"/>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台</w:t>
            </w:r>
          </w:p>
        </w:tc>
        <w:tc>
          <w:tcPr>
            <w:tcW w:w="236" w:type="pct"/>
            <w:tcBorders>
              <w:top w:val="nil"/>
              <w:left w:val="single" w:color="auto" w:sz="4" w:space="0"/>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10.00</w:t>
            </w:r>
          </w:p>
        </w:tc>
        <w:tc>
          <w:tcPr>
            <w:tcW w:w="308" w:type="pct"/>
            <w:tcBorders>
              <w:top w:val="nil"/>
              <w:left w:val="single" w:color="auto" w:sz="4" w:space="0"/>
              <w:bottom w:val="single" w:color="auto" w:sz="4" w:space="0"/>
              <w:right w:val="nil"/>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0.50</w:t>
            </w:r>
          </w:p>
        </w:tc>
        <w:tc>
          <w:tcPr>
            <w:tcW w:w="310" w:type="pct"/>
            <w:tcBorders>
              <w:bottom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5.00</w:t>
            </w:r>
          </w:p>
        </w:tc>
        <w:tc>
          <w:tcPr>
            <w:tcW w:w="407" w:type="pct"/>
            <w:tcBorders>
              <w:top w:val="nil"/>
              <w:left w:val="nil"/>
              <w:bottom w:val="single" w:color="auto" w:sz="4" w:space="0"/>
              <w:right w:val="nil"/>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5.00</w:t>
            </w:r>
          </w:p>
        </w:tc>
        <w:tc>
          <w:tcPr>
            <w:tcW w:w="322" w:type="pct"/>
            <w:tcBorders>
              <w:bottom w:val="single" w:color="auto" w:sz="4" w:space="0"/>
            </w:tcBorders>
            <w:shd w:val="clear" w:color="auto" w:fill="auto"/>
            <w:vAlign w:val="center"/>
          </w:tcPr>
          <w:p>
            <w:pPr>
              <w:spacing w:line="584" w:lineRule="exact"/>
              <w:jc w:val="center"/>
              <w:rPr>
                <w:rFonts w:ascii="Times New Roman" w:hAnsi="Times New Roman" w:eastAsia="仿宋_GB2312" w:cs="Times New Roman"/>
                <w:b/>
              </w:rPr>
            </w:pPr>
          </w:p>
        </w:tc>
        <w:tc>
          <w:tcPr>
            <w:tcW w:w="372"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285"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08" w:type="pct"/>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b/>
              </w:rPr>
              <w:t>其他</w:t>
            </w:r>
            <w:r>
              <w:rPr>
                <w:rFonts w:ascii="Times New Roman" w:hAnsi="Times New Roman" w:eastAsia="仿宋_GB2312" w:cs="Times New Roman"/>
                <w:b/>
              </w:rPr>
              <w:t>业务费</w:t>
            </w:r>
          </w:p>
        </w:tc>
        <w:tc>
          <w:tcPr>
            <w:tcW w:w="346" w:type="pct"/>
            <w:shd w:val="clear" w:color="auto" w:fill="auto"/>
            <w:vAlign w:val="center"/>
          </w:tcPr>
          <w:p>
            <w:pPr>
              <w:spacing w:line="584" w:lineRule="exact"/>
              <w:jc w:val="right"/>
              <w:rPr>
                <w:rFonts w:ascii="Times New Roman" w:hAnsi="Times New Roman" w:eastAsia="仿宋_GB2312" w:cs="Times New Roman"/>
              </w:rPr>
            </w:pPr>
          </w:p>
        </w:tc>
        <w:tc>
          <w:tcPr>
            <w:tcW w:w="558" w:type="pct"/>
            <w:tcBorders>
              <w:top w:val="nil"/>
              <w:left w:val="nil"/>
              <w:bottom w:val="single" w:color="auto" w:sz="4" w:space="0"/>
              <w:right w:val="nil"/>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多功能一体机</w:t>
            </w:r>
          </w:p>
        </w:tc>
        <w:tc>
          <w:tcPr>
            <w:tcW w:w="429" w:type="pct"/>
            <w:tcBorders>
              <w:bottom w:val="single" w:color="auto" w:sz="4" w:space="0"/>
            </w:tcBorders>
            <w:shd w:val="clear" w:color="auto" w:fill="auto"/>
            <w:vAlign w:val="center"/>
          </w:tcPr>
          <w:p>
            <w:pPr>
              <w:spacing w:line="584" w:lineRule="exact"/>
              <w:jc w:val="center"/>
              <w:rPr>
                <w:rFonts w:ascii="Times New Roman" w:hAnsi="Times New Roman" w:eastAsia="仿宋_GB2312" w:cs="Times New Roman"/>
                <w:b/>
              </w:rPr>
            </w:pPr>
          </w:p>
        </w:tc>
        <w:tc>
          <w:tcPr>
            <w:tcW w:w="229" w:type="pct"/>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台</w:t>
            </w:r>
          </w:p>
        </w:tc>
        <w:tc>
          <w:tcPr>
            <w:tcW w:w="236" w:type="pct"/>
            <w:tcBorders>
              <w:top w:val="nil"/>
              <w:left w:val="single" w:color="auto" w:sz="4" w:space="0"/>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6.00</w:t>
            </w:r>
          </w:p>
        </w:tc>
        <w:tc>
          <w:tcPr>
            <w:tcW w:w="308" w:type="pct"/>
            <w:tcBorders>
              <w:top w:val="nil"/>
              <w:left w:val="single" w:color="auto" w:sz="4" w:space="0"/>
              <w:bottom w:val="single" w:color="auto" w:sz="4" w:space="0"/>
              <w:right w:val="nil"/>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0.30</w:t>
            </w:r>
          </w:p>
        </w:tc>
        <w:tc>
          <w:tcPr>
            <w:tcW w:w="310" w:type="pct"/>
            <w:tcBorders>
              <w:bottom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1.80</w:t>
            </w:r>
          </w:p>
        </w:tc>
        <w:tc>
          <w:tcPr>
            <w:tcW w:w="407" w:type="pct"/>
            <w:tcBorders>
              <w:top w:val="nil"/>
              <w:left w:val="nil"/>
              <w:bottom w:val="single" w:color="auto" w:sz="4" w:space="0"/>
              <w:right w:val="nil"/>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1.80</w:t>
            </w:r>
          </w:p>
        </w:tc>
        <w:tc>
          <w:tcPr>
            <w:tcW w:w="322" w:type="pct"/>
            <w:shd w:val="clear" w:color="auto" w:fill="auto"/>
            <w:vAlign w:val="center"/>
          </w:tcPr>
          <w:p>
            <w:pPr>
              <w:spacing w:line="584" w:lineRule="exact"/>
              <w:jc w:val="center"/>
              <w:rPr>
                <w:rFonts w:ascii="Times New Roman" w:hAnsi="Times New Roman" w:eastAsia="仿宋_GB2312" w:cs="Times New Roman"/>
                <w:b/>
              </w:rPr>
            </w:pPr>
          </w:p>
        </w:tc>
        <w:tc>
          <w:tcPr>
            <w:tcW w:w="372"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285"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08" w:type="pct"/>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b/>
              </w:rPr>
              <w:t>其他</w:t>
            </w:r>
            <w:r>
              <w:rPr>
                <w:rFonts w:ascii="Times New Roman" w:hAnsi="Times New Roman" w:eastAsia="仿宋_GB2312" w:cs="Times New Roman"/>
                <w:b/>
              </w:rPr>
              <w:t>业务费</w:t>
            </w:r>
          </w:p>
        </w:tc>
        <w:tc>
          <w:tcPr>
            <w:tcW w:w="346" w:type="pct"/>
            <w:shd w:val="clear" w:color="auto" w:fill="auto"/>
            <w:vAlign w:val="center"/>
          </w:tcPr>
          <w:p>
            <w:pPr>
              <w:spacing w:line="584" w:lineRule="exact"/>
              <w:jc w:val="right"/>
              <w:rPr>
                <w:rFonts w:ascii="Times New Roman" w:hAnsi="Times New Roman" w:eastAsia="仿宋_GB2312" w:cs="Times New Roman"/>
              </w:rPr>
            </w:pPr>
          </w:p>
        </w:tc>
        <w:tc>
          <w:tcPr>
            <w:tcW w:w="558" w:type="pct"/>
            <w:tcBorders>
              <w:top w:val="single" w:color="auto" w:sz="4" w:space="0"/>
              <w:left w:val="nil"/>
              <w:bottom w:val="single" w:color="auto" w:sz="4" w:space="0"/>
              <w:right w:val="nil"/>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复印机</w:t>
            </w:r>
          </w:p>
        </w:tc>
        <w:tc>
          <w:tcPr>
            <w:tcW w:w="429" w:type="pct"/>
            <w:tcBorders>
              <w:top w:val="single" w:color="auto" w:sz="4" w:space="0"/>
              <w:bottom w:val="single" w:color="auto" w:sz="4" w:space="0"/>
            </w:tcBorders>
            <w:shd w:val="clear" w:color="auto" w:fill="auto"/>
            <w:vAlign w:val="center"/>
          </w:tcPr>
          <w:p>
            <w:pPr>
              <w:spacing w:line="584" w:lineRule="exact"/>
              <w:jc w:val="center"/>
              <w:rPr>
                <w:rFonts w:ascii="Times New Roman" w:hAnsi="Times New Roman" w:eastAsia="仿宋_GB2312" w:cs="Times New Roman"/>
                <w:b/>
              </w:rPr>
            </w:pPr>
          </w:p>
        </w:tc>
        <w:tc>
          <w:tcPr>
            <w:tcW w:w="229" w:type="pct"/>
            <w:tcBorders>
              <w:top w:val="single" w:color="auto" w:sz="4" w:space="0"/>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台</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1.00</w:t>
            </w:r>
          </w:p>
        </w:tc>
        <w:tc>
          <w:tcPr>
            <w:tcW w:w="308" w:type="pct"/>
            <w:tcBorders>
              <w:top w:val="single" w:color="auto" w:sz="4" w:space="0"/>
              <w:left w:val="single" w:color="auto" w:sz="4" w:space="0"/>
              <w:bottom w:val="single" w:color="auto" w:sz="4" w:space="0"/>
              <w:right w:val="nil"/>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2.00</w:t>
            </w:r>
          </w:p>
        </w:tc>
        <w:tc>
          <w:tcPr>
            <w:tcW w:w="310" w:type="pct"/>
            <w:tcBorders>
              <w:top w:val="single" w:color="auto" w:sz="4" w:space="0"/>
              <w:bottom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2.00</w:t>
            </w:r>
          </w:p>
        </w:tc>
        <w:tc>
          <w:tcPr>
            <w:tcW w:w="407" w:type="pct"/>
            <w:tcBorders>
              <w:top w:val="single" w:color="auto" w:sz="4" w:space="0"/>
              <w:left w:val="nil"/>
              <w:bottom w:val="single" w:color="auto" w:sz="4" w:space="0"/>
              <w:right w:val="nil"/>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2.00</w:t>
            </w:r>
          </w:p>
        </w:tc>
        <w:tc>
          <w:tcPr>
            <w:tcW w:w="322" w:type="pct"/>
            <w:tcBorders>
              <w:bottom w:val="single" w:color="auto" w:sz="4" w:space="0"/>
            </w:tcBorders>
            <w:shd w:val="clear" w:color="auto" w:fill="auto"/>
            <w:vAlign w:val="center"/>
          </w:tcPr>
          <w:p>
            <w:pPr>
              <w:spacing w:line="584" w:lineRule="exact"/>
              <w:jc w:val="center"/>
              <w:rPr>
                <w:rFonts w:ascii="Times New Roman" w:hAnsi="Times New Roman" w:eastAsia="仿宋_GB2312" w:cs="Times New Roman"/>
                <w:b/>
              </w:rPr>
            </w:pPr>
          </w:p>
        </w:tc>
        <w:tc>
          <w:tcPr>
            <w:tcW w:w="372"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285"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08" w:type="pct"/>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b/>
              </w:rPr>
              <w:t>其他</w:t>
            </w:r>
            <w:r>
              <w:rPr>
                <w:rFonts w:ascii="Times New Roman" w:hAnsi="Times New Roman" w:eastAsia="仿宋_GB2312" w:cs="Times New Roman"/>
                <w:b/>
              </w:rPr>
              <w:t>业务费</w:t>
            </w:r>
          </w:p>
        </w:tc>
        <w:tc>
          <w:tcPr>
            <w:tcW w:w="346" w:type="pct"/>
            <w:tcBorders>
              <w:bottom w:val="single" w:color="auto" w:sz="4" w:space="0"/>
            </w:tcBorders>
            <w:shd w:val="clear" w:color="auto" w:fill="auto"/>
            <w:vAlign w:val="center"/>
          </w:tcPr>
          <w:p>
            <w:pPr>
              <w:spacing w:line="584" w:lineRule="exact"/>
              <w:jc w:val="right"/>
              <w:rPr>
                <w:rFonts w:ascii="Times New Roman" w:hAnsi="Times New Roman" w:eastAsia="仿宋_GB2312" w:cs="Times New Roman"/>
              </w:rPr>
            </w:pPr>
          </w:p>
        </w:tc>
        <w:tc>
          <w:tcPr>
            <w:tcW w:w="558" w:type="pct"/>
            <w:tcBorders>
              <w:top w:val="single" w:color="auto" w:sz="4" w:space="0"/>
              <w:left w:val="nil"/>
              <w:bottom w:val="single" w:color="auto" w:sz="4" w:space="0"/>
              <w:right w:val="nil"/>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空调机</w:t>
            </w:r>
          </w:p>
        </w:tc>
        <w:tc>
          <w:tcPr>
            <w:tcW w:w="429" w:type="pct"/>
            <w:tcBorders>
              <w:top w:val="single" w:color="auto" w:sz="4" w:space="0"/>
              <w:bottom w:val="single" w:color="auto" w:sz="4" w:space="0"/>
            </w:tcBorders>
            <w:shd w:val="clear" w:color="auto" w:fill="auto"/>
            <w:vAlign w:val="center"/>
          </w:tcPr>
          <w:p>
            <w:pPr>
              <w:spacing w:line="584" w:lineRule="exact"/>
              <w:jc w:val="center"/>
              <w:rPr>
                <w:rFonts w:ascii="Times New Roman" w:hAnsi="Times New Roman" w:eastAsia="仿宋_GB2312" w:cs="Times New Roman"/>
                <w:b/>
              </w:rPr>
            </w:pPr>
          </w:p>
        </w:tc>
        <w:tc>
          <w:tcPr>
            <w:tcW w:w="229" w:type="pct"/>
            <w:tcBorders>
              <w:top w:val="single" w:color="auto" w:sz="4" w:space="0"/>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台</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10.00</w:t>
            </w:r>
          </w:p>
        </w:tc>
        <w:tc>
          <w:tcPr>
            <w:tcW w:w="308" w:type="pct"/>
            <w:tcBorders>
              <w:top w:val="single" w:color="auto" w:sz="4" w:space="0"/>
              <w:left w:val="single" w:color="auto" w:sz="4" w:space="0"/>
              <w:bottom w:val="single" w:color="auto" w:sz="4" w:space="0"/>
              <w:right w:val="nil"/>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0.30</w:t>
            </w:r>
          </w:p>
        </w:tc>
        <w:tc>
          <w:tcPr>
            <w:tcW w:w="310" w:type="pct"/>
            <w:tcBorders>
              <w:top w:val="single" w:color="auto" w:sz="4" w:space="0"/>
              <w:bottom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3.00</w:t>
            </w:r>
          </w:p>
        </w:tc>
        <w:tc>
          <w:tcPr>
            <w:tcW w:w="407" w:type="pct"/>
            <w:tcBorders>
              <w:top w:val="single" w:color="auto" w:sz="4" w:space="0"/>
              <w:left w:val="nil"/>
              <w:bottom w:val="single" w:color="auto" w:sz="4" w:space="0"/>
              <w:right w:val="nil"/>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3.00</w:t>
            </w:r>
          </w:p>
        </w:tc>
        <w:tc>
          <w:tcPr>
            <w:tcW w:w="322" w:type="pct"/>
            <w:tcBorders>
              <w:top w:val="single" w:color="auto" w:sz="4" w:space="0"/>
            </w:tcBorders>
            <w:shd w:val="clear" w:color="auto" w:fill="auto"/>
            <w:vAlign w:val="center"/>
          </w:tcPr>
          <w:p>
            <w:pPr>
              <w:spacing w:line="584" w:lineRule="exact"/>
              <w:jc w:val="center"/>
              <w:rPr>
                <w:rFonts w:ascii="Times New Roman" w:hAnsi="Times New Roman" w:eastAsia="仿宋_GB2312" w:cs="Times New Roman"/>
                <w:b/>
              </w:rPr>
            </w:pPr>
          </w:p>
        </w:tc>
        <w:tc>
          <w:tcPr>
            <w:tcW w:w="372"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285"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08" w:type="pct"/>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b/>
              </w:rPr>
              <w:t>其他</w:t>
            </w:r>
            <w:r>
              <w:rPr>
                <w:rFonts w:ascii="Times New Roman" w:hAnsi="Times New Roman" w:eastAsia="仿宋_GB2312" w:cs="Times New Roman"/>
                <w:b/>
              </w:rPr>
              <w:t>业务费</w:t>
            </w:r>
          </w:p>
        </w:tc>
        <w:tc>
          <w:tcPr>
            <w:tcW w:w="346" w:type="pct"/>
            <w:tcBorders>
              <w:bottom w:val="single" w:color="auto" w:sz="4" w:space="0"/>
            </w:tcBorders>
            <w:shd w:val="clear" w:color="auto" w:fill="auto"/>
            <w:vAlign w:val="center"/>
          </w:tcPr>
          <w:p>
            <w:pPr>
              <w:spacing w:line="584" w:lineRule="exact"/>
              <w:jc w:val="right"/>
              <w:rPr>
                <w:rFonts w:ascii="Times New Roman" w:hAnsi="Times New Roman" w:eastAsia="仿宋_GB2312" w:cs="Times New Roman"/>
              </w:rPr>
            </w:pPr>
          </w:p>
        </w:tc>
        <w:tc>
          <w:tcPr>
            <w:tcW w:w="558" w:type="pct"/>
            <w:tcBorders>
              <w:top w:val="nil"/>
              <w:left w:val="nil"/>
              <w:bottom w:val="single" w:color="auto" w:sz="4" w:space="0"/>
              <w:right w:val="nil"/>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投影仪</w:t>
            </w:r>
          </w:p>
        </w:tc>
        <w:tc>
          <w:tcPr>
            <w:tcW w:w="429" w:type="pct"/>
            <w:tcBorders>
              <w:bottom w:val="single" w:color="auto" w:sz="4" w:space="0"/>
            </w:tcBorders>
            <w:shd w:val="clear" w:color="auto" w:fill="auto"/>
            <w:vAlign w:val="center"/>
          </w:tcPr>
          <w:p>
            <w:pPr>
              <w:spacing w:line="584" w:lineRule="exact"/>
              <w:jc w:val="center"/>
              <w:rPr>
                <w:rFonts w:ascii="Times New Roman" w:hAnsi="Times New Roman" w:eastAsia="仿宋_GB2312" w:cs="Times New Roman"/>
                <w:b/>
              </w:rPr>
            </w:pPr>
          </w:p>
        </w:tc>
        <w:tc>
          <w:tcPr>
            <w:tcW w:w="229" w:type="pct"/>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台</w:t>
            </w:r>
          </w:p>
        </w:tc>
        <w:tc>
          <w:tcPr>
            <w:tcW w:w="236" w:type="pct"/>
            <w:tcBorders>
              <w:top w:val="nil"/>
              <w:left w:val="single" w:color="auto" w:sz="4" w:space="0"/>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2.00</w:t>
            </w:r>
          </w:p>
        </w:tc>
        <w:tc>
          <w:tcPr>
            <w:tcW w:w="308" w:type="pct"/>
            <w:tcBorders>
              <w:top w:val="nil"/>
              <w:left w:val="single" w:color="auto" w:sz="4" w:space="0"/>
              <w:bottom w:val="single" w:color="auto" w:sz="4" w:space="0"/>
              <w:right w:val="nil"/>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0.80</w:t>
            </w:r>
          </w:p>
        </w:tc>
        <w:tc>
          <w:tcPr>
            <w:tcW w:w="310" w:type="pct"/>
            <w:tcBorders>
              <w:bottom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1.60</w:t>
            </w:r>
          </w:p>
        </w:tc>
        <w:tc>
          <w:tcPr>
            <w:tcW w:w="407" w:type="pct"/>
            <w:tcBorders>
              <w:top w:val="nil"/>
              <w:left w:val="nil"/>
              <w:bottom w:val="single" w:color="auto" w:sz="4" w:space="0"/>
              <w:right w:val="nil"/>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1.60</w:t>
            </w:r>
          </w:p>
        </w:tc>
        <w:tc>
          <w:tcPr>
            <w:tcW w:w="322" w:type="pct"/>
            <w:shd w:val="clear" w:color="auto" w:fill="auto"/>
            <w:vAlign w:val="center"/>
          </w:tcPr>
          <w:p>
            <w:pPr>
              <w:spacing w:line="584" w:lineRule="exact"/>
              <w:jc w:val="center"/>
              <w:rPr>
                <w:rFonts w:ascii="Times New Roman" w:hAnsi="Times New Roman" w:eastAsia="仿宋_GB2312" w:cs="Times New Roman"/>
                <w:b/>
              </w:rPr>
            </w:pPr>
          </w:p>
        </w:tc>
        <w:tc>
          <w:tcPr>
            <w:tcW w:w="372"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285"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08" w:type="pct"/>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b/>
              </w:rPr>
              <w:t>其他</w:t>
            </w:r>
            <w:r>
              <w:rPr>
                <w:rFonts w:ascii="Times New Roman" w:hAnsi="Times New Roman" w:eastAsia="仿宋_GB2312" w:cs="Times New Roman"/>
                <w:b/>
              </w:rPr>
              <w:t>业务费</w:t>
            </w:r>
          </w:p>
        </w:tc>
        <w:tc>
          <w:tcPr>
            <w:tcW w:w="346" w:type="pct"/>
            <w:tcBorders>
              <w:bottom w:val="single" w:color="auto" w:sz="4" w:space="0"/>
            </w:tcBorders>
            <w:shd w:val="clear" w:color="auto" w:fill="auto"/>
            <w:vAlign w:val="center"/>
          </w:tcPr>
          <w:p>
            <w:pPr>
              <w:spacing w:line="584" w:lineRule="exact"/>
              <w:jc w:val="right"/>
              <w:rPr>
                <w:rFonts w:ascii="Times New Roman" w:hAnsi="Times New Roman" w:eastAsia="仿宋_GB2312" w:cs="Times New Roman"/>
              </w:rPr>
            </w:pPr>
          </w:p>
        </w:tc>
        <w:tc>
          <w:tcPr>
            <w:tcW w:w="558" w:type="pct"/>
            <w:tcBorders>
              <w:top w:val="nil"/>
              <w:left w:val="nil"/>
              <w:bottom w:val="single" w:color="auto" w:sz="4" w:space="0"/>
              <w:right w:val="nil"/>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木制台、桌类</w:t>
            </w:r>
          </w:p>
        </w:tc>
        <w:tc>
          <w:tcPr>
            <w:tcW w:w="429" w:type="pct"/>
            <w:tcBorders>
              <w:bottom w:val="single" w:color="auto" w:sz="4" w:space="0"/>
            </w:tcBorders>
            <w:shd w:val="clear" w:color="auto" w:fill="auto"/>
            <w:vAlign w:val="center"/>
          </w:tcPr>
          <w:p>
            <w:pPr>
              <w:spacing w:line="584" w:lineRule="exact"/>
              <w:jc w:val="center"/>
              <w:rPr>
                <w:rFonts w:ascii="Times New Roman" w:hAnsi="Times New Roman" w:eastAsia="仿宋_GB2312" w:cs="Times New Roman"/>
                <w:b/>
              </w:rPr>
            </w:pPr>
          </w:p>
        </w:tc>
        <w:tc>
          <w:tcPr>
            <w:tcW w:w="229" w:type="pct"/>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台</w:t>
            </w:r>
          </w:p>
        </w:tc>
        <w:tc>
          <w:tcPr>
            <w:tcW w:w="236" w:type="pct"/>
            <w:tcBorders>
              <w:top w:val="nil"/>
              <w:left w:val="single" w:color="auto" w:sz="4" w:space="0"/>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20.00</w:t>
            </w:r>
          </w:p>
        </w:tc>
        <w:tc>
          <w:tcPr>
            <w:tcW w:w="308" w:type="pct"/>
            <w:tcBorders>
              <w:top w:val="nil"/>
              <w:left w:val="single" w:color="auto" w:sz="4" w:space="0"/>
              <w:bottom w:val="single" w:color="auto" w:sz="4" w:space="0"/>
              <w:right w:val="nil"/>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0.20</w:t>
            </w:r>
          </w:p>
        </w:tc>
        <w:tc>
          <w:tcPr>
            <w:tcW w:w="310" w:type="pct"/>
            <w:tcBorders>
              <w:bottom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4.00</w:t>
            </w:r>
          </w:p>
        </w:tc>
        <w:tc>
          <w:tcPr>
            <w:tcW w:w="407" w:type="pct"/>
            <w:tcBorders>
              <w:top w:val="nil"/>
              <w:left w:val="nil"/>
              <w:bottom w:val="single" w:color="auto" w:sz="4" w:space="0"/>
              <w:right w:val="nil"/>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4.00</w:t>
            </w:r>
          </w:p>
        </w:tc>
        <w:tc>
          <w:tcPr>
            <w:tcW w:w="322" w:type="pct"/>
            <w:shd w:val="clear" w:color="auto" w:fill="auto"/>
            <w:vAlign w:val="center"/>
          </w:tcPr>
          <w:p>
            <w:pPr>
              <w:spacing w:line="584" w:lineRule="exact"/>
              <w:jc w:val="center"/>
              <w:rPr>
                <w:rFonts w:ascii="Times New Roman" w:hAnsi="Times New Roman" w:eastAsia="仿宋_GB2312" w:cs="Times New Roman"/>
                <w:b/>
              </w:rPr>
            </w:pPr>
          </w:p>
        </w:tc>
        <w:tc>
          <w:tcPr>
            <w:tcW w:w="372"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285"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08" w:type="pct"/>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b/>
              </w:rPr>
              <w:t>其他</w:t>
            </w:r>
            <w:r>
              <w:rPr>
                <w:rFonts w:ascii="Times New Roman" w:hAnsi="Times New Roman" w:eastAsia="仿宋_GB2312" w:cs="Times New Roman"/>
                <w:b/>
              </w:rPr>
              <w:t>业务费</w:t>
            </w:r>
          </w:p>
        </w:tc>
        <w:tc>
          <w:tcPr>
            <w:tcW w:w="346" w:type="pct"/>
            <w:shd w:val="clear" w:color="auto" w:fill="auto"/>
            <w:vAlign w:val="center"/>
          </w:tcPr>
          <w:p>
            <w:pPr>
              <w:spacing w:line="584" w:lineRule="exact"/>
              <w:jc w:val="right"/>
              <w:rPr>
                <w:rFonts w:ascii="Times New Roman" w:hAnsi="Times New Roman" w:eastAsia="仿宋_GB2312" w:cs="Times New Roman"/>
              </w:rPr>
            </w:pPr>
          </w:p>
        </w:tc>
        <w:tc>
          <w:tcPr>
            <w:tcW w:w="558" w:type="pct"/>
            <w:tcBorders>
              <w:top w:val="nil"/>
              <w:left w:val="nil"/>
              <w:bottom w:val="single" w:color="auto" w:sz="4" w:space="0"/>
              <w:right w:val="nil"/>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其他椅凳类</w:t>
            </w:r>
          </w:p>
        </w:tc>
        <w:tc>
          <w:tcPr>
            <w:tcW w:w="429" w:type="pct"/>
            <w:tcBorders>
              <w:bottom w:val="single" w:color="auto" w:sz="4" w:space="0"/>
            </w:tcBorders>
            <w:shd w:val="clear" w:color="auto" w:fill="auto"/>
            <w:vAlign w:val="center"/>
          </w:tcPr>
          <w:p>
            <w:pPr>
              <w:spacing w:line="584" w:lineRule="exact"/>
              <w:jc w:val="center"/>
              <w:rPr>
                <w:rFonts w:ascii="Times New Roman" w:hAnsi="Times New Roman" w:eastAsia="仿宋_GB2312" w:cs="Times New Roman"/>
                <w:b/>
              </w:rPr>
            </w:pPr>
          </w:p>
        </w:tc>
        <w:tc>
          <w:tcPr>
            <w:tcW w:w="229" w:type="pct"/>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个</w:t>
            </w:r>
          </w:p>
        </w:tc>
        <w:tc>
          <w:tcPr>
            <w:tcW w:w="236" w:type="pct"/>
            <w:tcBorders>
              <w:top w:val="nil"/>
              <w:left w:val="single" w:color="auto" w:sz="4" w:space="0"/>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20.00</w:t>
            </w:r>
          </w:p>
        </w:tc>
        <w:tc>
          <w:tcPr>
            <w:tcW w:w="308" w:type="pct"/>
            <w:tcBorders>
              <w:top w:val="nil"/>
              <w:left w:val="single" w:color="auto" w:sz="4" w:space="0"/>
              <w:bottom w:val="single" w:color="auto" w:sz="4" w:space="0"/>
              <w:right w:val="nil"/>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0.03</w:t>
            </w:r>
          </w:p>
        </w:tc>
        <w:tc>
          <w:tcPr>
            <w:tcW w:w="310" w:type="pct"/>
            <w:tcBorders>
              <w:bottom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0.60</w:t>
            </w:r>
          </w:p>
        </w:tc>
        <w:tc>
          <w:tcPr>
            <w:tcW w:w="407" w:type="pct"/>
            <w:tcBorders>
              <w:top w:val="nil"/>
              <w:left w:val="nil"/>
              <w:bottom w:val="single" w:color="auto" w:sz="4" w:space="0"/>
              <w:right w:val="nil"/>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0.60</w:t>
            </w:r>
          </w:p>
        </w:tc>
        <w:tc>
          <w:tcPr>
            <w:tcW w:w="322" w:type="pct"/>
            <w:shd w:val="clear" w:color="auto" w:fill="auto"/>
            <w:vAlign w:val="center"/>
          </w:tcPr>
          <w:p>
            <w:pPr>
              <w:spacing w:line="584" w:lineRule="exact"/>
              <w:jc w:val="center"/>
              <w:rPr>
                <w:rFonts w:ascii="Times New Roman" w:hAnsi="Times New Roman" w:eastAsia="仿宋_GB2312" w:cs="Times New Roman"/>
                <w:b/>
              </w:rPr>
            </w:pPr>
          </w:p>
        </w:tc>
        <w:tc>
          <w:tcPr>
            <w:tcW w:w="372"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285"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08" w:type="pct"/>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b/>
              </w:rPr>
              <w:t>其他</w:t>
            </w:r>
            <w:r>
              <w:rPr>
                <w:rFonts w:ascii="Times New Roman" w:hAnsi="Times New Roman" w:eastAsia="仿宋_GB2312" w:cs="Times New Roman"/>
                <w:b/>
              </w:rPr>
              <w:t>业务费</w:t>
            </w:r>
          </w:p>
        </w:tc>
        <w:tc>
          <w:tcPr>
            <w:tcW w:w="346" w:type="pct"/>
            <w:tcBorders>
              <w:bottom w:val="single" w:color="auto" w:sz="4" w:space="0"/>
            </w:tcBorders>
            <w:shd w:val="clear" w:color="auto" w:fill="auto"/>
            <w:vAlign w:val="center"/>
          </w:tcPr>
          <w:p>
            <w:pPr>
              <w:spacing w:line="584" w:lineRule="exact"/>
              <w:jc w:val="right"/>
              <w:rPr>
                <w:rFonts w:ascii="Times New Roman" w:hAnsi="Times New Roman" w:eastAsia="仿宋_GB2312" w:cs="Times New Roman"/>
              </w:rPr>
            </w:pPr>
          </w:p>
        </w:tc>
        <w:tc>
          <w:tcPr>
            <w:tcW w:w="558" w:type="pct"/>
            <w:tcBorders>
              <w:top w:val="single" w:color="auto" w:sz="4" w:space="0"/>
              <w:left w:val="nil"/>
              <w:bottom w:val="single" w:color="auto" w:sz="4" w:space="0"/>
              <w:right w:val="nil"/>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其他柜类</w:t>
            </w:r>
          </w:p>
        </w:tc>
        <w:tc>
          <w:tcPr>
            <w:tcW w:w="429" w:type="pct"/>
            <w:tcBorders>
              <w:top w:val="single" w:color="auto" w:sz="4" w:space="0"/>
              <w:bottom w:val="single" w:color="auto" w:sz="4" w:space="0"/>
            </w:tcBorders>
            <w:shd w:val="clear" w:color="auto" w:fill="auto"/>
            <w:vAlign w:val="center"/>
          </w:tcPr>
          <w:p>
            <w:pPr>
              <w:spacing w:line="584" w:lineRule="exact"/>
              <w:jc w:val="center"/>
              <w:rPr>
                <w:rFonts w:ascii="Times New Roman" w:hAnsi="Times New Roman" w:eastAsia="仿宋_GB2312" w:cs="Times New Roman"/>
                <w:b/>
              </w:rPr>
            </w:pPr>
          </w:p>
        </w:tc>
        <w:tc>
          <w:tcPr>
            <w:tcW w:w="229" w:type="pct"/>
            <w:tcBorders>
              <w:top w:val="single" w:color="auto" w:sz="4" w:space="0"/>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组</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20.00</w:t>
            </w:r>
          </w:p>
        </w:tc>
        <w:tc>
          <w:tcPr>
            <w:tcW w:w="308" w:type="pct"/>
            <w:tcBorders>
              <w:top w:val="single" w:color="auto" w:sz="4" w:space="0"/>
              <w:left w:val="single" w:color="auto" w:sz="4" w:space="0"/>
              <w:bottom w:val="single" w:color="auto" w:sz="4" w:space="0"/>
              <w:right w:val="nil"/>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0.10</w:t>
            </w:r>
          </w:p>
        </w:tc>
        <w:tc>
          <w:tcPr>
            <w:tcW w:w="310" w:type="pct"/>
            <w:tcBorders>
              <w:top w:val="single" w:color="auto" w:sz="4" w:space="0"/>
              <w:bottom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2.00</w:t>
            </w:r>
          </w:p>
        </w:tc>
        <w:tc>
          <w:tcPr>
            <w:tcW w:w="407" w:type="pct"/>
            <w:tcBorders>
              <w:top w:val="single" w:color="auto" w:sz="4" w:space="0"/>
              <w:left w:val="nil"/>
              <w:bottom w:val="single" w:color="auto" w:sz="4" w:space="0"/>
              <w:right w:val="nil"/>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2.00</w:t>
            </w:r>
          </w:p>
        </w:tc>
        <w:tc>
          <w:tcPr>
            <w:tcW w:w="322" w:type="pct"/>
            <w:shd w:val="clear" w:color="auto" w:fill="auto"/>
            <w:vAlign w:val="center"/>
          </w:tcPr>
          <w:p>
            <w:pPr>
              <w:spacing w:line="584" w:lineRule="exact"/>
              <w:jc w:val="center"/>
              <w:rPr>
                <w:rFonts w:ascii="Times New Roman" w:hAnsi="Times New Roman" w:eastAsia="仿宋_GB2312" w:cs="Times New Roman"/>
                <w:b/>
              </w:rPr>
            </w:pPr>
          </w:p>
        </w:tc>
        <w:tc>
          <w:tcPr>
            <w:tcW w:w="372"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285"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08" w:type="pct"/>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b/>
              </w:rPr>
              <w:t>其他</w:t>
            </w:r>
            <w:r>
              <w:rPr>
                <w:rFonts w:ascii="Times New Roman" w:hAnsi="Times New Roman" w:eastAsia="仿宋_GB2312" w:cs="Times New Roman"/>
                <w:b/>
              </w:rPr>
              <w:t>业务费</w:t>
            </w:r>
          </w:p>
        </w:tc>
        <w:tc>
          <w:tcPr>
            <w:tcW w:w="346" w:type="pct"/>
            <w:tcBorders>
              <w:top w:val="single" w:color="auto" w:sz="4" w:space="0"/>
            </w:tcBorders>
            <w:shd w:val="clear" w:color="auto" w:fill="auto"/>
            <w:vAlign w:val="center"/>
          </w:tcPr>
          <w:p>
            <w:pPr>
              <w:spacing w:line="584" w:lineRule="exact"/>
              <w:jc w:val="right"/>
              <w:rPr>
                <w:rFonts w:ascii="Times New Roman" w:hAnsi="Times New Roman" w:eastAsia="仿宋_GB2312" w:cs="Times New Roman"/>
              </w:rPr>
            </w:pPr>
          </w:p>
        </w:tc>
        <w:tc>
          <w:tcPr>
            <w:tcW w:w="558" w:type="pct"/>
            <w:tcBorders>
              <w:top w:val="single" w:color="auto" w:sz="4" w:space="0"/>
              <w:left w:val="nil"/>
              <w:bottom w:val="single" w:color="auto" w:sz="4" w:space="0"/>
              <w:right w:val="nil"/>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保险柜</w:t>
            </w:r>
          </w:p>
        </w:tc>
        <w:tc>
          <w:tcPr>
            <w:tcW w:w="429" w:type="pct"/>
            <w:tcBorders>
              <w:top w:val="single" w:color="auto" w:sz="4" w:space="0"/>
              <w:bottom w:val="single" w:color="auto" w:sz="4" w:space="0"/>
            </w:tcBorders>
            <w:shd w:val="clear" w:color="auto" w:fill="auto"/>
            <w:vAlign w:val="center"/>
          </w:tcPr>
          <w:p>
            <w:pPr>
              <w:spacing w:line="584" w:lineRule="exact"/>
              <w:jc w:val="center"/>
              <w:rPr>
                <w:rFonts w:ascii="Times New Roman" w:hAnsi="Times New Roman" w:eastAsia="仿宋_GB2312" w:cs="Times New Roman"/>
                <w:b/>
              </w:rPr>
            </w:pPr>
          </w:p>
        </w:tc>
        <w:tc>
          <w:tcPr>
            <w:tcW w:w="229" w:type="pct"/>
            <w:tcBorders>
              <w:top w:val="single" w:color="auto" w:sz="4" w:space="0"/>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个</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1.00</w:t>
            </w:r>
          </w:p>
        </w:tc>
        <w:tc>
          <w:tcPr>
            <w:tcW w:w="308" w:type="pct"/>
            <w:tcBorders>
              <w:top w:val="single" w:color="auto" w:sz="4" w:space="0"/>
              <w:left w:val="single" w:color="auto" w:sz="4" w:space="0"/>
              <w:bottom w:val="single" w:color="auto" w:sz="4" w:space="0"/>
              <w:right w:val="nil"/>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0.16</w:t>
            </w:r>
          </w:p>
        </w:tc>
        <w:tc>
          <w:tcPr>
            <w:tcW w:w="310" w:type="pct"/>
            <w:tcBorders>
              <w:top w:val="single" w:color="auto" w:sz="4" w:space="0"/>
              <w:bottom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0.16</w:t>
            </w:r>
          </w:p>
        </w:tc>
        <w:tc>
          <w:tcPr>
            <w:tcW w:w="407" w:type="pct"/>
            <w:tcBorders>
              <w:top w:val="single" w:color="auto" w:sz="4" w:space="0"/>
              <w:left w:val="nil"/>
              <w:bottom w:val="single" w:color="auto" w:sz="4" w:space="0"/>
              <w:right w:val="nil"/>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0.16</w:t>
            </w:r>
          </w:p>
        </w:tc>
        <w:tc>
          <w:tcPr>
            <w:tcW w:w="322" w:type="pct"/>
            <w:tcBorders>
              <w:bottom w:val="single" w:color="auto" w:sz="4" w:space="0"/>
            </w:tcBorders>
            <w:shd w:val="clear" w:color="auto" w:fill="auto"/>
            <w:vAlign w:val="center"/>
          </w:tcPr>
          <w:p>
            <w:pPr>
              <w:spacing w:line="584" w:lineRule="exact"/>
              <w:jc w:val="center"/>
              <w:rPr>
                <w:rFonts w:ascii="Times New Roman" w:hAnsi="Times New Roman" w:eastAsia="仿宋_GB2312" w:cs="Times New Roman"/>
                <w:b/>
              </w:rPr>
            </w:pPr>
          </w:p>
        </w:tc>
        <w:tc>
          <w:tcPr>
            <w:tcW w:w="372"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285"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广阳区应急管理局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09.994828万元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w:t>
      </w:r>
      <w:r>
        <w:rPr>
          <w:rFonts w:hint="eastAsia" w:ascii="Times New Roman" w:hAnsi="Times New Roman" w:eastAsia="仿宋_GB2312" w:cs="Times New Roman"/>
          <w:sz w:val="32"/>
          <w:szCs w:val="32"/>
        </w:rPr>
        <w:t>我部门拟购</w:t>
      </w:r>
      <w:r>
        <w:rPr>
          <w:rFonts w:ascii="Times New Roman" w:hAnsi="Times New Roman" w:eastAsia="仿宋_GB2312" w:cs="Times New Roman"/>
          <w:sz w:val="32"/>
          <w:szCs w:val="32"/>
        </w:rPr>
        <w:t>置固定资产</w:t>
      </w:r>
      <w:r>
        <w:rPr>
          <w:rFonts w:hint="eastAsia" w:ascii="Times New Roman" w:hAnsi="Times New Roman" w:eastAsia="仿宋_GB2312" w:cs="Times New Roman"/>
          <w:sz w:val="32"/>
          <w:szCs w:val="32"/>
        </w:rPr>
        <w:t>总额为2</w:t>
      </w:r>
      <w:r>
        <w:rPr>
          <w:rFonts w:ascii="Times New Roman" w:hAnsi="Times New Roman" w:eastAsia="仿宋_GB2312" w:cs="Times New Roman"/>
          <w:sz w:val="32"/>
          <w:szCs w:val="32"/>
        </w:rPr>
        <w:t>0.16</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主要为固定资产主要为计算机设备、打印设备、空调、办公家具等，已列入政府采购预算。详见</w:t>
      </w:r>
      <w:r>
        <w:rPr>
          <w:rFonts w:hint="eastAsia" w:ascii="Times New Roman" w:hAnsi="Times New Roman" w:eastAsia="仿宋_GB2312" w:cs="Times New Roman"/>
          <w:sz w:val="32"/>
          <w:szCs w:val="32"/>
        </w:rPr>
        <w:t>政府采购预算表</w:t>
      </w:r>
      <w:r>
        <w:rPr>
          <w:rFonts w:ascii="Times New Roman" w:hAnsi="Times New Roman" w:eastAsia="仿宋_GB2312" w:cs="Times New Roman"/>
          <w:sz w:val="32"/>
          <w:szCs w:val="32"/>
        </w:rPr>
        <w:t>。</w:t>
      </w: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广阳区应急管理局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109.994828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55</w:t>
            </w:r>
            <w:r>
              <w:rPr>
                <w:rFonts w:ascii="Times New Roman" w:hAnsi="Times New Roman" w:eastAsia="仿宋_GB2312" w:cs="Times New Roman"/>
                <w:sz w:val="22"/>
              </w:rPr>
              <w:t>.</w:t>
            </w:r>
            <w:r>
              <w:rPr>
                <w:rFonts w:hint="eastAsia" w:ascii="Times New Roman" w:hAnsi="Times New Roman" w:eastAsia="仿宋_GB2312" w:cs="Times New Roman"/>
                <w:sz w:val="22"/>
              </w:rPr>
              <w:t>591328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201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54.4035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楷体_GB2312" w:hAnsi="Times New Roman" w:eastAsia="楷体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sdtPr>
    <w:sdtContent>
      <w:p>
        <w:pPr>
          <w:pStyle w:val="3"/>
          <w:jc w:val="center"/>
        </w:pPr>
        <w:r>
          <w:rPr>
            <w:rFonts w:hint="eastAsia"/>
          </w:rPr>
          <w:t>-</w:t>
        </w:r>
        <w:r>
          <w:fldChar w:fldCharType="begin"/>
        </w:r>
        <w:r>
          <w:instrText xml:space="preserve">PAGE   \* MERGEFORMAT</w:instrText>
        </w:r>
        <w:r>
          <w:fldChar w:fldCharType="separate"/>
        </w:r>
        <w:r>
          <w:rPr>
            <w:lang w:val="zh-CN"/>
          </w:rPr>
          <w:t>1</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E790D"/>
    <w:multiLevelType w:val="multilevel"/>
    <w:tmpl w:val="378E790D"/>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37AF6"/>
    <w:rsid w:val="000410F2"/>
    <w:rsid w:val="0004565F"/>
    <w:rsid w:val="00070080"/>
    <w:rsid w:val="00072187"/>
    <w:rsid w:val="00075D5F"/>
    <w:rsid w:val="0008180F"/>
    <w:rsid w:val="00093DA3"/>
    <w:rsid w:val="000B529B"/>
    <w:rsid w:val="000C24E6"/>
    <w:rsid w:val="000C3A19"/>
    <w:rsid w:val="000D3A2E"/>
    <w:rsid w:val="000E4305"/>
    <w:rsid w:val="000F0D09"/>
    <w:rsid w:val="00101BAD"/>
    <w:rsid w:val="001245BB"/>
    <w:rsid w:val="001251A3"/>
    <w:rsid w:val="0015229A"/>
    <w:rsid w:val="00160266"/>
    <w:rsid w:val="001643E8"/>
    <w:rsid w:val="00176C13"/>
    <w:rsid w:val="001919C4"/>
    <w:rsid w:val="00192249"/>
    <w:rsid w:val="0019723B"/>
    <w:rsid w:val="001A0943"/>
    <w:rsid w:val="001B5C1D"/>
    <w:rsid w:val="001C1BF8"/>
    <w:rsid w:val="001E0757"/>
    <w:rsid w:val="001E6DDC"/>
    <w:rsid w:val="001E70E9"/>
    <w:rsid w:val="001F4308"/>
    <w:rsid w:val="001F5C92"/>
    <w:rsid w:val="001F7873"/>
    <w:rsid w:val="00220D60"/>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896"/>
    <w:rsid w:val="002F3E58"/>
    <w:rsid w:val="00300FA4"/>
    <w:rsid w:val="0030542C"/>
    <w:rsid w:val="00311B7A"/>
    <w:rsid w:val="003126B6"/>
    <w:rsid w:val="00313D9C"/>
    <w:rsid w:val="00325215"/>
    <w:rsid w:val="0033339C"/>
    <w:rsid w:val="00335660"/>
    <w:rsid w:val="003A05EE"/>
    <w:rsid w:val="003B21CE"/>
    <w:rsid w:val="003B50D7"/>
    <w:rsid w:val="003B6D37"/>
    <w:rsid w:val="003D30FF"/>
    <w:rsid w:val="004132D7"/>
    <w:rsid w:val="00414BD3"/>
    <w:rsid w:val="00424943"/>
    <w:rsid w:val="0042727E"/>
    <w:rsid w:val="0043175C"/>
    <w:rsid w:val="00437296"/>
    <w:rsid w:val="00451590"/>
    <w:rsid w:val="00451871"/>
    <w:rsid w:val="00455103"/>
    <w:rsid w:val="004706DE"/>
    <w:rsid w:val="00472923"/>
    <w:rsid w:val="00486DCD"/>
    <w:rsid w:val="0049120C"/>
    <w:rsid w:val="004B0C3A"/>
    <w:rsid w:val="004C49A8"/>
    <w:rsid w:val="004C58D3"/>
    <w:rsid w:val="004D5788"/>
    <w:rsid w:val="004E3066"/>
    <w:rsid w:val="004E419C"/>
    <w:rsid w:val="004E74CD"/>
    <w:rsid w:val="00524EFD"/>
    <w:rsid w:val="00572067"/>
    <w:rsid w:val="00573562"/>
    <w:rsid w:val="00590ECE"/>
    <w:rsid w:val="005C0E90"/>
    <w:rsid w:val="005D0C27"/>
    <w:rsid w:val="005D37CA"/>
    <w:rsid w:val="005F5714"/>
    <w:rsid w:val="005F7AE1"/>
    <w:rsid w:val="00611D03"/>
    <w:rsid w:val="00614A29"/>
    <w:rsid w:val="00651BA2"/>
    <w:rsid w:val="00654FB9"/>
    <w:rsid w:val="00673D76"/>
    <w:rsid w:val="006854F0"/>
    <w:rsid w:val="006B1C4A"/>
    <w:rsid w:val="006B610D"/>
    <w:rsid w:val="006C206A"/>
    <w:rsid w:val="006D2F27"/>
    <w:rsid w:val="006E49F5"/>
    <w:rsid w:val="007013C8"/>
    <w:rsid w:val="00727C84"/>
    <w:rsid w:val="00737990"/>
    <w:rsid w:val="00741AF5"/>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4DF4"/>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9F24CE"/>
    <w:rsid w:val="00A16E6C"/>
    <w:rsid w:val="00A40F60"/>
    <w:rsid w:val="00A44E3D"/>
    <w:rsid w:val="00A72D2E"/>
    <w:rsid w:val="00A74447"/>
    <w:rsid w:val="00A74CE5"/>
    <w:rsid w:val="00A77500"/>
    <w:rsid w:val="00A849B6"/>
    <w:rsid w:val="00A8536F"/>
    <w:rsid w:val="00A911E7"/>
    <w:rsid w:val="00A939D9"/>
    <w:rsid w:val="00AB77AA"/>
    <w:rsid w:val="00AC0E98"/>
    <w:rsid w:val="00AC4748"/>
    <w:rsid w:val="00AD5259"/>
    <w:rsid w:val="00AD5466"/>
    <w:rsid w:val="00B01D36"/>
    <w:rsid w:val="00B078CD"/>
    <w:rsid w:val="00B20712"/>
    <w:rsid w:val="00B32BD1"/>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22EF7"/>
    <w:rsid w:val="00C362CA"/>
    <w:rsid w:val="00C37A99"/>
    <w:rsid w:val="00C413CC"/>
    <w:rsid w:val="00C772C1"/>
    <w:rsid w:val="00C93D22"/>
    <w:rsid w:val="00CA7176"/>
    <w:rsid w:val="00CB51D7"/>
    <w:rsid w:val="00CC75B0"/>
    <w:rsid w:val="00CD2773"/>
    <w:rsid w:val="00CE01BA"/>
    <w:rsid w:val="00CE143B"/>
    <w:rsid w:val="00CE3A91"/>
    <w:rsid w:val="00D07DBA"/>
    <w:rsid w:val="00D23C16"/>
    <w:rsid w:val="00D27003"/>
    <w:rsid w:val="00D324AD"/>
    <w:rsid w:val="00D9307A"/>
    <w:rsid w:val="00DB4322"/>
    <w:rsid w:val="00DD1D0C"/>
    <w:rsid w:val="00DE186D"/>
    <w:rsid w:val="00E167C7"/>
    <w:rsid w:val="00E30D4A"/>
    <w:rsid w:val="00E440CF"/>
    <w:rsid w:val="00E55B78"/>
    <w:rsid w:val="00E76361"/>
    <w:rsid w:val="00E76636"/>
    <w:rsid w:val="00E84020"/>
    <w:rsid w:val="00EB7A80"/>
    <w:rsid w:val="00EC47F6"/>
    <w:rsid w:val="00EE6D6D"/>
    <w:rsid w:val="00EF08C9"/>
    <w:rsid w:val="00EF535E"/>
    <w:rsid w:val="00F15CF0"/>
    <w:rsid w:val="00F471F7"/>
    <w:rsid w:val="00F66032"/>
    <w:rsid w:val="00F83B96"/>
    <w:rsid w:val="00F8441D"/>
    <w:rsid w:val="00F87C1E"/>
    <w:rsid w:val="00F958C2"/>
    <w:rsid w:val="00FA740E"/>
    <w:rsid w:val="00FC06C7"/>
    <w:rsid w:val="00FD5DB4"/>
    <w:rsid w:val="00FD7FCC"/>
    <w:rsid w:val="00FE1724"/>
    <w:rsid w:val="00FE753C"/>
    <w:rsid w:val="00FF2346"/>
    <w:rsid w:val="01033446"/>
    <w:rsid w:val="05333A8E"/>
    <w:rsid w:val="1A7A6771"/>
    <w:rsid w:val="28E95D61"/>
    <w:rsid w:val="2DA57991"/>
    <w:rsid w:val="35DB44F2"/>
    <w:rsid w:val="487619F3"/>
    <w:rsid w:val="58685AD9"/>
    <w:rsid w:val="58AC5990"/>
    <w:rsid w:val="64FE21E4"/>
    <w:rsid w:val="6B9D23AD"/>
    <w:rsid w:val="6CEB4BD9"/>
    <w:rsid w:val="72FF2FDB"/>
    <w:rsid w:val="7AA503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51A03-6300-400E-8BE5-3E31352108D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902</Words>
  <Characters>5142</Characters>
  <Lines>42</Lines>
  <Paragraphs>12</Paragraphs>
  <TotalTime>305</TotalTime>
  <ScaleCrop>false</ScaleCrop>
  <LinksUpToDate>false</LinksUpToDate>
  <CharactersWithSpaces>6032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Administrator</cp:lastModifiedBy>
  <cp:lastPrinted>2019-02-18T02:45:00Z</cp:lastPrinted>
  <dcterms:modified xsi:type="dcterms:W3CDTF">2024-01-11T08:59:04Z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E0BC772A882C42C2AF9437D9926F1FD0</vt:lpwstr>
  </property>
</Properties>
</file>