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jc w:val="center"/>
        <w:rPr>
          <w:rFonts w:ascii="Times New Roman" w:hAnsi="Times New Roman" w:eastAsia="方正小标宋简体" w:cs="Times New Roman"/>
          <w:sz w:val="44"/>
          <w:szCs w:val="44"/>
        </w:rPr>
      </w:pPr>
      <w:bookmarkStart w:id="2" w:name="_GoBack"/>
      <w:bookmarkEnd w:id="2"/>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rPr>
        <w:t>第八小学</w:t>
      </w: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21</w:t>
      </w:r>
      <w:r>
        <w:rPr>
          <w:rFonts w:ascii="Times New Roman" w:hAnsi="Times New Roman" w:eastAsia="方正小标宋简体" w:cs="Times New Roman"/>
          <w:sz w:val="44"/>
          <w:szCs w:val="44"/>
        </w:rPr>
        <w:t>年部门预算信息公开</w:t>
      </w:r>
      <w:r>
        <w:rPr>
          <w:rFonts w:hint="eastAsia" w:ascii="Times New Roman" w:hAnsi="Times New Roman" w:eastAsia="方正小标宋简体" w:cs="Times New Roman"/>
          <w:sz w:val="44"/>
          <w:szCs w:val="44"/>
        </w:rPr>
        <w:t>情况说明</w:t>
      </w: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按照《中华人民共和国预算法》、《中华人民共和国预算法实施条例》、《地方预决算公开操作规程》和《河北省省级预算公开办法》规定，现将廊坊市第</w:t>
      </w:r>
      <w:r>
        <w:rPr>
          <w:rFonts w:hint="eastAsia" w:ascii="Times New Roman" w:hAnsi="Times New Roman" w:eastAsia="仿宋_GB2312" w:cs="Times New Roman"/>
          <w:sz w:val="32"/>
          <w:szCs w:val="32"/>
        </w:rPr>
        <w:t>八小</w:t>
      </w:r>
      <w:r>
        <w:rPr>
          <w:rFonts w:ascii="Times New Roman" w:hAnsi="Times New Roman" w:eastAsia="仿宋_GB2312" w:cs="Times New Roman"/>
          <w:sz w:val="32"/>
          <w:szCs w:val="32"/>
        </w:rPr>
        <w:t>学20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年部门预算公开如下：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一、部门职责及机构设置情况</w:t>
      </w:r>
    </w:p>
    <w:p>
      <w:pPr>
        <w:spacing w:line="584"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w:t>
      </w:r>
    </w:p>
    <w:p>
      <w:pPr>
        <w:spacing w:line="584" w:lineRule="exact"/>
        <w:ind w:firstLine="660"/>
        <w:rPr>
          <w:rFonts w:ascii="Times New Roman" w:hAnsi="Times New Roman" w:eastAsia="仿宋_GB2312" w:cs="Times New Roman"/>
          <w:color w:val="FF0000"/>
          <w:sz w:val="32"/>
          <w:szCs w:val="32"/>
        </w:rPr>
      </w:pPr>
      <w:r>
        <w:rPr>
          <w:rFonts w:hint="eastAsia" w:ascii="仿宋_GB2312" w:eastAsia="仿宋_GB2312"/>
          <w:color w:val="000000"/>
          <w:sz w:val="32"/>
          <w:szCs w:val="32"/>
        </w:rPr>
        <w:t>正确贯彻执行党和国家的教育方针、政策、法规，</w:t>
      </w:r>
      <w:r>
        <w:rPr>
          <w:rFonts w:hint="eastAsia" w:ascii="仿宋_GB2312" w:eastAsia="仿宋_GB2312" w:cs="Courier New"/>
          <w:color w:val="000000"/>
          <w:sz w:val="32"/>
          <w:szCs w:val="32"/>
        </w:rPr>
        <w:t>维护学校的教学秩序，为学生创造良好的学习环境，积极稳妥地推进教育改革，按教育规律办事，不断提高教育质量，建立健全各项规章制度和岗位责任制。坚持教书育人，服务育人，环境育人方针，加强对学生的思想品德教育，使学生的德智体全面发展。抓好教师队伍建设，使每个教师都热心于教育事业，</w:t>
      </w:r>
      <w:r>
        <w:rPr>
          <w:rFonts w:hint="eastAsia" w:ascii="仿宋_GB2312" w:eastAsia="仿宋_GB2312"/>
          <w:color w:val="000000"/>
          <w:sz w:val="32"/>
          <w:szCs w:val="32"/>
        </w:rPr>
        <w:t>做好安全防范，保证学生的</w:t>
      </w:r>
      <w:r>
        <w:rPr>
          <w:rFonts w:hint="eastAsia" w:ascii="仿宋_GB2312" w:eastAsia="仿宋_GB2312"/>
          <w:color w:val="000000"/>
          <w:sz w:val="32"/>
          <w:szCs w:val="32"/>
          <w:lang w:eastAsia="zh-CN"/>
        </w:rPr>
        <w:t>人身安全</w:t>
      </w:r>
      <w:r>
        <w:rPr>
          <w:rFonts w:hint="eastAsia" w:ascii="仿宋_GB2312" w:eastAsia="仿宋_GB2312"/>
          <w:color w:val="000000"/>
          <w:sz w:val="32"/>
          <w:szCs w:val="32"/>
        </w:rPr>
        <w:t>。</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8"/>
        <w:tblW w:w="99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02"/>
        <w:gridCol w:w="319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02"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319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tc>
        <w:tc>
          <w:tcPr>
            <w:tcW w:w="1134" w:type="dxa"/>
            <w:vMerge w:val="continue"/>
            <w:shd w:val="clear" w:color="auto" w:fill="auto"/>
            <w:vAlign w:val="center"/>
          </w:tcPr>
          <w:p/>
        </w:tc>
        <w:tc>
          <w:tcPr>
            <w:tcW w:w="1202" w:type="dxa"/>
            <w:vMerge w:val="continue"/>
            <w:shd w:val="clear" w:color="auto" w:fill="auto"/>
            <w:vAlign w:val="center"/>
          </w:tcPr>
          <w:p/>
        </w:tc>
        <w:tc>
          <w:tcPr>
            <w:tcW w:w="3193"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ascii="Times New Roman" w:hAnsi="Times New Roman" w:eastAsia="仿宋_GB2312" w:cs="Times New Roman"/>
                <w:bCs/>
              </w:rPr>
            </w:pPr>
            <w:r>
              <w:rPr>
                <w:rFonts w:ascii="Times New Roman" w:hAnsi="Times New Roman" w:eastAsia="仿宋_GB2312" w:cs="Times New Roman"/>
                <w:bCs/>
              </w:rPr>
              <w:t>廊坊市第</w:t>
            </w:r>
            <w:r>
              <w:rPr>
                <w:rFonts w:hint="eastAsia" w:ascii="Times New Roman" w:hAnsi="Times New Roman" w:eastAsia="仿宋_GB2312" w:cs="Times New Roman"/>
                <w:bCs/>
              </w:rPr>
              <w:t>八小</w:t>
            </w:r>
            <w:r>
              <w:rPr>
                <w:rFonts w:ascii="Times New Roman" w:hAnsi="Times New Roman" w:eastAsia="仿宋_GB2312" w:cs="Times New Roman"/>
                <w:bCs/>
              </w:rPr>
              <w:t>学</w:t>
            </w:r>
          </w:p>
        </w:tc>
        <w:tc>
          <w:tcPr>
            <w:tcW w:w="1134" w:type="dxa"/>
            <w:shd w:val="clear" w:color="auto" w:fill="auto"/>
            <w:vAlign w:val="center"/>
          </w:tcPr>
          <w:p>
            <w:pPr>
              <w:spacing w:line="584" w:lineRule="exact"/>
              <w:jc w:val="center"/>
              <w:rPr>
                <w:rFonts w:ascii="Times New Roman" w:hAnsi="Times New Roman" w:eastAsia="仿宋_GB2312" w:cs="Times New Roman"/>
                <w:bCs/>
              </w:rPr>
            </w:pPr>
            <w:r>
              <w:rPr>
                <w:rFonts w:hint="eastAsia" w:ascii="仿宋_GB2312" w:hAnsi="Times New Roman" w:eastAsia="仿宋_GB2312" w:cs="Times New Roman"/>
                <w:bCs/>
                <w:szCs w:val="21"/>
              </w:rPr>
              <w:t>全额</w:t>
            </w:r>
            <w:r>
              <w:rPr>
                <w:rFonts w:ascii="Times New Roman" w:hAnsi="Times New Roman" w:eastAsia="仿宋_GB2312" w:cs="Times New Roman"/>
                <w:bCs/>
              </w:rPr>
              <w:t>事业</w:t>
            </w:r>
          </w:p>
        </w:tc>
        <w:tc>
          <w:tcPr>
            <w:tcW w:w="1202" w:type="dxa"/>
            <w:shd w:val="clear" w:color="auto" w:fill="auto"/>
            <w:vAlign w:val="center"/>
          </w:tcPr>
          <w:p>
            <w:pPr>
              <w:spacing w:line="584" w:lineRule="exact"/>
              <w:rPr>
                <w:rFonts w:ascii="Times New Roman" w:hAnsi="Times New Roman" w:eastAsia="仿宋_GB2312" w:cs="Times New Roman"/>
                <w:bCs/>
              </w:rPr>
            </w:pPr>
            <w:r>
              <w:rPr>
                <w:rFonts w:hint="eastAsia" w:ascii="Times New Roman" w:hAnsi="Times New Roman" w:eastAsia="仿宋_GB2312" w:cs="Times New Roman"/>
                <w:bCs/>
              </w:rPr>
              <w:t>股级</w:t>
            </w:r>
          </w:p>
        </w:tc>
        <w:tc>
          <w:tcPr>
            <w:tcW w:w="3193" w:type="dxa"/>
            <w:shd w:val="clear" w:color="auto" w:fill="auto"/>
            <w:vAlign w:val="center"/>
          </w:tcPr>
          <w:p>
            <w:pPr>
              <w:spacing w:line="584" w:lineRule="exact"/>
              <w:jc w:val="center"/>
              <w:rPr>
                <w:rFonts w:ascii="仿宋_GB2312" w:hAnsi="Times New Roman" w:eastAsia="仿宋_GB2312" w:cs="Times New Roman"/>
                <w:bCs/>
                <w:szCs w:val="21"/>
              </w:rPr>
            </w:pPr>
            <w:r>
              <w:rPr>
                <w:rFonts w:hint="eastAsia" w:ascii="仿宋_GB2312" w:hAnsi="Times New Roman" w:eastAsia="仿宋_GB2312" w:cs="Times New Roman"/>
                <w:bCs/>
                <w:szCs w:val="21"/>
              </w:rPr>
              <w:t>财政性资金基本保证</w:t>
            </w:r>
          </w:p>
        </w:tc>
      </w:tr>
    </w:tbl>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二、部门预算安排的总体情况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部门预算的编制实行综合预算制度，即全部收入和支出都反映在预算中。廊坊市第</w:t>
      </w:r>
      <w:r>
        <w:rPr>
          <w:rFonts w:hint="eastAsia" w:ascii="Times New Roman" w:hAnsi="Times New Roman" w:eastAsia="仿宋_GB2312" w:cs="Times New Roman"/>
          <w:sz w:val="32"/>
          <w:szCs w:val="32"/>
        </w:rPr>
        <w:t>八小</w:t>
      </w:r>
      <w:r>
        <w:rPr>
          <w:rFonts w:ascii="Times New Roman" w:hAnsi="Times New Roman" w:eastAsia="仿宋_GB2312" w:cs="Times New Roman"/>
          <w:sz w:val="32"/>
          <w:szCs w:val="32"/>
        </w:rPr>
        <w:t>学的收支包含在部门预算中。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反映本部门当年全部收入。20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年预算收入1325.56万元，其中：一般公共预算收入1325.56万元，基金预算收入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w:t>
      </w:r>
      <w:r>
        <w:rPr>
          <w:rFonts w:hint="eastAsia" w:ascii="Times New Roman" w:hAnsi="Times New Roman" w:eastAsia="仿宋_GB2312" w:cs="Times New Roman"/>
          <w:sz w:val="32"/>
          <w:szCs w:val="32"/>
        </w:rPr>
        <w:t>0万元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rPr>
        <w:t>第八小学2021</w:t>
      </w:r>
      <w:r>
        <w:rPr>
          <w:rFonts w:ascii="Times New Roman" w:hAnsi="Times New Roman" w:eastAsia="仿宋_GB2312" w:cs="Times New Roman"/>
          <w:sz w:val="32"/>
          <w:szCs w:val="32"/>
        </w:rPr>
        <w:t>年度部门预算中支出预算的总体情况。20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年支出预算</w:t>
      </w: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325.56万元，其中基本支出1111.64万元，包括人员类项目经费1097.86万元和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公用项目经费13.78万元；运转类其他及特定目标类项目支出213.92万元。</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 xml:space="preserve"> 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年预算收支安排1325.56万元，较20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年预算增加182.15万元，其中：基本支出</w:t>
      </w:r>
      <w:r>
        <w:rPr>
          <w:rFonts w:hint="eastAsia" w:ascii="Times New Roman" w:hAnsi="Times New Roman" w:eastAsia="仿宋_GB2312" w:cs="Times New Roman"/>
          <w:sz w:val="32"/>
          <w:szCs w:val="32"/>
        </w:rPr>
        <w:t>减少1</w:t>
      </w:r>
      <w:r>
        <w:rPr>
          <w:rFonts w:ascii="Times New Roman" w:hAnsi="Times New Roman" w:eastAsia="仿宋_GB2312" w:cs="Times New Roman"/>
          <w:sz w:val="32"/>
          <w:szCs w:val="32"/>
        </w:rPr>
        <w:t>3.49万元，主要为人员支出；项目支出增加195.64万元，主要为生均公用经费项目支出。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autoSpaceDE w:val="0"/>
        <w:autoSpaceDN w:val="0"/>
        <w:adjustRightInd w:val="0"/>
        <w:spacing w:line="584"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年，我单位</w:t>
      </w:r>
      <w:r>
        <w:rPr>
          <w:rFonts w:hint="eastAsia" w:ascii="Times New Roman" w:hAnsi="Times New Roman" w:eastAsia="仿宋_GB2312" w:cs="Times New Roman"/>
          <w:sz w:val="32"/>
          <w:szCs w:val="32"/>
        </w:rPr>
        <w:t>机</w:t>
      </w:r>
      <w:r>
        <w:rPr>
          <w:rFonts w:ascii="Times New Roman" w:hAnsi="Times New Roman" w:eastAsia="仿宋_GB2312" w:cs="Times New Roman"/>
          <w:sz w:val="32"/>
          <w:szCs w:val="32"/>
        </w:rPr>
        <w:t>关运行经费共计安排</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p>
    <w:p>
      <w:pPr>
        <w:autoSpaceDE w:val="0"/>
        <w:autoSpaceDN w:val="0"/>
        <w:adjustRightInd w:val="0"/>
        <w:spacing w:line="584" w:lineRule="exact"/>
        <w:ind w:firstLine="640" w:firstLineChars="200"/>
        <w:jc w:val="left"/>
        <w:rPr>
          <w:rFonts w:ascii="黑体" w:hAnsi="黑体" w:eastAsia="黑体" w:cs="黑体"/>
          <w:bCs/>
          <w:sz w:val="32"/>
          <w:szCs w:val="32"/>
        </w:rPr>
      </w:pPr>
      <w:r>
        <w:rPr>
          <w:rFonts w:hint="eastAsia" w:ascii="黑体" w:hAnsi="黑体" w:eastAsia="黑体" w:cs="黑体"/>
          <w:bCs/>
          <w:sz w:val="32"/>
          <w:szCs w:val="32"/>
        </w:rPr>
        <w:t>四、财政拨款“三公”经费预算情况及增减变化原因</w:t>
      </w:r>
    </w:p>
    <w:p>
      <w:pPr>
        <w:autoSpaceDE w:val="0"/>
        <w:autoSpaceDN w:val="0"/>
        <w:adjustRightInd w:val="0"/>
        <w:spacing w:line="584"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年，我局财政拨款“三公”经费预算安排</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与2020年相比持平，无增减变化。</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五、绩效预算信息</w:t>
      </w: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第一部分 部门整体绩效目标</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（一）总体绩效目标</w:t>
      </w:r>
    </w:p>
    <w:p>
      <w:pPr>
        <w:widowControl/>
        <w:shd w:val="clear" w:color="auto" w:fill="FFFFFF"/>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廊坊市第八小学坚持</w:t>
      </w:r>
      <w:r>
        <w:rPr>
          <w:rFonts w:hint="eastAsia" w:ascii="仿宋_GB2312" w:eastAsia="仿宋_GB2312" w:hAnsiTheme="majorEastAsia"/>
          <w:color w:val="000000"/>
          <w:sz w:val="32"/>
          <w:szCs w:val="32"/>
        </w:rPr>
        <w:t>执行党和国家的教育方针、政策、法规，</w:t>
      </w:r>
      <w:r>
        <w:rPr>
          <w:rFonts w:hint="eastAsia" w:ascii="仿宋_GB2312" w:eastAsia="仿宋_GB2312" w:cs="Courier New" w:hAnsiTheme="majorEastAsia"/>
          <w:color w:val="000000"/>
          <w:sz w:val="32"/>
          <w:szCs w:val="32"/>
        </w:rPr>
        <w:t>维护学校的教学秩序，为学生创造良好的学习环境，积极稳妥地推进教育改革，按教育规律办事，不断提高教育质量，建立健全各项规章制度和岗位责任制。坚持教书育人，服务育人，环境育人方针，加强对学生的思想品德教育，使学生的德智体全面发展。抓好教师队伍建设，使每个教师都热心于教育事业，</w:t>
      </w:r>
      <w:r>
        <w:rPr>
          <w:rFonts w:hint="eastAsia" w:ascii="仿宋_GB2312" w:eastAsia="仿宋_GB2312" w:hAnsiTheme="majorEastAsia"/>
          <w:color w:val="000000"/>
          <w:sz w:val="32"/>
          <w:szCs w:val="32"/>
        </w:rPr>
        <w:t>做好安全防范，保证学生的人身安全。</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（二）分项绩效目标</w:t>
      </w:r>
    </w:p>
    <w:p>
      <w:pPr>
        <w:ind w:firstLine="600" w:firstLineChars="200"/>
        <w:rPr>
          <w:rFonts w:ascii="仿宋_GB2312" w:hAnsi="仿宋" w:eastAsia="仿宋_GB2312"/>
          <w:b/>
          <w:sz w:val="30"/>
          <w:szCs w:val="30"/>
        </w:rPr>
      </w:pPr>
      <w:r>
        <w:rPr>
          <w:rFonts w:hint="eastAsia" w:ascii="仿宋_GB2312" w:hAnsi="仿宋" w:eastAsia="仿宋_GB2312" w:cs="宋体"/>
          <w:bCs/>
          <w:sz w:val="30"/>
          <w:szCs w:val="30"/>
        </w:rPr>
        <w:t>目标1:教育教学绩效</w:t>
      </w:r>
    </w:p>
    <w:p>
      <w:pPr>
        <w:ind w:right="520" w:firstLine="640" w:firstLineChars="200"/>
        <w:rPr>
          <w:rFonts w:ascii="仿宋_GB2312" w:hAnsi="仿宋" w:eastAsia="仿宋_GB2312" w:cs="宋体"/>
          <w:sz w:val="32"/>
          <w:szCs w:val="32"/>
        </w:rPr>
      </w:pPr>
      <w:r>
        <w:rPr>
          <w:rFonts w:hint="eastAsia" w:ascii="仿宋_GB2312" w:hAnsi="仿宋" w:eastAsia="仿宋_GB2312" w:cs="宋体"/>
          <w:sz w:val="32"/>
          <w:szCs w:val="32"/>
        </w:rPr>
        <w:t>按质按量完成教育教学方面的各项任务，稳步提升学校的教育教学质量，学生综合素质评价优秀率达到85%,合格率达到100%。</w:t>
      </w:r>
    </w:p>
    <w:p>
      <w:pPr>
        <w:ind w:firstLine="600" w:firstLineChars="200"/>
        <w:rPr>
          <w:rFonts w:ascii="仿宋_GB2312" w:hAnsi="仿宋" w:eastAsia="仿宋_GB2312" w:cs="宋体"/>
          <w:bCs/>
          <w:sz w:val="30"/>
          <w:szCs w:val="30"/>
        </w:rPr>
      </w:pPr>
      <w:r>
        <w:rPr>
          <w:rFonts w:hint="eastAsia" w:ascii="仿宋_GB2312" w:hAnsi="仿宋" w:eastAsia="仿宋_GB2312" w:cs="宋体"/>
          <w:bCs/>
          <w:sz w:val="30"/>
          <w:szCs w:val="30"/>
        </w:rPr>
        <w:t>目标2:培养高素质的教师队伍</w:t>
      </w:r>
    </w:p>
    <w:p>
      <w:pPr>
        <w:ind w:firstLine="640" w:firstLineChars="200"/>
        <w:rPr>
          <w:rFonts w:ascii="仿宋_GB2312" w:hAnsi="仿宋" w:eastAsia="仿宋_GB2312" w:cs="宋体"/>
          <w:sz w:val="32"/>
          <w:szCs w:val="32"/>
        </w:rPr>
      </w:pPr>
      <w:r>
        <w:rPr>
          <w:rFonts w:hint="eastAsia" w:ascii="仿宋_GB2312" w:hAnsi="仿宋" w:eastAsia="仿宋_GB2312" w:cs="宋体"/>
          <w:sz w:val="32"/>
          <w:szCs w:val="32"/>
        </w:rPr>
        <w:t>开展制度化的教硏组活动,培训学习活动,青年教师比赛课,网络继续教育培训等各类活动,确保年度教师队伍培训率达到100%,有效促进教师教育教学水平的提升。</w:t>
      </w:r>
    </w:p>
    <w:p>
      <w:pPr>
        <w:ind w:firstLine="600" w:firstLineChars="200"/>
        <w:rPr>
          <w:rFonts w:ascii="仿宋_GB2312" w:hAnsi="仿宋" w:eastAsia="仿宋_GB2312"/>
          <w:b/>
          <w:sz w:val="30"/>
          <w:szCs w:val="30"/>
        </w:rPr>
      </w:pPr>
      <w:r>
        <w:rPr>
          <w:rFonts w:hint="eastAsia" w:ascii="仿宋_GB2312" w:hAnsi="仿宋" w:eastAsia="仿宋_GB2312" w:cs="宋体"/>
          <w:bCs/>
          <w:sz w:val="30"/>
          <w:szCs w:val="30"/>
        </w:rPr>
        <w:t>目标3:学校办学条件的发展建设</w:t>
      </w:r>
    </w:p>
    <w:p>
      <w:pPr>
        <w:ind w:firstLine="640" w:firstLineChars="200"/>
        <w:rPr>
          <w:rFonts w:ascii="仿宋_GB2312" w:hAnsi="仿宋" w:eastAsia="仿宋_GB2312"/>
          <w:sz w:val="32"/>
          <w:szCs w:val="32"/>
        </w:rPr>
      </w:pPr>
      <w:r>
        <w:rPr>
          <w:rFonts w:hint="eastAsia" w:ascii="仿宋_GB2312" w:hAnsi="仿宋" w:eastAsia="仿宋_GB2312" w:cs="宋体"/>
          <w:sz w:val="32"/>
          <w:szCs w:val="32"/>
        </w:rPr>
        <w:t>不断改善办学条件。提升学校基础设施设备的整体水平。加强学校基础设施设备的维护,确保校园安全,落实校园防火及其他安全隐患的预防工作。确保校园各设施设备的正常运行。</w:t>
      </w:r>
    </w:p>
    <w:p>
      <w:pPr>
        <w:ind w:firstLine="600" w:firstLineChars="200"/>
        <w:rPr>
          <w:rFonts w:ascii="仿宋_GB2312" w:hAnsi="仿宋" w:eastAsia="仿宋_GB2312"/>
          <w:b/>
          <w:sz w:val="30"/>
          <w:szCs w:val="30"/>
        </w:rPr>
      </w:pPr>
      <w:r>
        <w:rPr>
          <w:rFonts w:hint="eastAsia" w:ascii="仿宋_GB2312" w:hAnsi="仿宋" w:eastAsia="仿宋_GB2312" w:cs="宋体"/>
          <w:bCs/>
          <w:sz w:val="30"/>
          <w:szCs w:val="30"/>
        </w:rPr>
        <w:t>目标4:推动学校文化建设工作</w:t>
      </w:r>
    </w:p>
    <w:p>
      <w:pPr>
        <w:ind w:firstLine="640" w:firstLineChars="200"/>
        <w:rPr>
          <w:rFonts w:ascii="仿宋_GB2312" w:hAnsi="仿宋" w:eastAsia="仿宋_GB2312"/>
          <w:sz w:val="32"/>
          <w:szCs w:val="32"/>
        </w:rPr>
      </w:pPr>
      <w:r>
        <w:rPr>
          <w:rFonts w:hint="eastAsia" w:ascii="仿宋_GB2312" w:hAnsi="仿宋" w:eastAsia="仿宋_GB2312" w:cs="宋体"/>
          <w:sz w:val="32"/>
          <w:szCs w:val="32"/>
        </w:rPr>
        <w:t>继续学校的文化宣传整体布局,建成学校校史馆,完成各班级、各科室及教师办公室的文化宣传布置。加大学校办学理念、目标的宣传,形成具有特色的校园文化氛围。</w:t>
      </w:r>
    </w:p>
    <w:p>
      <w:pPr>
        <w:spacing w:line="584" w:lineRule="exact"/>
        <w:ind w:firstLine="600" w:firstLineChars="200"/>
        <w:rPr>
          <w:rFonts w:ascii="仿宋_GB2312" w:hAnsi="仿宋" w:eastAsia="仿宋_GB2312" w:cs="宋体"/>
          <w:sz w:val="30"/>
          <w:szCs w:val="30"/>
        </w:rPr>
      </w:pPr>
      <w:r>
        <w:rPr>
          <w:rFonts w:hint="eastAsia" w:ascii="仿宋_GB2312" w:hAnsi="仿宋" w:eastAsia="仿宋_GB2312" w:cs="宋体"/>
          <w:bCs/>
          <w:sz w:val="30"/>
          <w:szCs w:val="30"/>
        </w:rPr>
        <w:t>目标5:办满意的学校</w:t>
      </w:r>
    </w:p>
    <w:p>
      <w:pPr>
        <w:spacing w:line="584"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教师、学生、家长整体满意度达到90%以上。</w:t>
      </w:r>
    </w:p>
    <w:p>
      <w:pPr>
        <w:overflowPunct w:val="0"/>
        <w:adjustRightInd w:val="0"/>
        <w:snapToGrid w:val="0"/>
        <w:spacing w:line="580" w:lineRule="exact"/>
        <w:ind w:left="629"/>
        <w:jc w:val="left"/>
        <w:rPr>
          <w:rFonts w:ascii="楷体_GB2312" w:eastAsia="楷体_GB2312" w:cs="Times New Roman"/>
          <w:b/>
          <w:color w:val="000000" w:themeColor="text1"/>
          <w:sz w:val="32"/>
          <w:szCs w:val="32"/>
          <w14:textFill>
            <w14:solidFill>
              <w14:schemeClr w14:val="tx1"/>
            </w14:solidFill>
          </w14:textFill>
        </w:rPr>
      </w:pPr>
      <w:r>
        <w:rPr>
          <w:rFonts w:hint="eastAsia" w:ascii="楷体_GB2312" w:eastAsia="楷体_GB2312" w:cs="Times New Roman"/>
          <w:b/>
          <w:color w:val="000000" w:themeColor="text1"/>
          <w:sz w:val="32"/>
          <w:szCs w:val="32"/>
          <w14:textFill>
            <w14:solidFill>
              <w14:schemeClr w14:val="tx1"/>
            </w14:solidFill>
          </w14:textFill>
        </w:rPr>
        <w:t>（三）工作保障措施</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为保障学校工作顺利推进，学校制定以下各项工作措施予以保障。</w:t>
      </w:r>
    </w:p>
    <w:p>
      <w:pPr>
        <w:pStyle w:val="13"/>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1、组织保障</w:t>
      </w:r>
    </w:p>
    <w:p>
      <w:pPr>
        <w:pStyle w:val="13"/>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成立廊坊市第八小学领导小组，领导小组由校长和教导处、总务处相关成员组成，负责制定学校发展和教育工作方案、规章制度和标准，组织实施学校统筹系统建设，确保学校教育建设工作顺利推进和正常运行。</w:t>
      </w:r>
    </w:p>
    <w:p>
      <w:pPr>
        <w:pStyle w:val="13"/>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2、机制保障</w:t>
      </w:r>
    </w:p>
    <w:p>
      <w:pPr>
        <w:pStyle w:val="13"/>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建立完善学校教育资源，统筹资源配置，确保教育的可持续发展。</w:t>
      </w:r>
    </w:p>
    <w:p>
      <w:pPr>
        <w:pStyle w:val="13"/>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3、安全保障</w:t>
      </w:r>
    </w:p>
    <w:p>
      <w:pPr>
        <w:pStyle w:val="13"/>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严格执行国家、省、市安全相关法规、政策。制定学校的安全规章制度和技术保障措施。</w:t>
      </w:r>
    </w:p>
    <w:p>
      <w:pPr>
        <w:pStyle w:val="13"/>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4、经费保障</w:t>
      </w:r>
    </w:p>
    <w:p>
      <w:pPr>
        <w:pStyle w:val="13"/>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落实教育建设所需经费。学校每年安排专项资金，作为学校教育教学设备增添、更新和维护，以及教师培训、系统建设及设备维修维护等方面的需要，确保应用工作协调发展，努力提高资金投入的效益。加强专项经费使用的监管和公开透明，确保公开廉洁。</w:t>
      </w:r>
    </w:p>
    <w:p>
      <w:pPr>
        <w:overflowPunct w:val="0"/>
        <w:adjustRightInd w:val="0"/>
        <w:snapToGrid w:val="0"/>
        <w:spacing w:afterLines="50" w:line="580" w:lineRule="exact"/>
        <w:ind w:firstLine="643" w:firstLineChars="200"/>
        <w:jc w:val="left"/>
        <w:rPr>
          <w:rFonts w:ascii="楷体_GB2312" w:eastAsia="楷体_GB2312" w:cs="Times New Roman"/>
          <w:b/>
          <w:sz w:val="32"/>
          <w:szCs w:val="32"/>
        </w:rPr>
      </w:pPr>
      <w:r>
        <w:rPr>
          <w:rFonts w:hint="eastAsia" w:ascii="楷体_GB2312" w:eastAsia="楷体_GB2312" w:cs="Times New Roman"/>
          <w:b/>
          <w:sz w:val="32"/>
          <w:szCs w:val="32"/>
        </w:rPr>
        <w:t>（四）部门整体支出绩效指标</w:t>
      </w:r>
    </w:p>
    <w:tbl>
      <w:tblPr>
        <w:tblStyle w:val="8"/>
        <w:tblW w:w="8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558"/>
        <w:gridCol w:w="825"/>
        <w:gridCol w:w="1566"/>
        <w:gridCol w:w="1503"/>
        <w:gridCol w:w="1190"/>
        <w:gridCol w:w="543"/>
        <w:gridCol w:w="488"/>
        <w:gridCol w:w="573"/>
        <w:gridCol w:w="1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6" w:hRule="atLeast"/>
          <w:tblHeader/>
          <w:jc w:val="center"/>
        </w:trPr>
        <w:tc>
          <w:tcPr>
            <w:tcW w:w="558" w:type="dxa"/>
            <w:vMerge w:val="restart"/>
            <w:tcBorders>
              <w:tl2br w:val="nil"/>
              <w:tr2bl w:val="nil"/>
            </w:tcBorders>
            <w:vAlign w:val="center"/>
          </w:tcPr>
          <w:p>
            <w:pPr>
              <w:widowControl/>
              <w:adjustRightInd w:val="0"/>
              <w:snapToGrid w:val="0"/>
              <w:jc w:val="center"/>
              <w:rPr>
                <w:rFonts w:ascii="黑体" w:hAnsi="黑体" w:eastAsia="黑体" w:cs="黑体"/>
                <w:bCs/>
              </w:rPr>
            </w:pPr>
            <w:r>
              <w:rPr>
                <w:rFonts w:hint="eastAsia" w:ascii="黑体" w:hAnsi="黑体" w:eastAsia="黑体" w:cs="黑体"/>
                <w:bCs/>
              </w:rPr>
              <w:t>一级指标</w:t>
            </w:r>
          </w:p>
        </w:tc>
        <w:tc>
          <w:tcPr>
            <w:tcW w:w="825" w:type="dxa"/>
            <w:vMerge w:val="restart"/>
            <w:tcBorders>
              <w:tl2br w:val="nil"/>
              <w:tr2bl w:val="nil"/>
            </w:tcBorders>
            <w:vAlign w:val="center"/>
          </w:tcPr>
          <w:p>
            <w:pPr>
              <w:widowControl/>
              <w:adjustRightInd w:val="0"/>
              <w:snapToGrid w:val="0"/>
              <w:jc w:val="center"/>
              <w:rPr>
                <w:rFonts w:ascii="黑体" w:hAnsi="黑体" w:eastAsia="黑体" w:cs="黑体"/>
                <w:bCs/>
              </w:rPr>
            </w:pPr>
            <w:r>
              <w:rPr>
                <w:rFonts w:hint="eastAsia" w:ascii="黑体" w:hAnsi="黑体" w:eastAsia="黑体" w:cs="黑体"/>
                <w:bCs/>
              </w:rPr>
              <w:t>二级</w:t>
            </w:r>
          </w:p>
          <w:p>
            <w:pPr>
              <w:widowControl/>
              <w:adjustRightInd w:val="0"/>
              <w:snapToGrid w:val="0"/>
              <w:jc w:val="center"/>
              <w:rPr>
                <w:rFonts w:ascii="黑体" w:hAnsi="黑体" w:eastAsia="黑体" w:cs="黑体"/>
                <w:bCs/>
              </w:rPr>
            </w:pPr>
            <w:r>
              <w:rPr>
                <w:rFonts w:hint="eastAsia" w:ascii="黑体" w:hAnsi="黑体" w:eastAsia="黑体" w:cs="黑体"/>
                <w:bCs/>
              </w:rPr>
              <w:t>指标</w:t>
            </w:r>
          </w:p>
        </w:tc>
        <w:tc>
          <w:tcPr>
            <w:tcW w:w="1566" w:type="dxa"/>
            <w:vMerge w:val="restart"/>
            <w:tcBorders>
              <w:tl2br w:val="nil"/>
              <w:tr2bl w:val="nil"/>
            </w:tcBorders>
            <w:vAlign w:val="center"/>
          </w:tcPr>
          <w:p>
            <w:pPr>
              <w:widowControl/>
              <w:adjustRightInd w:val="0"/>
              <w:snapToGrid w:val="0"/>
              <w:jc w:val="center"/>
              <w:rPr>
                <w:rFonts w:ascii="黑体" w:hAnsi="黑体" w:eastAsia="黑体" w:cs="黑体"/>
                <w:bCs/>
              </w:rPr>
            </w:pPr>
            <w:r>
              <w:rPr>
                <w:rFonts w:hint="eastAsia" w:ascii="黑体" w:hAnsi="黑体" w:eastAsia="黑体" w:cs="黑体"/>
                <w:bCs/>
              </w:rPr>
              <w:t>三级</w:t>
            </w:r>
          </w:p>
          <w:p>
            <w:pPr>
              <w:widowControl/>
              <w:adjustRightInd w:val="0"/>
              <w:snapToGrid w:val="0"/>
              <w:jc w:val="center"/>
              <w:rPr>
                <w:rFonts w:ascii="黑体" w:hAnsi="黑体" w:eastAsia="黑体" w:cs="黑体"/>
                <w:bCs/>
              </w:rPr>
            </w:pPr>
            <w:r>
              <w:rPr>
                <w:rFonts w:hint="eastAsia" w:ascii="黑体" w:hAnsi="黑体" w:eastAsia="黑体" w:cs="黑体"/>
                <w:bCs/>
              </w:rPr>
              <w:t>指标</w:t>
            </w:r>
          </w:p>
        </w:tc>
        <w:tc>
          <w:tcPr>
            <w:tcW w:w="1503" w:type="dxa"/>
            <w:vMerge w:val="restart"/>
            <w:tcBorders>
              <w:tl2br w:val="nil"/>
              <w:tr2bl w:val="nil"/>
            </w:tcBorders>
            <w:vAlign w:val="center"/>
          </w:tcPr>
          <w:p>
            <w:pPr>
              <w:widowControl/>
              <w:adjustRightInd w:val="0"/>
              <w:snapToGrid w:val="0"/>
              <w:jc w:val="center"/>
              <w:rPr>
                <w:rFonts w:ascii="黑体" w:hAnsi="黑体" w:eastAsia="黑体" w:cs="黑体"/>
                <w:bCs/>
              </w:rPr>
            </w:pPr>
            <w:r>
              <w:rPr>
                <w:rFonts w:hint="eastAsia" w:ascii="黑体" w:hAnsi="黑体" w:eastAsia="黑体" w:cs="黑体"/>
                <w:bCs/>
              </w:rPr>
              <w:t>评（扣）分标准</w:t>
            </w:r>
          </w:p>
        </w:tc>
        <w:tc>
          <w:tcPr>
            <w:tcW w:w="1190" w:type="dxa"/>
            <w:vMerge w:val="restart"/>
            <w:tcBorders>
              <w:tl2br w:val="nil"/>
              <w:tr2bl w:val="nil"/>
            </w:tcBorders>
            <w:vAlign w:val="center"/>
          </w:tcPr>
          <w:p>
            <w:pPr>
              <w:widowControl/>
              <w:adjustRightInd w:val="0"/>
              <w:snapToGrid w:val="0"/>
              <w:jc w:val="center"/>
              <w:rPr>
                <w:rFonts w:ascii="黑体" w:hAnsi="黑体" w:eastAsia="黑体" w:cs="黑体"/>
                <w:bCs/>
              </w:rPr>
            </w:pPr>
            <w:r>
              <w:rPr>
                <w:rFonts w:hint="eastAsia" w:ascii="黑体" w:hAnsi="黑体" w:eastAsia="黑体" w:cs="黑体"/>
                <w:bCs/>
              </w:rPr>
              <w:t>绩效指标</w:t>
            </w:r>
          </w:p>
          <w:p>
            <w:pPr>
              <w:widowControl/>
              <w:adjustRightInd w:val="0"/>
              <w:snapToGrid w:val="0"/>
              <w:jc w:val="center"/>
              <w:rPr>
                <w:rFonts w:ascii="黑体" w:hAnsi="黑体" w:eastAsia="黑体" w:cs="黑体"/>
                <w:bCs/>
              </w:rPr>
            </w:pPr>
            <w:r>
              <w:rPr>
                <w:rFonts w:hint="eastAsia" w:ascii="黑体" w:hAnsi="黑体" w:eastAsia="黑体" w:cs="黑体"/>
                <w:bCs/>
              </w:rPr>
              <w:t>描述</w:t>
            </w:r>
          </w:p>
        </w:tc>
        <w:tc>
          <w:tcPr>
            <w:tcW w:w="1604" w:type="dxa"/>
            <w:gridSpan w:val="3"/>
            <w:tcBorders>
              <w:tl2br w:val="nil"/>
              <w:tr2bl w:val="nil"/>
            </w:tcBorders>
            <w:vAlign w:val="center"/>
          </w:tcPr>
          <w:p>
            <w:pPr>
              <w:widowControl/>
              <w:adjustRightInd w:val="0"/>
              <w:snapToGrid w:val="0"/>
              <w:jc w:val="center"/>
              <w:rPr>
                <w:rFonts w:ascii="黑体" w:hAnsi="黑体" w:eastAsia="黑体" w:cs="黑体"/>
                <w:bCs/>
              </w:rPr>
            </w:pPr>
            <w:r>
              <w:rPr>
                <w:rFonts w:hint="eastAsia" w:ascii="黑体" w:hAnsi="黑体" w:eastAsia="黑体" w:cs="黑体"/>
                <w:bCs/>
              </w:rPr>
              <w:t>指标值</w:t>
            </w:r>
          </w:p>
        </w:tc>
        <w:tc>
          <w:tcPr>
            <w:tcW w:w="1277" w:type="dxa"/>
            <w:vMerge w:val="restart"/>
            <w:tcBorders>
              <w:tl2br w:val="nil"/>
              <w:tr2bl w:val="nil"/>
            </w:tcBorders>
            <w:vAlign w:val="center"/>
          </w:tcPr>
          <w:p>
            <w:pPr>
              <w:widowControl/>
              <w:adjustRightInd w:val="0"/>
              <w:snapToGrid w:val="0"/>
              <w:jc w:val="center"/>
              <w:rPr>
                <w:rFonts w:ascii="黑体" w:hAnsi="黑体" w:eastAsia="黑体" w:cs="黑体"/>
                <w:bCs/>
              </w:rPr>
            </w:pPr>
            <w:r>
              <w:rPr>
                <w:rFonts w:hint="eastAsia" w:ascii="黑体" w:hAnsi="黑体" w:eastAsia="黑体" w:cs="黑体"/>
                <w:bCs/>
              </w:rPr>
              <w:t>指标值</w:t>
            </w:r>
          </w:p>
          <w:p>
            <w:pPr>
              <w:widowControl/>
              <w:adjustRightInd w:val="0"/>
              <w:snapToGrid w:val="0"/>
              <w:jc w:val="center"/>
              <w:rPr>
                <w:rFonts w:ascii="黑体" w:hAnsi="黑体" w:eastAsia="黑体" w:cs="黑体"/>
                <w:bCs/>
              </w:rPr>
            </w:pPr>
            <w:r>
              <w:rPr>
                <w:rFonts w:hint="eastAsia" w:ascii="黑体" w:hAnsi="黑体" w:eastAsia="黑体" w:cs="黑体"/>
                <w:bCs/>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33" w:hRule="atLeast"/>
          <w:tblHeader/>
          <w:jc w:val="center"/>
        </w:trPr>
        <w:tc>
          <w:tcPr>
            <w:tcW w:w="558" w:type="dxa"/>
            <w:vMerge w:val="continue"/>
            <w:tcBorders>
              <w:tl2br w:val="nil"/>
              <w:tr2bl w:val="nil"/>
            </w:tcBorders>
            <w:vAlign w:val="center"/>
          </w:tcPr>
          <w:p/>
        </w:tc>
        <w:tc>
          <w:tcPr>
            <w:tcW w:w="825" w:type="dxa"/>
            <w:vMerge w:val="continue"/>
            <w:tcBorders>
              <w:tl2br w:val="nil"/>
              <w:tr2bl w:val="nil"/>
            </w:tcBorders>
            <w:vAlign w:val="center"/>
          </w:tcPr>
          <w:p/>
        </w:tc>
        <w:tc>
          <w:tcPr>
            <w:tcW w:w="1566" w:type="dxa"/>
            <w:vMerge w:val="continue"/>
            <w:tcBorders>
              <w:tl2br w:val="nil"/>
              <w:tr2bl w:val="nil"/>
            </w:tcBorders>
            <w:vAlign w:val="center"/>
          </w:tcPr>
          <w:p/>
        </w:tc>
        <w:tc>
          <w:tcPr>
            <w:tcW w:w="1503" w:type="dxa"/>
            <w:vMerge w:val="continue"/>
            <w:tcBorders>
              <w:tl2br w:val="nil"/>
              <w:tr2bl w:val="nil"/>
            </w:tcBorders>
            <w:vAlign w:val="center"/>
          </w:tcPr>
          <w:p/>
        </w:tc>
        <w:tc>
          <w:tcPr>
            <w:tcW w:w="1190" w:type="dxa"/>
            <w:vMerge w:val="continue"/>
            <w:tcBorders>
              <w:tl2br w:val="nil"/>
              <w:tr2bl w:val="nil"/>
            </w:tcBorders>
            <w:vAlign w:val="center"/>
          </w:tcPr>
          <w:p/>
        </w:tc>
        <w:tc>
          <w:tcPr>
            <w:tcW w:w="543" w:type="dxa"/>
            <w:tcBorders>
              <w:tl2br w:val="nil"/>
              <w:tr2bl w:val="nil"/>
            </w:tcBorders>
            <w:vAlign w:val="center"/>
          </w:tcPr>
          <w:p>
            <w:pPr>
              <w:widowControl/>
              <w:adjustRightInd w:val="0"/>
              <w:snapToGrid w:val="0"/>
              <w:jc w:val="center"/>
              <w:rPr>
                <w:rFonts w:ascii="黑体" w:hAnsi="黑体" w:eastAsia="黑体" w:cs="黑体"/>
                <w:bCs/>
              </w:rPr>
            </w:pPr>
            <w:r>
              <w:rPr>
                <w:rFonts w:hint="eastAsia" w:ascii="黑体" w:hAnsi="黑体" w:eastAsia="黑体" w:cs="黑体"/>
                <w:bCs/>
              </w:rPr>
              <w:t>符号</w:t>
            </w:r>
          </w:p>
        </w:tc>
        <w:tc>
          <w:tcPr>
            <w:tcW w:w="488" w:type="dxa"/>
            <w:tcBorders>
              <w:tl2br w:val="nil"/>
              <w:tr2bl w:val="nil"/>
            </w:tcBorders>
            <w:vAlign w:val="center"/>
          </w:tcPr>
          <w:p>
            <w:pPr>
              <w:widowControl/>
              <w:adjustRightInd w:val="0"/>
              <w:snapToGrid w:val="0"/>
              <w:jc w:val="center"/>
              <w:rPr>
                <w:rFonts w:ascii="黑体" w:hAnsi="黑体" w:eastAsia="黑体" w:cs="黑体"/>
                <w:bCs/>
              </w:rPr>
            </w:pPr>
            <w:r>
              <w:rPr>
                <w:rFonts w:hint="eastAsia" w:ascii="黑体" w:hAnsi="黑体" w:eastAsia="黑体" w:cs="黑体"/>
                <w:bCs/>
              </w:rPr>
              <w:t>值</w:t>
            </w:r>
          </w:p>
        </w:tc>
        <w:tc>
          <w:tcPr>
            <w:tcW w:w="573" w:type="dxa"/>
            <w:tcBorders>
              <w:tl2br w:val="nil"/>
              <w:tr2bl w:val="nil"/>
            </w:tcBorders>
            <w:vAlign w:val="center"/>
          </w:tcPr>
          <w:p>
            <w:pPr>
              <w:widowControl/>
              <w:adjustRightInd w:val="0"/>
              <w:snapToGrid w:val="0"/>
              <w:jc w:val="center"/>
              <w:rPr>
                <w:rFonts w:ascii="黑体" w:hAnsi="黑体" w:eastAsia="黑体" w:cs="黑体"/>
                <w:bCs/>
              </w:rPr>
            </w:pPr>
            <w:r>
              <w:rPr>
                <w:rFonts w:hint="eastAsia" w:ascii="黑体" w:hAnsi="黑体" w:eastAsia="黑体" w:cs="黑体"/>
                <w:bCs/>
              </w:rPr>
              <w:t>单位</w:t>
            </w:r>
          </w:p>
        </w:tc>
        <w:tc>
          <w:tcPr>
            <w:tcW w:w="1277" w:type="dxa"/>
            <w:vMerge w:val="continue"/>
            <w:tcBorders>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558" w:type="dxa"/>
            <w:vMerge w:val="restart"/>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部门产出</w:t>
            </w:r>
          </w:p>
        </w:tc>
        <w:tc>
          <w:tcPr>
            <w:tcW w:w="825" w:type="dxa"/>
            <w:vMerge w:val="restart"/>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数量</w:t>
            </w:r>
          </w:p>
        </w:tc>
        <w:tc>
          <w:tcPr>
            <w:tcW w:w="1566"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参加培训教师人数</w:t>
            </w:r>
          </w:p>
        </w:tc>
        <w:tc>
          <w:tcPr>
            <w:tcW w:w="1503" w:type="dxa"/>
            <w:tcBorders>
              <w:tl2br w:val="nil"/>
              <w:tr2bl w:val="nil"/>
            </w:tcBorders>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每少5人，扣权重分值5%，扣完为止</w:t>
            </w:r>
          </w:p>
        </w:tc>
        <w:tc>
          <w:tcPr>
            <w:tcW w:w="1190"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考察参加培训教师数量</w:t>
            </w:r>
          </w:p>
        </w:tc>
        <w:tc>
          <w:tcPr>
            <w:tcW w:w="543"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w:t>
            </w:r>
          </w:p>
        </w:tc>
        <w:tc>
          <w:tcPr>
            <w:tcW w:w="488"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47</w:t>
            </w:r>
          </w:p>
        </w:tc>
        <w:tc>
          <w:tcPr>
            <w:tcW w:w="573"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人</w:t>
            </w:r>
          </w:p>
        </w:tc>
        <w:tc>
          <w:tcPr>
            <w:tcW w:w="1277" w:type="dxa"/>
            <w:tcBorders>
              <w:tl2br w:val="nil"/>
              <w:tr2bl w:val="nil"/>
            </w:tcBorders>
            <w:vAlign w:val="center"/>
          </w:tcPr>
          <w:p>
            <w:pPr>
              <w:widowControl/>
              <w:adjustRightInd w:val="0"/>
              <w:snapToGrid w:val="0"/>
              <w:jc w:val="center"/>
              <w:textAlignment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558" w:type="dxa"/>
            <w:vMerge w:val="continue"/>
            <w:tcBorders>
              <w:tl2br w:val="nil"/>
              <w:tr2bl w:val="nil"/>
            </w:tcBorders>
            <w:vAlign w:val="center"/>
          </w:tcPr>
          <w:p>
            <w:pPr>
              <w:widowControl/>
              <w:adjustRightInd w:val="0"/>
              <w:snapToGrid w:val="0"/>
              <w:jc w:val="center"/>
              <w:rPr>
                <w:rFonts w:ascii="仿宋_GB2312" w:hAnsi="仿宋_GB2312" w:eastAsia="仿宋_GB2312" w:cs="仿宋_GB2312"/>
              </w:rPr>
            </w:pPr>
          </w:p>
        </w:tc>
        <w:tc>
          <w:tcPr>
            <w:tcW w:w="825" w:type="dxa"/>
            <w:vMerge w:val="continue"/>
            <w:tcBorders>
              <w:tl2br w:val="nil"/>
              <w:tr2bl w:val="nil"/>
            </w:tcBorders>
            <w:vAlign w:val="center"/>
          </w:tcPr>
          <w:p>
            <w:pPr>
              <w:widowControl/>
              <w:adjustRightInd w:val="0"/>
              <w:snapToGrid w:val="0"/>
              <w:jc w:val="center"/>
              <w:rPr>
                <w:rFonts w:ascii="仿宋_GB2312" w:hAnsi="仿宋_GB2312" w:eastAsia="仿宋_GB2312" w:cs="仿宋_GB2312"/>
              </w:rPr>
            </w:pPr>
          </w:p>
        </w:tc>
        <w:tc>
          <w:tcPr>
            <w:tcW w:w="1566"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购置图书数量</w:t>
            </w:r>
          </w:p>
        </w:tc>
        <w:tc>
          <w:tcPr>
            <w:tcW w:w="1503" w:type="dxa"/>
            <w:tcBorders>
              <w:tl2br w:val="nil"/>
              <w:tr2bl w:val="nil"/>
            </w:tcBorders>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每少100册，扣权重分值5%，扣完为止</w:t>
            </w:r>
          </w:p>
        </w:tc>
        <w:tc>
          <w:tcPr>
            <w:tcW w:w="1190"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考察购置图书数量情况</w:t>
            </w:r>
          </w:p>
        </w:tc>
        <w:tc>
          <w:tcPr>
            <w:tcW w:w="543"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w:t>
            </w:r>
          </w:p>
        </w:tc>
        <w:tc>
          <w:tcPr>
            <w:tcW w:w="488"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20000</w:t>
            </w:r>
          </w:p>
        </w:tc>
        <w:tc>
          <w:tcPr>
            <w:tcW w:w="573"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册</w:t>
            </w:r>
          </w:p>
        </w:tc>
        <w:tc>
          <w:tcPr>
            <w:tcW w:w="1277"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国家规定的师生比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pPr>
              <w:jc w:val="center"/>
              <w:rPr>
                <w:rFonts w:ascii="仿宋_GB2312" w:hAnsi="仿宋_GB2312" w:eastAsia="仿宋_GB2312" w:cs="仿宋_GB2312"/>
              </w:rPr>
            </w:pPr>
          </w:p>
        </w:tc>
        <w:tc>
          <w:tcPr>
            <w:tcW w:w="825" w:type="dxa"/>
            <w:vMerge w:val="restart"/>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质量</w:t>
            </w:r>
          </w:p>
        </w:tc>
        <w:tc>
          <w:tcPr>
            <w:tcW w:w="1566"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教师培训合格率</w:t>
            </w:r>
          </w:p>
        </w:tc>
        <w:tc>
          <w:tcPr>
            <w:tcW w:w="1503" w:type="dxa"/>
            <w:tcBorders>
              <w:tl2br w:val="nil"/>
              <w:tr2bl w:val="nil"/>
            </w:tcBorders>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每降低5%，扣权重分值5%，扣完为止</w:t>
            </w:r>
          </w:p>
        </w:tc>
        <w:tc>
          <w:tcPr>
            <w:tcW w:w="1190" w:type="dxa"/>
            <w:tcBorders>
              <w:tl2br w:val="nil"/>
              <w:tr2bl w:val="nil"/>
            </w:tcBorders>
            <w:vAlign w:val="center"/>
          </w:tcPr>
          <w:p>
            <w:pPr>
              <w:widowControl/>
              <w:adjustRightInd w:val="0"/>
              <w:snapToGrid w:val="0"/>
              <w:spacing w:line="300" w:lineRule="exact"/>
              <w:jc w:val="center"/>
              <w:rPr>
                <w:rFonts w:ascii="仿宋_GB2312" w:hAnsi="仿宋_GB2312" w:eastAsia="仿宋_GB2312" w:cs="仿宋_GB2312"/>
              </w:rPr>
            </w:pPr>
            <w:r>
              <w:rPr>
                <w:rFonts w:hint="eastAsia" w:ascii="仿宋_GB2312" w:hAnsi="仿宋_GB2312" w:eastAsia="仿宋_GB2312" w:cs="仿宋_GB2312"/>
              </w:rPr>
              <w:t>反映培训合格教师与参加培训教师数量比</w:t>
            </w:r>
          </w:p>
        </w:tc>
        <w:tc>
          <w:tcPr>
            <w:tcW w:w="543"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w:t>
            </w:r>
          </w:p>
        </w:tc>
        <w:tc>
          <w:tcPr>
            <w:tcW w:w="488"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95</w:t>
            </w:r>
          </w:p>
        </w:tc>
        <w:tc>
          <w:tcPr>
            <w:tcW w:w="573"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w:t>
            </w:r>
          </w:p>
        </w:tc>
        <w:tc>
          <w:tcPr>
            <w:tcW w:w="1277"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pPr>
              <w:jc w:val="center"/>
              <w:rPr>
                <w:rFonts w:ascii="仿宋_GB2312" w:hAnsi="仿宋_GB2312" w:eastAsia="仿宋_GB2312" w:cs="仿宋_GB2312"/>
              </w:rPr>
            </w:pPr>
          </w:p>
        </w:tc>
        <w:tc>
          <w:tcPr>
            <w:tcW w:w="825" w:type="dxa"/>
            <w:vMerge w:val="continue"/>
            <w:tcBorders>
              <w:tl2br w:val="nil"/>
              <w:tr2bl w:val="nil"/>
            </w:tcBorders>
            <w:vAlign w:val="center"/>
          </w:tcPr>
          <w:p>
            <w:pPr>
              <w:widowControl/>
              <w:adjustRightInd w:val="0"/>
              <w:snapToGrid w:val="0"/>
              <w:jc w:val="center"/>
              <w:rPr>
                <w:rFonts w:ascii="仿宋_GB2312" w:hAnsi="仿宋_GB2312" w:eastAsia="仿宋_GB2312" w:cs="仿宋_GB2312"/>
              </w:rPr>
            </w:pPr>
          </w:p>
        </w:tc>
        <w:tc>
          <w:tcPr>
            <w:tcW w:w="1566"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图书正版率</w:t>
            </w:r>
          </w:p>
        </w:tc>
        <w:tc>
          <w:tcPr>
            <w:tcW w:w="1503" w:type="dxa"/>
            <w:tcBorders>
              <w:tl2br w:val="nil"/>
              <w:tr2bl w:val="nil"/>
            </w:tcBorders>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每降低5%，扣权重分值5%，扣完为止</w:t>
            </w:r>
          </w:p>
        </w:tc>
        <w:tc>
          <w:tcPr>
            <w:tcW w:w="1190" w:type="dxa"/>
            <w:tcBorders>
              <w:tl2br w:val="nil"/>
              <w:tr2bl w:val="nil"/>
            </w:tcBorders>
            <w:vAlign w:val="center"/>
          </w:tcPr>
          <w:p>
            <w:pPr>
              <w:widowControl/>
              <w:adjustRightInd w:val="0"/>
              <w:snapToGrid w:val="0"/>
              <w:spacing w:line="300" w:lineRule="exact"/>
              <w:jc w:val="center"/>
              <w:rPr>
                <w:rFonts w:ascii="仿宋_GB2312" w:hAnsi="仿宋_GB2312" w:eastAsia="仿宋_GB2312" w:cs="仿宋_GB2312"/>
              </w:rPr>
            </w:pPr>
            <w:r>
              <w:rPr>
                <w:rFonts w:hint="eastAsia" w:ascii="仿宋_GB2312" w:hAnsi="仿宋_GB2312" w:eastAsia="仿宋_GB2312" w:cs="仿宋_GB2312"/>
              </w:rPr>
              <w:t>考察购置图书正版率情况</w:t>
            </w:r>
          </w:p>
        </w:tc>
        <w:tc>
          <w:tcPr>
            <w:tcW w:w="543"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w:t>
            </w:r>
          </w:p>
        </w:tc>
        <w:tc>
          <w:tcPr>
            <w:tcW w:w="488"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100</w:t>
            </w:r>
          </w:p>
        </w:tc>
        <w:tc>
          <w:tcPr>
            <w:tcW w:w="573"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w:t>
            </w:r>
          </w:p>
        </w:tc>
        <w:tc>
          <w:tcPr>
            <w:tcW w:w="1277"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项目实施计划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时效</w:t>
            </w:r>
          </w:p>
        </w:tc>
        <w:tc>
          <w:tcPr>
            <w:tcW w:w="1566" w:type="dxa"/>
            <w:tcBorders>
              <w:tl2br w:val="nil"/>
              <w:tr2bl w:val="nil"/>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图书购置的及时性</w:t>
            </w:r>
          </w:p>
        </w:tc>
        <w:tc>
          <w:tcPr>
            <w:tcW w:w="1503" w:type="dxa"/>
            <w:tcBorders>
              <w:tl2br w:val="nil"/>
              <w:tr2bl w:val="nil"/>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按计划完成得满分，否则不得分</w:t>
            </w:r>
          </w:p>
        </w:tc>
        <w:tc>
          <w:tcPr>
            <w:tcW w:w="1190" w:type="dxa"/>
            <w:tcBorders>
              <w:tl2br w:val="nil"/>
              <w:tr2bl w:val="nil"/>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考察图书及设备购置的完成时间情况，是否按计划完成</w:t>
            </w:r>
          </w:p>
        </w:tc>
        <w:tc>
          <w:tcPr>
            <w:tcW w:w="543" w:type="dxa"/>
            <w:tcBorders>
              <w:tl2br w:val="nil"/>
              <w:tr2bl w:val="nil"/>
            </w:tcBorders>
            <w:vAlign w:val="center"/>
          </w:tcPr>
          <w:p>
            <w:pPr>
              <w:jc w:val="center"/>
              <w:rPr>
                <w:rFonts w:ascii="仿宋_GB2312" w:hAnsi="仿宋_GB2312" w:eastAsia="仿宋_GB2312" w:cs="仿宋_GB2312"/>
              </w:rPr>
            </w:pPr>
          </w:p>
        </w:tc>
        <w:tc>
          <w:tcPr>
            <w:tcW w:w="488" w:type="dxa"/>
            <w:tcBorders>
              <w:tl2br w:val="nil"/>
              <w:tr2bl w:val="nil"/>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及时</w:t>
            </w:r>
          </w:p>
        </w:tc>
        <w:tc>
          <w:tcPr>
            <w:tcW w:w="573" w:type="dxa"/>
            <w:tcBorders>
              <w:tl2br w:val="nil"/>
              <w:tr2bl w:val="nil"/>
            </w:tcBorders>
            <w:vAlign w:val="center"/>
          </w:tcPr>
          <w:p>
            <w:pPr>
              <w:jc w:val="center"/>
              <w:rPr>
                <w:rFonts w:ascii="仿宋_GB2312" w:hAnsi="仿宋_GB2312" w:eastAsia="仿宋_GB2312" w:cs="仿宋_GB2312"/>
              </w:rPr>
            </w:pPr>
          </w:p>
        </w:tc>
        <w:tc>
          <w:tcPr>
            <w:tcW w:w="1277" w:type="dxa"/>
            <w:tcBorders>
              <w:tl2br w:val="nil"/>
              <w:tr2bl w:val="nil"/>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项目整体计划、合同约定、验收单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成本</w:t>
            </w:r>
          </w:p>
        </w:tc>
        <w:tc>
          <w:tcPr>
            <w:tcW w:w="1566" w:type="dxa"/>
            <w:tcBorders>
              <w:tl2br w:val="nil"/>
              <w:tr2bl w:val="nil"/>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图书采购成本控制</w:t>
            </w:r>
          </w:p>
        </w:tc>
        <w:tc>
          <w:tcPr>
            <w:tcW w:w="1503" w:type="dxa"/>
            <w:tcBorders>
              <w:tl2br w:val="nil"/>
              <w:tr2bl w:val="nil"/>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每超出5%，扣权重分值5%，扣完为止</w:t>
            </w:r>
          </w:p>
        </w:tc>
        <w:tc>
          <w:tcPr>
            <w:tcW w:w="1190" w:type="dxa"/>
            <w:tcBorders>
              <w:tl2br w:val="nil"/>
              <w:tr2bl w:val="nil"/>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考察平均每册图书购置成本</w:t>
            </w:r>
          </w:p>
        </w:tc>
        <w:tc>
          <w:tcPr>
            <w:tcW w:w="543" w:type="dxa"/>
            <w:tcBorders>
              <w:tl2br w:val="nil"/>
              <w:tr2bl w:val="nil"/>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w:t>
            </w:r>
          </w:p>
        </w:tc>
        <w:tc>
          <w:tcPr>
            <w:tcW w:w="488" w:type="dxa"/>
            <w:tcBorders>
              <w:tl2br w:val="nil"/>
              <w:tr2bl w:val="nil"/>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20</w:t>
            </w:r>
          </w:p>
        </w:tc>
        <w:tc>
          <w:tcPr>
            <w:tcW w:w="573" w:type="dxa"/>
            <w:tcBorders>
              <w:tl2br w:val="nil"/>
              <w:tr2bl w:val="nil"/>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元</w:t>
            </w:r>
          </w:p>
        </w:tc>
        <w:tc>
          <w:tcPr>
            <w:tcW w:w="1277" w:type="dxa"/>
            <w:tcBorders>
              <w:tl2br w:val="nil"/>
              <w:tr2bl w:val="nil"/>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工作计划、采购合同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restart"/>
            <w:tcBorders>
              <w:tl2br w:val="nil"/>
              <w:tr2bl w:val="nil"/>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部门效果</w:t>
            </w:r>
          </w:p>
        </w:tc>
        <w:tc>
          <w:tcPr>
            <w:tcW w:w="825" w:type="dxa"/>
            <w:tcBorders>
              <w:tl2br w:val="nil"/>
              <w:tr2bl w:val="nil"/>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社会</w:t>
            </w:r>
          </w:p>
          <w:p>
            <w:pPr>
              <w:jc w:val="center"/>
              <w:rPr>
                <w:rFonts w:ascii="仿宋_GB2312" w:hAnsi="仿宋_GB2312" w:eastAsia="仿宋_GB2312" w:cs="仿宋_GB2312"/>
              </w:rPr>
            </w:pPr>
            <w:r>
              <w:rPr>
                <w:rFonts w:hint="eastAsia" w:ascii="仿宋_GB2312" w:hAnsi="仿宋_GB2312" w:eastAsia="仿宋_GB2312" w:cs="仿宋_GB2312"/>
              </w:rPr>
              <w:t>效益</w:t>
            </w:r>
          </w:p>
        </w:tc>
        <w:tc>
          <w:tcPr>
            <w:tcW w:w="1566" w:type="dxa"/>
            <w:tcBorders>
              <w:tl2br w:val="nil"/>
              <w:tr2bl w:val="nil"/>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受益师生数</w:t>
            </w:r>
          </w:p>
        </w:tc>
        <w:tc>
          <w:tcPr>
            <w:tcW w:w="1503" w:type="dxa"/>
            <w:tcBorders>
              <w:tl2br w:val="nil"/>
              <w:tr2bl w:val="nil"/>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每少10人，扣权重分值5%，扣完为止</w:t>
            </w:r>
          </w:p>
        </w:tc>
        <w:tc>
          <w:tcPr>
            <w:tcW w:w="1190" w:type="dxa"/>
            <w:tcBorders>
              <w:tl2br w:val="nil"/>
              <w:tr2bl w:val="nil"/>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考察受益师生数</w:t>
            </w:r>
          </w:p>
        </w:tc>
        <w:tc>
          <w:tcPr>
            <w:tcW w:w="543" w:type="dxa"/>
            <w:tcBorders>
              <w:tl2br w:val="nil"/>
              <w:tr2bl w:val="nil"/>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w:t>
            </w:r>
          </w:p>
        </w:tc>
        <w:tc>
          <w:tcPr>
            <w:tcW w:w="488" w:type="dxa"/>
            <w:tcBorders>
              <w:tl2br w:val="nil"/>
              <w:tr2bl w:val="nil"/>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3000</w:t>
            </w:r>
          </w:p>
        </w:tc>
        <w:tc>
          <w:tcPr>
            <w:tcW w:w="573" w:type="dxa"/>
            <w:tcBorders>
              <w:tl2br w:val="nil"/>
              <w:tr2bl w:val="nil"/>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人</w:t>
            </w:r>
          </w:p>
        </w:tc>
        <w:tc>
          <w:tcPr>
            <w:tcW w:w="1277" w:type="dxa"/>
            <w:tcBorders>
              <w:tl2br w:val="nil"/>
              <w:tr2bl w:val="nil"/>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558" w:type="dxa"/>
            <w:vMerge w:val="continue"/>
            <w:tcBorders>
              <w:tl2br w:val="nil"/>
              <w:tr2bl w:val="nil"/>
            </w:tcBorders>
            <w:vAlign w:val="center"/>
          </w:tcPr>
          <w:p>
            <w:pPr>
              <w:jc w:val="center"/>
              <w:rPr>
                <w:rFonts w:ascii="仿宋_GB2312" w:hAnsi="仿宋_GB2312" w:eastAsia="仿宋_GB2312" w:cs="仿宋_GB2312"/>
              </w:rPr>
            </w:pPr>
          </w:p>
        </w:tc>
        <w:tc>
          <w:tcPr>
            <w:tcW w:w="825" w:type="dxa"/>
            <w:tcBorders>
              <w:tl2br w:val="nil"/>
              <w:tr2bl w:val="nil"/>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满意度</w:t>
            </w:r>
          </w:p>
        </w:tc>
        <w:tc>
          <w:tcPr>
            <w:tcW w:w="1566" w:type="dxa"/>
            <w:tcBorders>
              <w:tl2br w:val="nil"/>
              <w:tr2bl w:val="nil"/>
            </w:tcBorders>
            <w:noWrap/>
            <w:vAlign w:val="center"/>
          </w:tcPr>
          <w:p>
            <w:pPr>
              <w:jc w:val="center"/>
              <w:rPr>
                <w:rFonts w:ascii="仿宋_GB2312" w:hAnsi="仿宋_GB2312" w:eastAsia="仿宋_GB2312" w:cs="仿宋_GB2312"/>
              </w:rPr>
            </w:pPr>
            <w:r>
              <w:rPr>
                <w:rFonts w:hint="eastAsia" w:ascii="仿宋_GB2312" w:hAnsi="仿宋_GB2312" w:eastAsia="仿宋_GB2312" w:cs="仿宋_GB2312"/>
              </w:rPr>
              <w:t>师生满意度</w:t>
            </w:r>
          </w:p>
        </w:tc>
        <w:tc>
          <w:tcPr>
            <w:tcW w:w="1503" w:type="dxa"/>
            <w:tcBorders>
              <w:tl2br w:val="nil"/>
              <w:tr2bl w:val="nil"/>
            </w:tcBorders>
            <w:noWrap/>
            <w:vAlign w:val="center"/>
          </w:tcPr>
          <w:p>
            <w:pPr>
              <w:jc w:val="center"/>
              <w:rPr>
                <w:rFonts w:ascii="仿宋_GB2312" w:hAnsi="仿宋_GB2312" w:eastAsia="仿宋_GB2312" w:cs="仿宋_GB2312"/>
              </w:rPr>
            </w:pPr>
            <w:r>
              <w:rPr>
                <w:rFonts w:hint="eastAsia" w:ascii="仿宋_GB2312" w:hAnsi="仿宋_GB2312" w:eastAsia="仿宋_GB2312" w:cs="仿宋_GB2312"/>
              </w:rPr>
              <w:t>每降低5%，扣权重分值5%，扣完为止</w:t>
            </w:r>
          </w:p>
        </w:tc>
        <w:tc>
          <w:tcPr>
            <w:tcW w:w="1190" w:type="dxa"/>
            <w:tcBorders>
              <w:tl2br w:val="nil"/>
              <w:tr2bl w:val="nil"/>
            </w:tcBorders>
            <w:noWrap/>
            <w:vAlign w:val="center"/>
          </w:tcPr>
          <w:p>
            <w:pPr>
              <w:jc w:val="center"/>
              <w:rPr>
                <w:rFonts w:ascii="仿宋_GB2312" w:hAnsi="仿宋_GB2312" w:eastAsia="仿宋_GB2312" w:cs="仿宋_GB2312"/>
              </w:rPr>
            </w:pPr>
            <w:r>
              <w:rPr>
                <w:rFonts w:hint="eastAsia" w:ascii="仿宋_GB2312" w:hAnsi="仿宋_GB2312" w:eastAsia="仿宋_GB2312" w:cs="仿宋_GB2312"/>
              </w:rPr>
              <w:t>考察师生对学校的满意度</w:t>
            </w:r>
          </w:p>
        </w:tc>
        <w:tc>
          <w:tcPr>
            <w:tcW w:w="543" w:type="dxa"/>
            <w:tcBorders>
              <w:tl2br w:val="nil"/>
              <w:tr2bl w:val="nil"/>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w:t>
            </w:r>
          </w:p>
        </w:tc>
        <w:tc>
          <w:tcPr>
            <w:tcW w:w="488" w:type="dxa"/>
            <w:tcBorders>
              <w:tl2br w:val="nil"/>
              <w:tr2bl w:val="nil"/>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95</w:t>
            </w:r>
          </w:p>
        </w:tc>
        <w:tc>
          <w:tcPr>
            <w:tcW w:w="573" w:type="dxa"/>
            <w:tcBorders>
              <w:tl2br w:val="nil"/>
              <w:tr2bl w:val="nil"/>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w:t>
            </w:r>
          </w:p>
        </w:tc>
        <w:tc>
          <w:tcPr>
            <w:tcW w:w="1277" w:type="dxa"/>
            <w:tcBorders>
              <w:tl2br w:val="nil"/>
              <w:tr2bl w:val="nil"/>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问卷调查</w:t>
            </w:r>
          </w:p>
        </w:tc>
      </w:tr>
    </w:tbl>
    <w:p>
      <w:pPr>
        <w:widowControl/>
        <w:spacing w:line="584" w:lineRule="exact"/>
        <w:jc w:val="left"/>
        <w:rPr>
          <w:rFonts w:eastAsia="仿宋_GB2312"/>
          <w:color w:val="000000"/>
          <w:kern w:val="0"/>
          <w:sz w:val="30"/>
          <w:szCs w:val="30"/>
        </w:rPr>
      </w:pPr>
    </w:p>
    <w:p>
      <w:pPr>
        <w:widowControl/>
        <w:spacing w:line="584" w:lineRule="exact"/>
        <w:jc w:val="left"/>
        <w:rPr>
          <w:rFonts w:eastAsia="仿宋_GB2312"/>
          <w:color w:val="000000"/>
          <w:kern w:val="0"/>
          <w:sz w:val="30"/>
          <w:szCs w:val="30"/>
        </w:rPr>
      </w:pPr>
    </w:p>
    <w:p>
      <w:pPr>
        <w:widowControl/>
        <w:spacing w:line="584" w:lineRule="exact"/>
        <w:jc w:val="left"/>
        <w:rPr>
          <w:rFonts w:eastAsia="仿宋_GB2312"/>
          <w:color w:val="000000"/>
          <w:kern w:val="0"/>
          <w:sz w:val="30"/>
          <w:szCs w:val="30"/>
        </w:rPr>
      </w:pP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第二部分 资金绩效目标</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pPr>
              <w:pStyle w:val="13"/>
              <w:ind w:left="480" w:firstLine="0" w:firstLineChars="0"/>
              <w:jc w:val="left"/>
              <w:outlineLvl w:val="1"/>
              <w:rPr>
                <w:rFonts w:ascii="方正书宋_GBK" w:eastAsia="方正书宋_GBK"/>
                <w:b/>
              </w:rPr>
            </w:pPr>
            <w:r>
              <w:rPr>
                <w:rFonts w:hint="eastAsia" w:ascii="仿宋_GB2312" w:eastAsia="仿宋_GB2312"/>
                <w:bCs/>
                <w:sz w:val="28"/>
                <w:szCs w:val="28"/>
              </w:rPr>
              <w:t>1.城市区小学生均公用经费区级配套资金绩效目标表</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绩效目标</w:t>
            </w:r>
          </w:p>
        </w:tc>
        <w:tc>
          <w:tcPr>
            <w:tcW w:w="8278" w:type="dxa"/>
            <w:gridSpan w:val="2"/>
            <w:tcBorders>
              <w:bottom w:val="nil"/>
            </w:tcBorders>
            <w:shd w:val="clear" w:color="auto" w:fill="auto"/>
            <w:vAlign w:val="center"/>
          </w:tcPr>
          <w:p>
            <w:pPr>
              <w:spacing w:line="300" w:lineRule="exact"/>
              <w:jc w:val="left"/>
              <w:rPr>
                <w:rFonts w:ascii="仿宋_GB2312" w:hAnsi="仿宋_GB2312" w:eastAsia="仿宋_GB2312" w:cs="仿宋_GB2312"/>
              </w:rPr>
            </w:pPr>
            <w:r>
              <w:rPr>
                <w:rFonts w:hint="eastAsia" w:ascii="仿宋_GB2312" w:hAnsi="仿宋_GB2312" w:eastAsia="仿宋_GB2312" w:cs="仿宋_GB2312"/>
              </w:rPr>
              <w:t>1.保障义务教育教学正常的进行。</w:t>
            </w:r>
          </w:p>
          <w:p>
            <w:pPr>
              <w:spacing w:line="300" w:lineRule="exact"/>
              <w:jc w:val="left"/>
              <w:rPr>
                <w:rFonts w:ascii="仿宋_GB2312" w:hAnsi="仿宋_GB2312" w:eastAsia="仿宋_GB2312" w:cs="仿宋_GB2312"/>
              </w:rPr>
            </w:pPr>
            <w:r>
              <w:rPr>
                <w:rFonts w:hint="eastAsia" w:ascii="仿宋_GB2312" w:hAnsi="仿宋_GB2312" w:eastAsia="仿宋_GB2312" w:cs="仿宋_GB2312"/>
              </w:rPr>
              <w:t>2.改善办公条件，提升教育环境。</w:t>
            </w:r>
          </w:p>
          <w:p>
            <w:pPr>
              <w:spacing w:line="300" w:lineRule="exact"/>
              <w:jc w:val="left"/>
              <w:rPr>
                <w:rFonts w:ascii="仿宋_GB2312" w:hAnsi="仿宋_GB2312" w:eastAsia="仿宋_GB2312" w:cs="仿宋_GB2312"/>
              </w:rPr>
            </w:pPr>
            <w:r>
              <w:rPr>
                <w:rFonts w:hint="eastAsia" w:ascii="仿宋_GB2312" w:hAnsi="仿宋_GB2312" w:eastAsia="仿宋_GB2312" w:cs="仿宋_GB2312"/>
              </w:rPr>
              <w:t>3.开展教师培训，提高教师队伍水平。</w:t>
            </w:r>
          </w:p>
          <w:p>
            <w:pPr>
              <w:spacing w:line="300" w:lineRule="exact"/>
              <w:jc w:val="left"/>
              <w:rPr>
                <w:rFonts w:ascii="方正书宋_GBK" w:eastAsia="方正书宋_GBK"/>
              </w:rPr>
            </w:pPr>
            <w:r>
              <w:rPr>
                <w:rFonts w:hint="eastAsia" w:ascii="仿宋_GB2312" w:hAnsi="仿宋_GB2312" w:eastAsia="仿宋_GB2312" w:cs="仿宋_GB2312"/>
              </w:rPr>
              <w:t>4.开展文体活动，提高学生综合素质。</w:t>
            </w:r>
          </w:p>
        </w:tc>
      </w:tr>
    </w:tbl>
    <w:p>
      <w:pPr>
        <w:pStyle w:val="13"/>
        <w:numPr>
          <w:ilvl w:val="0"/>
          <w:numId w:val="1"/>
        </w:numPr>
        <w:spacing w:line="14" w:lineRule="exact"/>
        <w:ind w:firstLineChars="0"/>
        <w:jc w:val="center"/>
        <w:rPr>
          <w:rFonts w:ascii="Times New Roman" w:hAnsi="宋体"/>
        </w:rPr>
      </w:pP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一级指标</w:t>
            </w:r>
          </w:p>
        </w:tc>
        <w:tc>
          <w:tcPr>
            <w:tcW w:w="1134"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二级指标</w:t>
            </w:r>
          </w:p>
        </w:tc>
        <w:tc>
          <w:tcPr>
            <w:tcW w:w="1276"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三级指标</w:t>
            </w:r>
          </w:p>
        </w:tc>
        <w:tc>
          <w:tcPr>
            <w:tcW w:w="2891"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绩效指标描述</w:t>
            </w:r>
          </w:p>
        </w:tc>
        <w:tc>
          <w:tcPr>
            <w:tcW w:w="1276"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w:t>
            </w:r>
          </w:p>
        </w:tc>
        <w:tc>
          <w:tcPr>
            <w:tcW w:w="1701"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left"/>
              <w:rPr>
                <w:rFonts w:ascii="仿宋_GB2312" w:hAnsi="仿宋_GB2312" w:eastAsia="仿宋_GB2312" w:cs="仿宋_GB2312"/>
              </w:rPr>
            </w:pPr>
            <w:r>
              <w:rPr>
                <w:rFonts w:hint="eastAsia" w:ascii="仿宋_GB2312" w:hAnsi="仿宋_GB2312" w:eastAsia="仿宋_GB2312" w:cs="仿宋_GB2312"/>
              </w:rPr>
              <w:t>产出指标</w:t>
            </w:r>
          </w:p>
        </w:tc>
        <w:tc>
          <w:tcPr>
            <w:tcW w:w="1134" w:type="dxa"/>
            <w:shd w:val="clear" w:color="auto" w:fill="auto"/>
            <w:vAlign w:val="center"/>
          </w:tcPr>
          <w:p>
            <w:pPr>
              <w:spacing w:line="300" w:lineRule="exact"/>
              <w:jc w:val="left"/>
              <w:rPr>
                <w:rFonts w:ascii="仿宋_GB2312" w:hAnsi="仿宋_GB2312" w:eastAsia="仿宋_GB2312" w:cs="仿宋_GB2312"/>
              </w:rPr>
            </w:pPr>
            <w:r>
              <w:rPr>
                <w:rFonts w:hint="eastAsia" w:ascii="仿宋_GB2312" w:hAnsi="仿宋_GB2312" w:eastAsia="仿宋_GB2312" w:cs="仿宋_GB2312"/>
              </w:rPr>
              <w:t>数量指标</w:t>
            </w:r>
          </w:p>
        </w:tc>
        <w:tc>
          <w:tcPr>
            <w:tcW w:w="1276" w:type="dxa"/>
            <w:shd w:val="clear" w:color="auto" w:fill="auto"/>
            <w:vAlign w:val="center"/>
          </w:tcPr>
          <w:p>
            <w:pPr>
              <w:spacing w:line="300" w:lineRule="exact"/>
              <w:jc w:val="left"/>
              <w:rPr>
                <w:rFonts w:ascii="仿宋_GB2312" w:hAnsi="仿宋_GB2312" w:eastAsia="仿宋_GB2312" w:cs="仿宋_GB2312"/>
              </w:rPr>
            </w:pPr>
            <w:r>
              <w:rPr>
                <w:rFonts w:hint="eastAsia" w:ascii="仿宋_GB2312" w:hAnsi="仿宋_GB2312" w:eastAsia="仿宋_GB2312" w:cs="仿宋_GB2312"/>
              </w:rPr>
              <w:t>物资采购合格率</w:t>
            </w:r>
          </w:p>
        </w:tc>
        <w:tc>
          <w:tcPr>
            <w:tcW w:w="2891" w:type="dxa"/>
            <w:shd w:val="clear" w:color="auto" w:fill="auto"/>
            <w:vAlign w:val="center"/>
          </w:tcPr>
          <w:p>
            <w:pPr>
              <w:spacing w:line="300" w:lineRule="exact"/>
              <w:jc w:val="left"/>
              <w:rPr>
                <w:rFonts w:ascii="仿宋_GB2312" w:hAnsi="仿宋_GB2312" w:eastAsia="仿宋_GB2312" w:cs="仿宋_GB2312"/>
              </w:rPr>
            </w:pPr>
            <w:r>
              <w:rPr>
                <w:rFonts w:hint="eastAsia" w:ascii="仿宋_GB2312" w:hAnsi="仿宋_GB2312" w:eastAsia="仿宋_GB2312" w:cs="仿宋_GB2312"/>
              </w:rPr>
              <w:t>合格的教学用品数量占购置用品总量的比例</w:t>
            </w:r>
          </w:p>
        </w:tc>
        <w:tc>
          <w:tcPr>
            <w:tcW w:w="1276" w:type="dxa"/>
            <w:shd w:val="clear" w:color="auto" w:fill="auto"/>
            <w:vAlign w:val="center"/>
          </w:tcPr>
          <w:p>
            <w:pPr>
              <w:spacing w:line="300" w:lineRule="exact"/>
              <w:jc w:val="left"/>
              <w:rPr>
                <w:rFonts w:ascii="仿宋_GB2312" w:hAnsi="仿宋_GB2312" w:eastAsia="仿宋_GB2312" w:cs="仿宋_GB2312"/>
              </w:rPr>
            </w:pPr>
            <w:r>
              <w:rPr>
                <w:rFonts w:hint="eastAsia" w:ascii="仿宋_GB2312" w:hAnsi="仿宋_GB2312" w:eastAsia="仿宋_GB2312" w:cs="仿宋_GB2312"/>
              </w:rPr>
              <w:t>100%</w:t>
            </w:r>
          </w:p>
        </w:tc>
        <w:tc>
          <w:tcPr>
            <w:tcW w:w="1701" w:type="dxa"/>
            <w:shd w:val="clear" w:color="auto" w:fill="auto"/>
            <w:vAlign w:val="center"/>
          </w:tcPr>
          <w:p>
            <w:pPr>
              <w:spacing w:line="300" w:lineRule="exact"/>
              <w:jc w:val="left"/>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left"/>
              <w:rPr>
                <w:rFonts w:ascii="仿宋_GB2312" w:hAnsi="仿宋_GB2312" w:eastAsia="仿宋_GB2312" w:cs="仿宋_GB2312"/>
              </w:rPr>
            </w:pPr>
          </w:p>
        </w:tc>
        <w:tc>
          <w:tcPr>
            <w:tcW w:w="1134" w:type="dxa"/>
            <w:shd w:val="clear" w:color="auto" w:fill="auto"/>
            <w:vAlign w:val="center"/>
          </w:tcPr>
          <w:p>
            <w:pPr>
              <w:spacing w:line="300" w:lineRule="exact"/>
              <w:jc w:val="left"/>
              <w:rPr>
                <w:rFonts w:ascii="仿宋_GB2312" w:hAnsi="仿宋_GB2312" w:eastAsia="仿宋_GB2312" w:cs="仿宋_GB2312"/>
              </w:rPr>
            </w:pPr>
            <w:r>
              <w:rPr>
                <w:rFonts w:hint="eastAsia" w:ascii="仿宋_GB2312" w:hAnsi="仿宋_GB2312" w:eastAsia="仿宋_GB2312" w:cs="仿宋_GB2312"/>
              </w:rPr>
              <w:t>质量指标</w:t>
            </w:r>
          </w:p>
        </w:tc>
        <w:tc>
          <w:tcPr>
            <w:tcW w:w="1276" w:type="dxa"/>
            <w:shd w:val="clear" w:color="auto" w:fill="auto"/>
            <w:vAlign w:val="center"/>
          </w:tcPr>
          <w:p>
            <w:pPr>
              <w:spacing w:line="300" w:lineRule="exact"/>
              <w:jc w:val="left"/>
              <w:rPr>
                <w:rFonts w:ascii="仿宋_GB2312" w:hAnsi="仿宋_GB2312" w:eastAsia="仿宋_GB2312" w:cs="仿宋_GB2312"/>
              </w:rPr>
            </w:pPr>
            <w:r>
              <w:rPr>
                <w:rFonts w:hint="eastAsia" w:ascii="仿宋_GB2312" w:hAnsi="仿宋_GB2312" w:eastAsia="仿宋_GB2312" w:cs="仿宋_GB2312"/>
              </w:rPr>
              <w:t>保安全</w:t>
            </w:r>
          </w:p>
        </w:tc>
        <w:tc>
          <w:tcPr>
            <w:tcW w:w="2891" w:type="dxa"/>
            <w:shd w:val="clear" w:color="auto" w:fill="auto"/>
            <w:vAlign w:val="center"/>
          </w:tcPr>
          <w:p>
            <w:pPr>
              <w:spacing w:line="300" w:lineRule="exact"/>
              <w:jc w:val="left"/>
              <w:rPr>
                <w:rFonts w:ascii="仿宋_GB2312" w:hAnsi="仿宋_GB2312" w:eastAsia="仿宋_GB2312" w:cs="仿宋_GB2312"/>
              </w:rPr>
            </w:pPr>
            <w:r>
              <w:rPr>
                <w:rFonts w:hint="eastAsia" w:ascii="仿宋_GB2312" w:hAnsi="仿宋_GB2312" w:eastAsia="仿宋_GB2312" w:cs="仿宋_GB2312"/>
              </w:rPr>
              <w:t>保在校师生安全不出问题，无安全事故。</w:t>
            </w:r>
          </w:p>
        </w:tc>
        <w:tc>
          <w:tcPr>
            <w:tcW w:w="1276" w:type="dxa"/>
            <w:shd w:val="clear" w:color="auto" w:fill="auto"/>
            <w:vAlign w:val="center"/>
          </w:tcPr>
          <w:p>
            <w:pPr>
              <w:spacing w:line="300" w:lineRule="exact"/>
              <w:jc w:val="left"/>
              <w:rPr>
                <w:rFonts w:ascii="仿宋_GB2312" w:hAnsi="仿宋_GB2312" w:eastAsia="仿宋_GB2312" w:cs="仿宋_GB2312"/>
              </w:rPr>
            </w:pPr>
            <w:r>
              <w:rPr>
                <w:rFonts w:hint="eastAsia" w:ascii="仿宋_GB2312" w:hAnsi="仿宋_GB2312" w:eastAsia="仿宋_GB2312" w:cs="仿宋_GB2312"/>
              </w:rPr>
              <w:t>安全</w:t>
            </w:r>
          </w:p>
        </w:tc>
        <w:tc>
          <w:tcPr>
            <w:tcW w:w="1701" w:type="dxa"/>
            <w:shd w:val="clear" w:color="auto" w:fill="auto"/>
            <w:vAlign w:val="center"/>
          </w:tcPr>
          <w:p>
            <w:pPr>
              <w:spacing w:line="300" w:lineRule="exact"/>
              <w:jc w:val="left"/>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left"/>
              <w:rPr>
                <w:rFonts w:ascii="仿宋_GB2312" w:hAnsi="仿宋_GB2312" w:eastAsia="仿宋_GB2312" w:cs="仿宋_GB2312"/>
              </w:rPr>
            </w:pPr>
          </w:p>
        </w:tc>
        <w:tc>
          <w:tcPr>
            <w:tcW w:w="1134" w:type="dxa"/>
            <w:shd w:val="clear" w:color="auto" w:fill="auto"/>
            <w:vAlign w:val="center"/>
          </w:tcPr>
          <w:p>
            <w:pPr>
              <w:spacing w:line="300" w:lineRule="exact"/>
              <w:jc w:val="left"/>
              <w:rPr>
                <w:rFonts w:ascii="仿宋_GB2312" w:hAnsi="仿宋_GB2312" w:eastAsia="仿宋_GB2312" w:cs="仿宋_GB2312"/>
              </w:rPr>
            </w:pPr>
            <w:r>
              <w:rPr>
                <w:rFonts w:hint="eastAsia" w:ascii="仿宋_GB2312" w:hAnsi="仿宋_GB2312" w:eastAsia="仿宋_GB2312" w:cs="仿宋_GB2312"/>
              </w:rPr>
              <w:t>质量指标</w:t>
            </w:r>
          </w:p>
        </w:tc>
        <w:tc>
          <w:tcPr>
            <w:tcW w:w="1276" w:type="dxa"/>
            <w:shd w:val="clear" w:color="auto" w:fill="auto"/>
            <w:vAlign w:val="center"/>
          </w:tcPr>
          <w:p>
            <w:pPr>
              <w:spacing w:line="300" w:lineRule="exact"/>
              <w:jc w:val="left"/>
              <w:rPr>
                <w:rFonts w:ascii="仿宋_GB2312" w:hAnsi="仿宋_GB2312" w:eastAsia="仿宋_GB2312" w:cs="仿宋_GB2312"/>
              </w:rPr>
            </w:pPr>
            <w:r>
              <w:rPr>
                <w:rFonts w:hint="eastAsia" w:ascii="仿宋_GB2312" w:hAnsi="仿宋_GB2312" w:eastAsia="仿宋_GB2312" w:cs="仿宋_GB2312"/>
              </w:rPr>
              <w:t>保正常运转</w:t>
            </w:r>
          </w:p>
        </w:tc>
        <w:tc>
          <w:tcPr>
            <w:tcW w:w="2891" w:type="dxa"/>
            <w:shd w:val="clear" w:color="auto" w:fill="auto"/>
            <w:vAlign w:val="center"/>
          </w:tcPr>
          <w:p>
            <w:pPr>
              <w:spacing w:line="300" w:lineRule="exact"/>
              <w:jc w:val="left"/>
              <w:rPr>
                <w:rFonts w:ascii="仿宋_GB2312" w:hAnsi="仿宋_GB2312" w:eastAsia="仿宋_GB2312" w:cs="仿宋_GB2312"/>
              </w:rPr>
            </w:pPr>
            <w:r>
              <w:rPr>
                <w:rFonts w:hint="eastAsia" w:ascii="仿宋_GB2312" w:hAnsi="仿宋_GB2312" w:eastAsia="仿宋_GB2312" w:cs="仿宋_GB2312"/>
              </w:rPr>
              <w:t>日常教学器材及物资充裕</w:t>
            </w:r>
          </w:p>
        </w:tc>
        <w:tc>
          <w:tcPr>
            <w:tcW w:w="1276" w:type="dxa"/>
            <w:shd w:val="clear" w:color="auto" w:fill="auto"/>
            <w:vAlign w:val="center"/>
          </w:tcPr>
          <w:p>
            <w:pPr>
              <w:spacing w:line="300" w:lineRule="exact"/>
              <w:jc w:val="left"/>
              <w:rPr>
                <w:rFonts w:ascii="仿宋_GB2312" w:hAnsi="仿宋_GB2312" w:eastAsia="仿宋_GB2312" w:cs="仿宋_GB2312"/>
              </w:rPr>
            </w:pPr>
            <w:r>
              <w:rPr>
                <w:rFonts w:hint="eastAsia" w:ascii="仿宋_GB2312" w:hAnsi="仿宋_GB2312" w:eastAsia="仿宋_GB2312" w:cs="仿宋_GB2312"/>
              </w:rPr>
              <w:t>正常运转</w:t>
            </w:r>
          </w:p>
        </w:tc>
        <w:tc>
          <w:tcPr>
            <w:tcW w:w="1701" w:type="dxa"/>
            <w:shd w:val="clear" w:color="auto" w:fill="auto"/>
            <w:vAlign w:val="center"/>
          </w:tcPr>
          <w:p>
            <w:pPr>
              <w:spacing w:line="300" w:lineRule="exact"/>
              <w:jc w:val="left"/>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left"/>
              <w:rPr>
                <w:rFonts w:ascii="仿宋_GB2312" w:hAnsi="仿宋_GB2312" w:eastAsia="仿宋_GB2312" w:cs="仿宋_GB2312"/>
              </w:rPr>
            </w:pPr>
          </w:p>
        </w:tc>
        <w:tc>
          <w:tcPr>
            <w:tcW w:w="1134" w:type="dxa"/>
            <w:shd w:val="clear" w:color="auto" w:fill="auto"/>
            <w:vAlign w:val="center"/>
          </w:tcPr>
          <w:p>
            <w:pPr>
              <w:spacing w:line="300" w:lineRule="exact"/>
              <w:jc w:val="left"/>
              <w:rPr>
                <w:rFonts w:ascii="仿宋_GB2312" w:hAnsi="仿宋_GB2312" w:eastAsia="仿宋_GB2312" w:cs="仿宋_GB2312"/>
              </w:rPr>
            </w:pPr>
            <w:r>
              <w:rPr>
                <w:rFonts w:hint="eastAsia" w:ascii="仿宋_GB2312" w:hAnsi="仿宋_GB2312" w:eastAsia="仿宋_GB2312" w:cs="仿宋_GB2312"/>
              </w:rPr>
              <w:t>质量指标</w:t>
            </w:r>
          </w:p>
        </w:tc>
        <w:tc>
          <w:tcPr>
            <w:tcW w:w="1276" w:type="dxa"/>
            <w:shd w:val="clear" w:color="auto" w:fill="auto"/>
            <w:vAlign w:val="center"/>
          </w:tcPr>
          <w:p>
            <w:pPr>
              <w:spacing w:line="300" w:lineRule="exact"/>
              <w:jc w:val="left"/>
              <w:rPr>
                <w:rFonts w:ascii="仿宋_GB2312" w:hAnsi="仿宋_GB2312" w:eastAsia="仿宋_GB2312" w:cs="仿宋_GB2312"/>
              </w:rPr>
            </w:pPr>
            <w:r>
              <w:rPr>
                <w:rFonts w:hint="eastAsia" w:ascii="仿宋_GB2312" w:hAnsi="仿宋_GB2312" w:eastAsia="仿宋_GB2312" w:cs="仿宋_GB2312"/>
              </w:rPr>
              <w:t>上级下达的各项工作任务完成率</w:t>
            </w:r>
          </w:p>
        </w:tc>
        <w:tc>
          <w:tcPr>
            <w:tcW w:w="2891" w:type="dxa"/>
            <w:shd w:val="clear" w:color="auto" w:fill="auto"/>
            <w:vAlign w:val="center"/>
          </w:tcPr>
          <w:p>
            <w:pPr>
              <w:spacing w:line="300" w:lineRule="exact"/>
              <w:jc w:val="left"/>
              <w:rPr>
                <w:rFonts w:ascii="仿宋_GB2312" w:hAnsi="仿宋_GB2312" w:eastAsia="仿宋_GB2312" w:cs="仿宋_GB2312"/>
              </w:rPr>
            </w:pPr>
            <w:r>
              <w:rPr>
                <w:rFonts w:hint="eastAsia" w:ascii="仿宋_GB2312" w:hAnsi="仿宋_GB2312" w:eastAsia="仿宋_GB2312" w:cs="仿宋_GB2312"/>
              </w:rPr>
              <w:t>保证完成上级下达学校的各项工作任务</w:t>
            </w:r>
          </w:p>
        </w:tc>
        <w:tc>
          <w:tcPr>
            <w:tcW w:w="1276" w:type="dxa"/>
            <w:shd w:val="clear" w:color="auto" w:fill="auto"/>
            <w:vAlign w:val="center"/>
          </w:tcPr>
          <w:p>
            <w:pPr>
              <w:spacing w:line="300" w:lineRule="exact"/>
              <w:jc w:val="left"/>
              <w:rPr>
                <w:rFonts w:ascii="仿宋_GB2312" w:hAnsi="仿宋_GB2312" w:eastAsia="仿宋_GB2312" w:cs="仿宋_GB2312"/>
              </w:rPr>
            </w:pPr>
            <w:r>
              <w:rPr>
                <w:rFonts w:hint="eastAsia" w:ascii="仿宋_GB2312" w:hAnsi="仿宋_GB2312" w:eastAsia="仿宋_GB2312" w:cs="仿宋_GB2312"/>
              </w:rPr>
              <w:t>100%</w:t>
            </w:r>
          </w:p>
        </w:tc>
        <w:tc>
          <w:tcPr>
            <w:tcW w:w="1701" w:type="dxa"/>
            <w:shd w:val="clear" w:color="auto" w:fill="auto"/>
            <w:vAlign w:val="center"/>
          </w:tcPr>
          <w:p>
            <w:pPr>
              <w:spacing w:line="300" w:lineRule="exact"/>
              <w:jc w:val="left"/>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时效指标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是否按时保质保量的完成</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及时提供的教学用品、保障教学设施、设备正常运行</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及时</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成本指标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小学生均公用经费含85取暖费</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义务教育阶段小学生均公用经费标准含85取暖费</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735元</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廊财教【2020】19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效果指标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社会效益指标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提高人口素质</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促进在校生德智体美劳全面发展、促进全民素质的提高。</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提高</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可持续影响指标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推动义务教育从数量向质量转变</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推动义务教育从数量扩张向质量提高转变</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提升</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满意度指标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服务对象满意度指标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接受义务教育学生家长满意度</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满意家长数量/总数</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≥90%</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5"/>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hint="eastAsia" w:ascii="仿宋_GB2312" w:hAnsi="仿宋_GB2312" w:eastAsia="仿宋_GB2312" w:cs="仿宋_GB2312"/>
                <w:bCs/>
                <w:sz w:val="28"/>
                <w:szCs w:val="28"/>
              </w:rPr>
              <w:t>2.2021年特殊教育中央补助资金绩效目标表</w:t>
            </w:r>
          </w:p>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p>
          <w:p>
            <w:pPr>
              <w:spacing w:line="300" w:lineRule="exact"/>
              <w:jc w:val="right"/>
              <w:rPr>
                <w:rFonts w:ascii="方正书宋_GBK" w:eastAsia="方正书宋_GBK"/>
              </w:rPr>
            </w:pPr>
          </w:p>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仿宋_GB2312" w:hAnsi="仿宋_GB2312" w:eastAsia="仿宋_GB2312" w:cs="仿宋_GB2312"/>
                <w:b/>
              </w:rPr>
              <w:t>绩效目标</w:t>
            </w:r>
          </w:p>
        </w:tc>
        <w:tc>
          <w:tcPr>
            <w:tcW w:w="8278" w:type="dxa"/>
            <w:gridSpan w:val="5"/>
            <w:tcBorders>
              <w:bottom w:val="nil"/>
            </w:tcBorders>
            <w:shd w:val="clear" w:color="auto" w:fill="auto"/>
            <w:vAlign w:val="center"/>
          </w:tcPr>
          <w:p>
            <w:pPr>
              <w:spacing w:line="300" w:lineRule="exact"/>
              <w:jc w:val="left"/>
              <w:rPr>
                <w:rFonts w:ascii="仿宋_GB2312" w:hAnsi="仿宋_GB2312" w:eastAsia="仿宋_GB2312" w:cs="仿宋_GB2312"/>
              </w:rPr>
            </w:pPr>
            <w:r>
              <w:rPr>
                <w:rFonts w:hint="eastAsia" w:ascii="仿宋_GB2312" w:hAnsi="仿宋_GB2312" w:eastAsia="仿宋_GB2312" w:cs="仿宋_GB2312"/>
              </w:rPr>
              <w:t>1.保障义务教育教学正常的进行</w:t>
            </w:r>
          </w:p>
          <w:p>
            <w:pPr>
              <w:spacing w:line="300" w:lineRule="exact"/>
              <w:jc w:val="left"/>
              <w:rPr>
                <w:rFonts w:ascii="仿宋_GB2312" w:hAnsi="仿宋_GB2312" w:eastAsia="仿宋_GB2312" w:cs="仿宋_GB2312"/>
              </w:rPr>
            </w:pPr>
            <w:r>
              <w:rPr>
                <w:rFonts w:hint="eastAsia" w:ascii="仿宋_GB2312" w:hAnsi="仿宋_GB2312" w:eastAsia="仿宋_GB2312" w:cs="仿宋_GB2312"/>
              </w:rPr>
              <w:t>2.及时化解学校特殊学生可能引发的安全事故，防止突发事故发生，建设和谐校园。</w:t>
            </w:r>
          </w:p>
          <w:p>
            <w:pPr>
              <w:spacing w:line="300" w:lineRule="exact"/>
              <w:jc w:val="left"/>
              <w:rPr>
                <w:rFonts w:ascii="方正书宋_GBK" w:eastAsia="方正书宋_GBK"/>
              </w:rPr>
            </w:pPr>
            <w:r>
              <w:rPr>
                <w:rFonts w:hint="eastAsia" w:ascii="仿宋_GB2312" w:hAnsi="仿宋_GB2312" w:eastAsia="仿宋_GB2312" w:cs="仿宋_GB2312"/>
              </w:rPr>
              <w:t>3.促进随班就读学生全面发展。</w:t>
            </w:r>
          </w:p>
        </w:tc>
      </w:tr>
    </w:tbl>
    <w:p>
      <w:pPr>
        <w:spacing w:line="14" w:lineRule="exact"/>
        <w:jc w:val="center"/>
        <w:rPr>
          <w:rFonts w:ascii="Times New Roman" w:hAnsi="宋体"/>
        </w:rPr>
      </w:pP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一级指标</w:t>
            </w:r>
          </w:p>
        </w:tc>
        <w:tc>
          <w:tcPr>
            <w:tcW w:w="1134"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二级指标</w:t>
            </w:r>
          </w:p>
        </w:tc>
        <w:tc>
          <w:tcPr>
            <w:tcW w:w="1276"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三级指标</w:t>
            </w:r>
          </w:p>
        </w:tc>
        <w:tc>
          <w:tcPr>
            <w:tcW w:w="2891"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绩效指标描述</w:t>
            </w:r>
          </w:p>
        </w:tc>
        <w:tc>
          <w:tcPr>
            <w:tcW w:w="1276"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w:t>
            </w:r>
          </w:p>
        </w:tc>
        <w:tc>
          <w:tcPr>
            <w:tcW w:w="1701"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left"/>
              <w:rPr>
                <w:rFonts w:ascii="仿宋_GB2312" w:hAnsi="仿宋_GB2312" w:eastAsia="仿宋_GB2312" w:cs="仿宋_GB2312"/>
              </w:rPr>
            </w:pPr>
            <w:r>
              <w:rPr>
                <w:rFonts w:hint="eastAsia" w:ascii="仿宋_GB2312" w:hAnsi="仿宋_GB2312" w:eastAsia="仿宋_GB2312" w:cs="仿宋_GB2312"/>
              </w:rPr>
              <w:t>产出指标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数量指标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物资采购合格率</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合格的教学用品数量占购置用品总量的比例</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100%</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left"/>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保安全</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保在校师生安全不出问题，无安全事故</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正常运转</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left"/>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时效指标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是否按时保质保量的完成</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及时提供的教学用品、保障教学设施、设备正常运行</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及时</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成本指标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学生特殊教育资金</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义务教育阶段小学特殊教育资金</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6000元</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廊财教（2020）41号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效果指标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社会效益指标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提高人口素质</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促进在校生德智体美劳全面发展、促进全民素质的提高。</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提高</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可持续影响指标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推动义务教育从数量向质量转变</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推动义务教育从数量扩张向质量提高转变.</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提升</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满意度指标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服务对象满意度指标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接受义务教育特殊学生家长满意度</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满意家长数量/总数</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≥95%</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调查问卷</w:t>
            </w:r>
          </w:p>
        </w:tc>
      </w:tr>
    </w:tbl>
    <w:p>
      <w:pPr>
        <w:jc w:val="left"/>
        <w:outlineLvl w:val="1"/>
        <w:rPr>
          <w:rFonts w:ascii="Times New Roman" w:hAnsi="Times New Roman" w:eastAsia="仿宋_GB2312" w:cs="Times New Roman"/>
        </w:rPr>
      </w:pP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pPr>
              <w:pStyle w:val="13"/>
              <w:ind w:firstLine="0" w:firstLineChars="0"/>
              <w:jc w:val="left"/>
              <w:outlineLvl w:val="1"/>
              <w:rPr>
                <w:rFonts w:ascii="方正书宋_GBK" w:eastAsia="方正书宋_GBK"/>
                <w:b/>
              </w:rPr>
            </w:pPr>
            <w:r>
              <w:rPr>
                <w:rFonts w:hint="eastAsia" w:ascii="仿宋_GB2312" w:eastAsia="仿宋_GB2312"/>
                <w:bCs/>
                <w:sz w:val="28"/>
                <w:szCs w:val="28"/>
              </w:rPr>
              <w:t>3.城市区小学生均公用经费中央（直达）配套资金绩效目标表</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仿宋_GB2312" w:hAnsi="仿宋_GB2312" w:eastAsia="仿宋_GB2312" w:cs="仿宋_GB2312"/>
                <w:b/>
              </w:rPr>
              <w:t>绩效目标</w:t>
            </w:r>
          </w:p>
        </w:tc>
        <w:tc>
          <w:tcPr>
            <w:tcW w:w="8278" w:type="dxa"/>
            <w:gridSpan w:val="2"/>
            <w:tcBorders>
              <w:bottom w:val="nil"/>
            </w:tcBorders>
            <w:shd w:val="clear" w:color="auto" w:fill="auto"/>
            <w:vAlign w:val="center"/>
          </w:tcPr>
          <w:p>
            <w:pPr>
              <w:spacing w:line="300" w:lineRule="exact"/>
              <w:jc w:val="left"/>
              <w:rPr>
                <w:rFonts w:ascii="仿宋_GB2312" w:hAnsi="仿宋_GB2312" w:eastAsia="仿宋_GB2312" w:cs="仿宋_GB2312"/>
              </w:rPr>
            </w:pPr>
            <w:r>
              <w:rPr>
                <w:rFonts w:hint="eastAsia" w:ascii="仿宋_GB2312" w:hAnsi="仿宋_GB2312" w:eastAsia="仿宋_GB2312" w:cs="仿宋_GB2312"/>
              </w:rPr>
              <w:t>1.保障义务教育教学正常的进行。</w:t>
            </w:r>
          </w:p>
          <w:p>
            <w:pPr>
              <w:spacing w:line="300" w:lineRule="exact"/>
              <w:jc w:val="left"/>
              <w:rPr>
                <w:rFonts w:ascii="仿宋_GB2312" w:hAnsi="仿宋_GB2312" w:eastAsia="仿宋_GB2312" w:cs="仿宋_GB2312"/>
              </w:rPr>
            </w:pPr>
            <w:r>
              <w:rPr>
                <w:rFonts w:hint="eastAsia" w:ascii="仿宋_GB2312" w:hAnsi="仿宋_GB2312" w:eastAsia="仿宋_GB2312" w:cs="仿宋_GB2312"/>
              </w:rPr>
              <w:t>2.改善办公条件，提升教育环境。</w:t>
            </w:r>
          </w:p>
          <w:p>
            <w:pPr>
              <w:spacing w:line="300" w:lineRule="exact"/>
              <w:jc w:val="left"/>
              <w:rPr>
                <w:rFonts w:ascii="仿宋_GB2312" w:hAnsi="仿宋_GB2312" w:eastAsia="仿宋_GB2312" w:cs="仿宋_GB2312"/>
              </w:rPr>
            </w:pPr>
            <w:r>
              <w:rPr>
                <w:rFonts w:hint="eastAsia" w:ascii="仿宋_GB2312" w:hAnsi="仿宋_GB2312" w:eastAsia="仿宋_GB2312" w:cs="仿宋_GB2312"/>
              </w:rPr>
              <w:t>3.开展教师培训，提高教师队伍水平。</w:t>
            </w:r>
          </w:p>
          <w:p>
            <w:pPr>
              <w:spacing w:line="300" w:lineRule="exact"/>
              <w:jc w:val="left"/>
              <w:rPr>
                <w:rFonts w:ascii="方正书宋_GBK" w:eastAsia="方正书宋_GBK"/>
              </w:rPr>
            </w:pPr>
            <w:r>
              <w:rPr>
                <w:rFonts w:hint="eastAsia" w:ascii="仿宋_GB2312" w:hAnsi="仿宋_GB2312" w:eastAsia="仿宋_GB2312" w:cs="仿宋_GB2312"/>
              </w:rPr>
              <w:t>4.开展文体活动，提高学生综合素质。</w:t>
            </w:r>
          </w:p>
        </w:tc>
      </w:tr>
    </w:tbl>
    <w:p>
      <w:pPr>
        <w:spacing w:line="14" w:lineRule="exact"/>
        <w:jc w:val="center"/>
        <w:rPr>
          <w:rFonts w:ascii="Times New Roman" w:hAnsi="宋体"/>
        </w:rPr>
      </w:pP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一级指标</w:t>
            </w:r>
          </w:p>
        </w:tc>
        <w:tc>
          <w:tcPr>
            <w:tcW w:w="1134"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二级指标</w:t>
            </w:r>
          </w:p>
        </w:tc>
        <w:tc>
          <w:tcPr>
            <w:tcW w:w="1276"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三级指标</w:t>
            </w:r>
          </w:p>
        </w:tc>
        <w:tc>
          <w:tcPr>
            <w:tcW w:w="2891"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绩效指标描述</w:t>
            </w:r>
          </w:p>
        </w:tc>
        <w:tc>
          <w:tcPr>
            <w:tcW w:w="1276"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w:t>
            </w:r>
          </w:p>
        </w:tc>
        <w:tc>
          <w:tcPr>
            <w:tcW w:w="1701"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产出指标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数量指标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物资采购合格率</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合格的教学用品数量占购置用品总量的比例</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100%</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保安全</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保在校师生安全不出问题，无安全事故。</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安全</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保正常运转</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日常教学器材及物资充裕</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正常运转</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上级下达的各项工作任务完成率</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保证完成上级下达学校的各项工作任务</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100%</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时效指标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是否按时保质保量的完成</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及时提供的教学用品、保障教学设施、设备正常运行</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及时</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成本指标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小学生均公用经费含85取暖费</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义务教育阶段小学生均公用经费标准含85取暖费</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735元</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廊财教【2020】42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left"/>
              <w:rPr>
                <w:rFonts w:ascii="仿宋_GB2312" w:hAnsi="仿宋_GB2312" w:eastAsia="仿宋_GB2312" w:cs="仿宋_GB2312"/>
              </w:rPr>
            </w:pPr>
            <w:r>
              <w:rPr>
                <w:rFonts w:hint="eastAsia" w:ascii="仿宋_GB2312" w:hAnsi="仿宋_GB2312" w:eastAsia="仿宋_GB2312" w:cs="仿宋_GB2312"/>
              </w:rPr>
              <w:t>效果指标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社会效益指标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推动义务教育从数量向质量转变</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推动义务教育从数量扩张向质量提高转变</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提升</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left"/>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可持续影响指标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提高人口素质</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促进在校生德智体美劳全面发展、促进全民素质的提高。</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提高</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left"/>
              <w:rPr>
                <w:rFonts w:ascii="仿宋_GB2312" w:hAnsi="仿宋_GB2312" w:eastAsia="仿宋_GB2312" w:cs="仿宋_GB2312"/>
              </w:rPr>
            </w:pPr>
            <w:r>
              <w:rPr>
                <w:rFonts w:hint="eastAsia" w:ascii="仿宋_GB2312" w:hAnsi="仿宋_GB2312" w:eastAsia="仿宋_GB2312" w:cs="仿宋_GB2312"/>
              </w:rPr>
              <w:t>满意度指标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服务对象满意度指标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接受义务教育学生家长满意度</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满意家长数量/总数</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≥90%</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调查问卷</w:t>
            </w:r>
          </w:p>
        </w:tc>
      </w:tr>
    </w:tbl>
    <w:p>
      <w:pPr>
        <w:pStyle w:val="13"/>
        <w:ind w:left="840" w:firstLine="0" w:firstLineChars="0"/>
        <w:jc w:val="left"/>
        <w:outlineLvl w:val="1"/>
        <w:rPr>
          <w:rFonts w:ascii="仿宋_GB2312" w:eastAsia="仿宋_GB2312"/>
          <w:b/>
          <w:sz w:val="24"/>
          <w:szCs w:val="24"/>
        </w:rPr>
      </w:pPr>
      <w:r>
        <w:rPr>
          <w:rFonts w:hint="eastAsia" w:ascii="仿宋_GB2312" w:eastAsia="仿宋_GB2312"/>
          <w:b/>
          <w:sz w:val="24"/>
          <w:szCs w:val="24"/>
        </w:rPr>
        <w:fldChar w:fldCharType="begin"/>
      </w:r>
      <w:r>
        <w:rPr>
          <w:rFonts w:hint="eastAsia" w:ascii="仿宋_GB2312" w:eastAsia="仿宋_GB2312"/>
          <w:b/>
          <w:sz w:val="24"/>
          <w:szCs w:val="24"/>
        </w:rPr>
        <w:instrText xml:space="preserve"> TC 59、城市区初中生均公用经费中央（直达）配套资金绩效目标表 \f C \l 1 </w:instrText>
      </w:r>
      <w:r>
        <w:rPr>
          <w:rFonts w:hint="eastAsia" w:ascii="仿宋_GB2312" w:eastAsia="仿宋_GB2312"/>
          <w:b/>
          <w:sz w:val="24"/>
          <w:szCs w:val="24"/>
        </w:rPr>
        <w:fldChar w:fldCharType="end"/>
      </w:r>
    </w:p>
    <w:p>
      <w:pPr>
        <w:rPr>
          <w:rFonts w:hint="eastAsia"/>
        </w:rPr>
      </w:pPr>
    </w:p>
    <w:p>
      <w:pPr>
        <w:rPr>
          <w:rFonts w:hint="eastAsia"/>
        </w:rPr>
      </w:pPr>
    </w:p>
    <w:p/>
    <w:p>
      <w:pPr>
        <w:tabs>
          <w:tab w:val="left" w:pos="2594"/>
        </w:tabs>
        <w:ind w:firstLine="560" w:firstLineChars="200"/>
        <w:rPr>
          <w:rFonts w:ascii="Times New Roman" w:hAnsi="Times New Roman" w:eastAsia="仿宋_GB2312" w:cs="Times New Roman"/>
          <w:vanish/>
          <w:sz w:val="28"/>
        </w:rPr>
      </w:pPr>
    </w:p>
    <w:p>
      <w:pPr>
        <w:tabs>
          <w:tab w:val="left" w:pos="2594"/>
        </w:tabs>
        <w:ind w:firstLine="560" w:firstLineChars="200"/>
        <w:rPr>
          <w:rFonts w:ascii="Times New Roman" w:hAnsi="Times New Roman" w:eastAsia="仿宋_GB2312" w:cs="Times New Roman"/>
          <w:vanish/>
          <w:sz w:val="28"/>
        </w:rPr>
      </w:pPr>
    </w:p>
    <w:p>
      <w:pPr>
        <w:tabs>
          <w:tab w:val="left" w:pos="2594"/>
        </w:tabs>
        <w:ind w:firstLine="560" w:firstLineChars="200"/>
        <w:rPr>
          <w:rFonts w:ascii="Times New Roman" w:hAnsi="Times New Roman" w:eastAsia="仿宋_GB2312" w:cs="Times New Roman"/>
          <w:vanish/>
          <w:sz w:val="28"/>
        </w:rPr>
      </w:pPr>
    </w:p>
    <w:p>
      <w:pPr>
        <w:tabs>
          <w:tab w:val="left" w:pos="2594"/>
        </w:tabs>
        <w:ind w:firstLine="560" w:firstLineChars="200"/>
        <w:rPr>
          <w:rFonts w:ascii="Times New Roman" w:hAnsi="Times New Roman" w:eastAsia="黑体" w:cs="Times New Roman"/>
          <w:sz w:val="32"/>
          <w:szCs w:val="32"/>
        </w:rPr>
      </w:pPr>
      <w:r>
        <w:rPr>
          <w:rFonts w:ascii="Times New Roman" w:hAnsi="Times New Roman" w:eastAsia="仿宋_GB2312" w:cs="Times New Roman"/>
          <w:vanish/>
          <w:sz w:val="28"/>
        </w:rPr>
        <w:t>{ TC 2、办公自动化（OA）和督查督办系统升级及推广费绩效目标表 \f C \l 1 }</w:t>
      </w:r>
      <w:r>
        <w:rPr>
          <w:rFonts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0"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21</w:t>
      </w:r>
      <w:r>
        <w:rPr>
          <w:rFonts w:ascii="Times New Roman" w:hAnsi="Times New Roman" w:eastAsia="仿宋_GB2312" w:cs="Times New Roman"/>
          <w:sz w:val="32"/>
          <w:szCs w:val="24"/>
        </w:rPr>
        <w:t>年，我部门安排政府采购预算</w:t>
      </w:r>
      <w:r>
        <w:rPr>
          <w:rFonts w:hint="eastAsia" w:ascii="Times New Roman" w:hAnsi="Times New Roman" w:eastAsia="仿宋_GB2312" w:cs="Times New Roman"/>
          <w:sz w:val="32"/>
          <w:szCs w:val="24"/>
        </w:rPr>
        <w:t>0</w:t>
      </w:r>
      <w:r>
        <w:rPr>
          <w:rFonts w:ascii="Times New Roman" w:hAnsi="Times New Roman" w:eastAsia="仿宋_GB2312" w:cs="Times New Roman"/>
          <w:sz w:val="32"/>
          <w:szCs w:val="24"/>
        </w:rPr>
        <w:t>万元。具体内容见下表。</w:t>
      </w:r>
    </w:p>
    <w:bookmarkEnd w:id="0"/>
    <w:p>
      <w:pPr>
        <w:spacing w:line="584" w:lineRule="exact"/>
        <w:jc w:val="left"/>
        <w:outlineLvl w:val="0"/>
        <w:rPr>
          <w:rFonts w:ascii="Times New Roman" w:hAnsi="Times New Roman" w:eastAsia="仿宋_GB2312" w:cs="Times New Roman"/>
        </w:rPr>
      </w:pPr>
    </w:p>
    <w:p>
      <w:pPr>
        <w:jc w:val="center"/>
        <w:outlineLvl w:val="1"/>
        <w:rPr>
          <w:rFonts w:ascii="Times New Roman" w:hAnsi="Times New Roman" w:cs="Times New Roman"/>
          <w:sz w:val="32"/>
        </w:rPr>
      </w:pPr>
      <w:bookmarkStart w:id="1" w:name="_Toc64920910"/>
      <w:r>
        <w:rPr>
          <w:rFonts w:hint="eastAsia" w:ascii="方正小标宋简体" w:hAnsi="方正小标宋简体" w:eastAsia="方正小标宋简体" w:cs="方正小标宋简体"/>
          <w:sz w:val="32"/>
        </w:rPr>
        <w:t>部门政府采购预算</w:t>
      </w:r>
      <w:bookmarkEnd w:id="1"/>
    </w:p>
    <w:tbl>
      <w:tblPr>
        <w:tblStyle w:val="8"/>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黑体" w:hAnsi="黑体" w:eastAsia="黑体" w:cs="黑体"/>
                <w:sz w:val="24"/>
              </w:rPr>
            </w:pPr>
            <w:r>
              <w:rPr>
                <w:rFonts w:hint="eastAsia" w:ascii="黑体" w:hAnsi="黑体" w:eastAsia="黑体" w:cs="黑体"/>
                <w:sz w:val="24"/>
              </w:rPr>
              <w:t>[430009]廊坊市第八小学</w:t>
            </w:r>
          </w:p>
        </w:tc>
        <w:tc>
          <w:tcPr>
            <w:tcW w:w="6804"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黑体" w:hAnsi="黑体" w:eastAsia="黑体" w:cs="黑体"/>
                <w:sz w:val="24"/>
              </w:rPr>
            </w:pPr>
            <w:r>
              <w:rPr>
                <w:rFonts w:hint="eastAsia" w:ascii="黑体" w:hAnsi="黑体" w:eastAsia="黑体" w:cs="黑体"/>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18" w:type="dxa"/>
            <w:gridSpan w:val="2"/>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政府采购项目来源</w:t>
            </w:r>
          </w:p>
        </w:tc>
        <w:tc>
          <w:tcPr>
            <w:tcW w:w="1531" w:type="dxa"/>
            <w:vMerge w:val="restart"/>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采购物品名称</w:t>
            </w:r>
          </w:p>
        </w:tc>
        <w:tc>
          <w:tcPr>
            <w:tcW w:w="1531" w:type="dxa"/>
            <w:vMerge w:val="restart"/>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政府采购目录序号</w:t>
            </w:r>
          </w:p>
        </w:tc>
        <w:tc>
          <w:tcPr>
            <w:tcW w:w="709" w:type="dxa"/>
            <w:vMerge w:val="restart"/>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计量  单位</w:t>
            </w:r>
          </w:p>
        </w:tc>
        <w:tc>
          <w:tcPr>
            <w:tcW w:w="907" w:type="dxa"/>
            <w:vMerge w:val="restart"/>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数量</w:t>
            </w:r>
          </w:p>
        </w:tc>
        <w:tc>
          <w:tcPr>
            <w:tcW w:w="907" w:type="dxa"/>
            <w:vMerge w:val="restart"/>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单价</w:t>
            </w:r>
          </w:p>
        </w:tc>
        <w:tc>
          <w:tcPr>
            <w:tcW w:w="6804" w:type="dxa"/>
            <w:gridSpan w:val="6"/>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84" w:type="dxa"/>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项目名称</w:t>
            </w:r>
          </w:p>
        </w:tc>
        <w:tc>
          <w:tcPr>
            <w:tcW w:w="1134" w:type="dxa"/>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预算资金</w:t>
            </w:r>
          </w:p>
        </w:tc>
        <w:tc>
          <w:tcPr>
            <w:tcW w:w="1531" w:type="dxa"/>
            <w:vMerge w:val="continue"/>
            <w:shd w:val="clear" w:color="auto" w:fill="auto"/>
            <w:vAlign w:val="center"/>
          </w:tcPr>
          <w:p>
            <w:pPr>
              <w:rPr>
                <w:rFonts w:ascii="黑体" w:hAnsi="黑体" w:eastAsia="黑体" w:cs="黑体"/>
                <w:bCs/>
              </w:rPr>
            </w:pPr>
          </w:p>
        </w:tc>
        <w:tc>
          <w:tcPr>
            <w:tcW w:w="1531" w:type="dxa"/>
            <w:vMerge w:val="continue"/>
            <w:shd w:val="clear" w:color="auto" w:fill="auto"/>
            <w:vAlign w:val="center"/>
          </w:tcPr>
          <w:p>
            <w:pPr>
              <w:rPr>
                <w:rFonts w:ascii="黑体" w:hAnsi="黑体" w:eastAsia="黑体" w:cs="黑体"/>
                <w:bCs/>
              </w:rPr>
            </w:pPr>
          </w:p>
        </w:tc>
        <w:tc>
          <w:tcPr>
            <w:tcW w:w="709" w:type="dxa"/>
            <w:vMerge w:val="continue"/>
            <w:shd w:val="clear" w:color="auto" w:fill="auto"/>
            <w:vAlign w:val="center"/>
          </w:tcPr>
          <w:p>
            <w:pPr>
              <w:rPr>
                <w:rFonts w:ascii="黑体" w:hAnsi="黑体" w:eastAsia="黑体" w:cs="黑体"/>
                <w:bCs/>
              </w:rPr>
            </w:pPr>
          </w:p>
        </w:tc>
        <w:tc>
          <w:tcPr>
            <w:tcW w:w="907" w:type="dxa"/>
            <w:vMerge w:val="continue"/>
            <w:shd w:val="clear" w:color="auto" w:fill="auto"/>
            <w:vAlign w:val="center"/>
          </w:tcPr>
          <w:p>
            <w:pPr>
              <w:rPr>
                <w:rFonts w:ascii="黑体" w:hAnsi="黑体" w:eastAsia="黑体" w:cs="黑体"/>
                <w:bCs/>
              </w:rPr>
            </w:pPr>
          </w:p>
        </w:tc>
        <w:tc>
          <w:tcPr>
            <w:tcW w:w="907" w:type="dxa"/>
            <w:vMerge w:val="continue"/>
            <w:shd w:val="clear" w:color="auto" w:fill="auto"/>
            <w:vAlign w:val="center"/>
          </w:tcPr>
          <w:p>
            <w:pPr>
              <w:rPr>
                <w:rFonts w:ascii="黑体" w:hAnsi="黑体" w:eastAsia="黑体" w:cs="黑体"/>
                <w:bCs/>
              </w:rPr>
            </w:pPr>
          </w:p>
        </w:tc>
        <w:tc>
          <w:tcPr>
            <w:tcW w:w="1134" w:type="dxa"/>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合计</w:t>
            </w:r>
          </w:p>
        </w:tc>
        <w:tc>
          <w:tcPr>
            <w:tcW w:w="1134" w:type="dxa"/>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一般公共预算拨款</w:t>
            </w:r>
          </w:p>
        </w:tc>
        <w:tc>
          <w:tcPr>
            <w:tcW w:w="1134" w:type="dxa"/>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基金预算拨款</w:t>
            </w:r>
          </w:p>
        </w:tc>
        <w:tc>
          <w:tcPr>
            <w:tcW w:w="1134" w:type="dxa"/>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国有资本经营预算拨款</w:t>
            </w:r>
          </w:p>
        </w:tc>
        <w:tc>
          <w:tcPr>
            <w:tcW w:w="1134" w:type="dxa"/>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财政专户核拨</w:t>
            </w:r>
          </w:p>
        </w:tc>
        <w:tc>
          <w:tcPr>
            <w:tcW w:w="1134" w:type="dxa"/>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合  计</w:t>
            </w:r>
          </w:p>
        </w:tc>
        <w:tc>
          <w:tcPr>
            <w:tcW w:w="1134" w:type="dxa"/>
            <w:shd w:val="clear" w:color="auto" w:fill="auto"/>
            <w:vAlign w:val="center"/>
          </w:tcPr>
          <w:p>
            <w:pPr>
              <w:spacing w:line="300" w:lineRule="exact"/>
              <w:jc w:val="right"/>
              <w:rPr>
                <w:rFonts w:ascii="黑体" w:hAnsi="黑体" w:eastAsia="黑体" w:cs="黑体"/>
                <w:bCs/>
              </w:rPr>
            </w:pPr>
          </w:p>
        </w:tc>
        <w:tc>
          <w:tcPr>
            <w:tcW w:w="1531" w:type="dxa"/>
            <w:shd w:val="clear" w:color="auto" w:fill="auto"/>
            <w:vAlign w:val="center"/>
          </w:tcPr>
          <w:p>
            <w:pPr>
              <w:spacing w:line="300" w:lineRule="exact"/>
              <w:jc w:val="left"/>
              <w:rPr>
                <w:rFonts w:ascii="黑体" w:hAnsi="黑体" w:eastAsia="黑体" w:cs="黑体"/>
                <w:bCs/>
              </w:rPr>
            </w:pPr>
          </w:p>
        </w:tc>
        <w:tc>
          <w:tcPr>
            <w:tcW w:w="1531" w:type="dxa"/>
            <w:shd w:val="clear" w:color="auto" w:fill="auto"/>
            <w:vAlign w:val="center"/>
          </w:tcPr>
          <w:p>
            <w:pPr>
              <w:spacing w:line="300" w:lineRule="exact"/>
              <w:jc w:val="left"/>
              <w:rPr>
                <w:rFonts w:ascii="黑体" w:hAnsi="黑体" w:eastAsia="黑体" w:cs="黑体"/>
                <w:bCs/>
              </w:rPr>
            </w:pPr>
          </w:p>
        </w:tc>
        <w:tc>
          <w:tcPr>
            <w:tcW w:w="709" w:type="dxa"/>
            <w:shd w:val="clear" w:color="auto" w:fill="auto"/>
            <w:vAlign w:val="center"/>
          </w:tcPr>
          <w:p>
            <w:pPr>
              <w:spacing w:line="300" w:lineRule="exact"/>
              <w:jc w:val="center"/>
              <w:rPr>
                <w:rFonts w:ascii="黑体" w:hAnsi="黑体" w:eastAsia="黑体" w:cs="黑体"/>
                <w:bCs/>
              </w:rPr>
            </w:pPr>
          </w:p>
        </w:tc>
        <w:tc>
          <w:tcPr>
            <w:tcW w:w="907" w:type="dxa"/>
            <w:shd w:val="clear" w:color="auto" w:fill="auto"/>
            <w:vAlign w:val="center"/>
          </w:tcPr>
          <w:p>
            <w:pPr>
              <w:spacing w:line="300" w:lineRule="exact"/>
              <w:jc w:val="right"/>
              <w:rPr>
                <w:rFonts w:ascii="黑体" w:hAnsi="黑体" w:eastAsia="黑体" w:cs="黑体"/>
                <w:bCs/>
              </w:rPr>
            </w:pPr>
          </w:p>
        </w:tc>
        <w:tc>
          <w:tcPr>
            <w:tcW w:w="907" w:type="dxa"/>
            <w:shd w:val="clear" w:color="auto" w:fill="auto"/>
            <w:vAlign w:val="center"/>
          </w:tcPr>
          <w:p>
            <w:pPr>
              <w:spacing w:line="300" w:lineRule="exact"/>
              <w:jc w:val="right"/>
              <w:rPr>
                <w:rFonts w:ascii="黑体" w:hAnsi="黑体" w:eastAsia="黑体" w:cs="黑体"/>
                <w:bCs/>
              </w:rPr>
            </w:pPr>
          </w:p>
        </w:tc>
        <w:tc>
          <w:tcPr>
            <w:tcW w:w="1134" w:type="dxa"/>
            <w:shd w:val="clear" w:color="auto" w:fill="auto"/>
            <w:vAlign w:val="center"/>
          </w:tcPr>
          <w:p>
            <w:pPr>
              <w:spacing w:line="300" w:lineRule="exact"/>
              <w:jc w:val="right"/>
              <w:rPr>
                <w:rFonts w:ascii="黑体" w:hAnsi="黑体" w:eastAsia="黑体" w:cs="黑体"/>
                <w:bCs/>
              </w:rPr>
            </w:pPr>
          </w:p>
        </w:tc>
        <w:tc>
          <w:tcPr>
            <w:tcW w:w="1134" w:type="dxa"/>
            <w:shd w:val="clear" w:color="auto" w:fill="auto"/>
            <w:vAlign w:val="center"/>
          </w:tcPr>
          <w:p>
            <w:pPr>
              <w:spacing w:line="300" w:lineRule="exact"/>
              <w:jc w:val="right"/>
              <w:rPr>
                <w:rFonts w:ascii="黑体" w:hAnsi="黑体" w:eastAsia="黑体" w:cs="黑体"/>
                <w:bCs/>
              </w:rPr>
            </w:pPr>
          </w:p>
        </w:tc>
        <w:tc>
          <w:tcPr>
            <w:tcW w:w="1134" w:type="dxa"/>
            <w:shd w:val="clear" w:color="auto" w:fill="auto"/>
            <w:vAlign w:val="center"/>
          </w:tcPr>
          <w:p>
            <w:pPr>
              <w:spacing w:line="300" w:lineRule="exact"/>
              <w:jc w:val="right"/>
              <w:rPr>
                <w:rFonts w:ascii="黑体" w:hAnsi="黑体" w:eastAsia="黑体" w:cs="黑体"/>
                <w:bCs/>
              </w:rPr>
            </w:pPr>
          </w:p>
        </w:tc>
        <w:tc>
          <w:tcPr>
            <w:tcW w:w="1134" w:type="dxa"/>
            <w:shd w:val="clear" w:color="auto" w:fill="auto"/>
            <w:vAlign w:val="center"/>
          </w:tcPr>
          <w:p>
            <w:pPr>
              <w:spacing w:line="300" w:lineRule="exact"/>
              <w:jc w:val="right"/>
              <w:rPr>
                <w:rFonts w:ascii="黑体" w:hAnsi="黑体" w:eastAsia="黑体" w:cs="黑体"/>
                <w:bCs/>
              </w:rPr>
            </w:pPr>
          </w:p>
        </w:tc>
        <w:tc>
          <w:tcPr>
            <w:tcW w:w="1134" w:type="dxa"/>
            <w:shd w:val="clear" w:color="auto" w:fill="auto"/>
            <w:vAlign w:val="center"/>
          </w:tcPr>
          <w:p>
            <w:pPr>
              <w:spacing w:line="300" w:lineRule="exact"/>
              <w:jc w:val="right"/>
              <w:rPr>
                <w:rFonts w:ascii="黑体" w:hAnsi="黑体" w:eastAsia="黑体" w:cs="黑体"/>
                <w:bCs/>
              </w:rPr>
            </w:pPr>
          </w:p>
        </w:tc>
        <w:tc>
          <w:tcPr>
            <w:tcW w:w="1134" w:type="dxa"/>
            <w:shd w:val="clear" w:color="auto" w:fill="auto"/>
            <w:vAlign w:val="center"/>
          </w:tcPr>
          <w:p>
            <w:pPr>
              <w:spacing w:line="300" w:lineRule="exact"/>
              <w:jc w:val="right"/>
              <w:rPr>
                <w:rFonts w:ascii="黑体" w:hAnsi="黑体" w:eastAsia="黑体" w:cs="黑体"/>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709" w:type="dxa"/>
            <w:shd w:val="clear" w:color="auto" w:fill="auto"/>
            <w:vAlign w:val="center"/>
          </w:tcPr>
          <w:p>
            <w:pPr>
              <w:spacing w:line="300" w:lineRule="exact"/>
              <w:jc w:val="center"/>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bl>
    <w:p>
      <w:pPr>
        <w:autoSpaceDE w:val="0"/>
        <w:autoSpaceDN w:val="0"/>
        <w:adjustRightInd w:val="0"/>
        <w:spacing w:line="584" w:lineRule="exact"/>
        <w:ind w:firstLine="640" w:firstLineChars="200"/>
        <w:jc w:val="left"/>
        <w:rPr>
          <w:rFonts w:hint="eastAsia"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hint="eastAsia"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hint="eastAsia"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hint="eastAsia"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廊坊市第八小学上年末固定资产金额为611.33万元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本年度我部门拟购置固定资产总额为0万元。</w:t>
      </w: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廊坊市第八小学固定资产占用情况表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编制部门：廊坊市第八小学</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20</w:t>
            </w:r>
            <w:r>
              <w:rPr>
                <w:rFonts w:ascii="Times New Roman" w:hAnsi="Times New Roman" w:eastAsia="仿宋_GB2312" w:cs="Times New Roman"/>
                <w:kern w:val="0"/>
                <w:sz w:val="22"/>
              </w:rPr>
              <w:t xml:space="preserve">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611.33</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4510</w:t>
            </w:r>
          </w:p>
        </w:tc>
        <w:tc>
          <w:tcPr>
            <w:tcW w:w="5103"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仿宋_GB2312" w:cs="Times New Roman"/>
                <w:sz w:val="22"/>
              </w:rPr>
            </w:pPr>
            <w:r>
              <w:rPr>
                <w:rFonts w:ascii="Times New Roman" w:hAnsi="Times New Roman" w:eastAsia="微软雅黑" w:cs="Times New Roman"/>
                <w:color w:val="333333"/>
                <w:sz w:val="22"/>
              </w:rPr>
              <w:t>325.68</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380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26137</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285.65</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sectPr>
      <w:footerReference r:id="rId3" w:type="default"/>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书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13</w:t>
    </w:r>
    <w:r>
      <w:rPr>
        <w:lang w:val="zh-CN"/>
      </w:rPr>
      <w:fldChar w:fldCharType="end"/>
    </w:r>
    <w:r>
      <w:rPr>
        <w:rFonts w:hint="eastAsia"/>
      </w:rPr>
      <w:t>-</w:t>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677026"/>
    <w:multiLevelType w:val="multilevel"/>
    <w:tmpl w:val="5E677026"/>
    <w:lvl w:ilvl="0" w:tentative="0">
      <w:start w:val="1"/>
      <w:numFmt w:val="decimal"/>
      <w:lvlText w:val="%1."/>
      <w:lvlJc w:val="left"/>
      <w:pPr>
        <w:ind w:left="840" w:hanging="360"/>
      </w:pPr>
      <w:rPr>
        <w:rFonts w:hint="default" w:hAnsi="Times New Roman" w:cs="Times New Roman"/>
        <w:b w:val="0"/>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7CC"/>
    <w:rsid w:val="001274F1"/>
    <w:rsid w:val="0016279D"/>
    <w:rsid w:val="002343DC"/>
    <w:rsid w:val="0028151A"/>
    <w:rsid w:val="002847F8"/>
    <w:rsid w:val="002C3B7C"/>
    <w:rsid w:val="00301F9F"/>
    <w:rsid w:val="00356683"/>
    <w:rsid w:val="00373909"/>
    <w:rsid w:val="00381F67"/>
    <w:rsid w:val="00382E71"/>
    <w:rsid w:val="004A0660"/>
    <w:rsid w:val="004A54AA"/>
    <w:rsid w:val="0051539C"/>
    <w:rsid w:val="00561250"/>
    <w:rsid w:val="005A19A4"/>
    <w:rsid w:val="005D56CA"/>
    <w:rsid w:val="005E2CBA"/>
    <w:rsid w:val="005E4D0F"/>
    <w:rsid w:val="00634056"/>
    <w:rsid w:val="0064486C"/>
    <w:rsid w:val="006477C2"/>
    <w:rsid w:val="0067386F"/>
    <w:rsid w:val="00691641"/>
    <w:rsid w:val="007129AF"/>
    <w:rsid w:val="007257DA"/>
    <w:rsid w:val="00734C90"/>
    <w:rsid w:val="00750937"/>
    <w:rsid w:val="007E2315"/>
    <w:rsid w:val="00807A76"/>
    <w:rsid w:val="0085432A"/>
    <w:rsid w:val="008759F9"/>
    <w:rsid w:val="0089152A"/>
    <w:rsid w:val="008C0827"/>
    <w:rsid w:val="008F0EB4"/>
    <w:rsid w:val="00A218C6"/>
    <w:rsid w:val="00A829D5"/>
    <w:rsid w:val="00AA0158"/>
    <w:rsid w:val="00AD7CE4"/>
    <w:rsid w:val="00B17B32"/>
    <w:rsid w:val="00B565AB"/>
    <w:rsid w:val="00B80935"/>
    <w:rsid w:val="00BA3CDD"/>
    <w:rsid w:val="00C032F4"/>
    <w:rsid w:val="00C16497"/>
    <w:rsid w:val="00CA27A5"/>
    <w:rsid w:val="00D24C89"/>
    <w:rsid w:val="00D347CC"/>
    <w:rsid w:val="00E27CE3"/>
    <w:rsid w:val="00F37F3A"/>
    <w:rsid w:val="00F70818"/>
    <w:rsid w:val="00FA4801"/>
    <w:rsid w:val="00FC12FE"/>
    <w:rsid w:val="02900628"/>
    <w:rsid w:val="39806CEF"/>
    <w:rsid w:val="4EDF3BA6"/>
    <w:rsid w:val="59FC0C50"/>
    <w:rsid w:val="5DEE3CCA"/>
    <w:rsid w:val="62DD6664"/>
    <w:rsid w:val="6A2537B8"/>
    <w:rsid w:val="70014FAD"/>
    <w:rsid w:val="77756562"/>
    <w:rsid w:val="778F0829"/>
    <w:rsid w:val="7DEE692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nhideWhenUsed="0" w:uiPriority="0" w:semiHidden="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uiPriority w:val="0"/>
    <w:rPr>
      <w:sz w:val="18"/>
      <w:szCs w:val="18"/>
    </w:rPr>
  </w:style>
  <w:style w:type="paragraph" w:styleId="3">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0"/>
    <w:rPr>
      <w:rFonts w:ascii="Times New Roman" w:hAnsi="Times New Roman" w:cs="Times New Roman"/>
      <w:szCs w:val="24"/>
    </w:rPr>
  </w:style>
  <w:style w:type="paragraph" w:styleId="6">
    <w:name w:val="footnote text"/>
    <w:basedOn w:val="1"/>
    <w:qFormat/>
    <w:uiPriority w:val="0"/>
    <w:pPr>
      <w:snapToGrid w:val="0"/>
      <w:jc w:val="left"/>
    </w:pPr>
    <w:rPr>
      <w:rFonts w:cs="Times New Roman"/>
      <w:sz w:val="18"/>
      <w:szCs w:val="18"/>
    </w:rPr>
  </w:style>
  <w:style w:type="paragraph" w:styleId="7">
    <w:name w:val="toc 2"/>
    <w:basedOn w:val="1"/>
    <w:next w:val="1"/>
    <w:qFormat/>
    <w:uiPriority w:val="0"/>
    <w:pPr>
      <w:ind w:left="200" w:leftChars="200"/>
    </w:pPr>
    <w:rPr>
      <w:rFonts w:ascii="Times New Roman" w:hAnsi="Times New Roman" w:cs="Times New Roman"/>
      <w:szCs w:val="24"/>
    </w:rPr>
  </w:style>
  <w:style w:type="character" w:styleId="10">
    <w:name w:val="page number"/>
    <w:basedOn w:val="9"/>
    <w:qFormat/>
    <w:uiPriority w:val="0"/>
  </w:style>
  <w:style w:type="character" w:styleId="11">
    <w:name w:val="footnote reference"/>
    <w:uiPriority w:val="0"/>
    <w:rPr>
      <w:vertAlign w:val="superscript"/>
    </w:rPr>
  </w:style>
  <w:style w:type="paragraph" w:customStyle="1" w:styleId="1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15</Pages>
  <Words>823</Words>
  <Characters>4697</Characters>
  <Lines>39</Lines>
  <Paragraphs>11</Paragraphs>
  <TotalTime>4</TotalTime>
  <ScaleCrop>false</ScaleCrop>
  <LinksUpToDate>false</LinksUpToDate>
  <CharactersWithSpaces>5509</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XCK</cp:lastModifiedBy>
  <cp:lastPrinted>2018-01-30T06:12:00Z</cp:lastPrinted>
  <dcterms:modified xsi:type="dcterms:W3CDTF">2023-06-02T03:04:47Z</dcterms:modified>
  <cp:revision>102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A0BF47054D4F46F2B580B05B36E80236</vt:lpwstr>
  </property>
</Properties>
</file>