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十六</w:t>
      </w:r>
      <w:r>
        <w:rPr>
          <w:rFonts w:hint="eastAsia" w:ascii="Times New Roman" w:hAnsi="Times New Roman" w:eastAsia="方正小标宋简体" w:cs="Times New Roman"/>
          <w:sz w:val="44"/>
          <w:szCs w:val="44"/>
        </w:rPr>
        <w:t>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lang w:val="en-US" w:eastAsia="zh-CN"/>
        </w:rPr>
        <w:t>十六</w:t>
      </w:r>
      <w:r>
        <w:rPr>
          <w:rFonts w:ascii="Times New Roman" w:hAnsi="Times New Roman" w:eastAsia="仿宋_GB2312" w:cs="Times New Roman"/>
          <w:sz w:val="32"/>
          <w:szCs w:val="32"/>
        </w:rPr>
        <w:t>中学20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6"/>
        <w:gridCol w:w="1400"/>
        <w:gridCol w:w="1254"/>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89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0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5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96" w:type="dxa"/>
            <w:vMerge w:val="continue"/>
            <w:shd w:val="clear" w:color="auto" w:fill="auto"/>
            <w:vAlign w:val="center"/>
          </w:tcPr>
          <w:p/>
        </w:tc>
        <w:tc>
          <w:tcPr>
            <w:tcW w:w="1400" w:type="dxa"/>
            <w:vMerge w:val="continue"/>
            <w:shd w:val="clear" w:color="auto" w:fill="auto"/>
            <w:vAlign w:val="center"/>
          </w:tcPr>
          <w:p/>
        </w:tc>
        <w:tc>
          <w:tcPr>
            <w:tcW w:w="1254"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9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廊坊市第</w:t>
            </w:r>
            <w:r>
              <w:rPr>
                <w:rFonts w:hint="eastAsia" w:ascii="Times New Roman" w:hAnsi="Times New Roman" w:eastAsia="仿宋_GB2312" w:cs="Times New Roman"/>
                <w:b/>
                <w:lang w:val="en-US" w:eastAsia="zh-CN"/>
              </w:rPr>
              <w:t>十六</w:t>
            </w:r>
            <w:r>
              <w:rPr>
                <w:rFonts w:ascii="Times New Roman" w:hAnsi="Times New Roman" w:eastAsia="仿宋_GB2312" w:cs="Times New Roman"/>
                <w:b/>
              </w:rPr>
              <w:t>中学</w:t>
            </w:r>
          </w:p>
        </w:tc>
        <w:tc>
          <w:tcPr>
            <w:tcW w:w="140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25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科级</w:t>
            </w:r>
          </w:p>
        </w:tc>
        <w:tc>
          <w:tcPr>
            <w:tcW w:w="3205"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lang w:val="en-US" w:eastAsia="zh-CN"/>
        </w:rPr>
        <w:t>十六</w:t>
      </w:r>
      <w:r>
        <w:rPr>
          <w:rFonts w:ascii="Times New Roman" w:hAnsi="Times New Roman" w:eastAsia="仿宋_GB2312" w:cs="Times New Roman"/>
          <w:sz w:val="32"/>
          <w:szCs w:val="32"/>
        </w:rPr>
        <w:t>中学的收支包含在部门预算中。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十六</w:t>
      </w:r>
      <w:r>
        <w:rPr>
          <w:rFonts w:hint="eastAsia" w:ascii="Times New Roman" w:hAnsi="Times New Roman" w:eastAsia="仿宋_GB2312" w:cs="Times New Roman"/>
          <w:sz w:val="32"/>
          <w:szCs w:val="32"/>
        </w:rPr>
        <w:t>中学2021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55.8</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lang w:val="en-US" w:eastAsia="zh-CN"/>
        </w:rPr>
        <w:t>55.8</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w:t>
      </w:r>
      <w:r>
        <w:rPr>
          <w:rFonts w:hint="eastAsia" w:ascii="仿宋_GB2312" w:hAnsi="宋体" w:eastAsia="仿宋_GB2312"/>
          <w:color w:val="000000"/>
          <w:sz w:val="32"/>
          <w:szCs w:val="32"/>
          <w:lang w:val="en-US" w:eastAsia="zh-CN"/>
        </w:rPr>
        <w:t>十六</w:t>
      </w:r>
      <w:r>
        <w:rPr>
          <w:rFonts w:hint="eastAsia" w:ascii="仿宋_GB2312" w:hAnsi="宋体" w:eastAsia="仿宋_GB2312"/>
          <w:color w:val="000000"/>
          <w:sz w:val="32"/>
          <w:szCs w:val="32"/>
        </w:rPr>
        <w:t>中学坚持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w:t>
      </w:r>
      <w:r>
        <w:rPr>
          <w:rFonts w:hint="eastAsia" w:ascii="仿宋_GB2312" w:hAnsi="仿宋" w:eastAsia="仿宋_GB2312" w:cs="宋体"/>
          <w:sz w:val="32"/>
          <w:szCs w:val="32"/>
          <w:lang w:val="en-US" w:eastAsia="zh-CN"/>
        </w:rPr>
        <w:t>研</w:t>
      </w:r>
      <w:r>
        <w:rPr>
          <w:rFonts w:hint="eastAsia" w:ascii="仿宋_GB2312" w:hAnsi="仿宋" w:eastAsia="仿宋_GB2312" w:cs="宋体"/>
          <w:sz w:val="32"/>
          <w:szCs w:val="32"/>
        </w:rPr>
        <w:t>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keepNext w:val="0"/>
        <w:keepLines w:val="0"/>
        <w:pageBreakBefore w:val="0"/>
        <w:widowControl w:val="0"/>
        <w:kinsoku/>
        <w:wordWrap/>
        <w:topLinePunct w:val="0"/>
        <w:autoSpaceDE/>
        <w:autoSpaceDN/>
        <w:bidi w:val="0"/>
        <w:spacing w:line="240" w:lineRule="auto"/>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240" w:lineRule="auto"/>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240" w:lineRule="auto"/>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overflowPunct w:val="0"/>
        <w:adjustRightInd w:val="0"/>
        <w:snapToGrid w:val="0"/>
        <w:spacing w:afterLines="50" w:line="580" w:lineRule="exact"/>
        <w:jc w:val="left"/>
        <w:rPr>
          <w:rFonts w:ascii="楷体_GB2312" w:eastAsia="楷体_GB2312" w:cs="Times New Roman"/>
          <w:b/>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pPr w:leftFromText="180" w:rightFromText="180" w:vertAnchor="page" w:horzAnchor="page" w:tblpX="752" w:tblpY="1622"/>
        <w:tblOverlap w:val="never"/>
        <w:tblW w:w="14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2265"/>
        <w:gridCol w:w="1425"/>
        <w:gridCol w:w="4240"/>
        <w:gridCol w:w="1400"/>
        <w:gridCol w:w="946"/>
        <w:gridCol w:w="96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26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4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42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330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4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2265" w:type="dxa"/>
            <w:vMerge w:val="continue"/>
            <w:tcBorders>
              <w:tl2br w:val="nil"/>
              <w:tr2bl w:val="nil"/>
            </w:tcBorders>
            <w:vAlign w:val="center"/>
          </w:tcPr>
          <w:p/>
        </w:tc>
        <w:tc>
          <w:tcPr>
            <w:tcW w:w="1425" w:type="dxa"/>
            <w:vMerge w:val="continue"/>
            <w:tcBorders>
              <w:tl2br w:val="nil"/>
              <w:tr2bl w:val="nil"/>
            </w:tcBorders>
            <w:vAlign w:val="center"/>
          </w:tcPr>
          <w:p/>
        </w:tc>
        <w:tc>
          <w:tcPr>
            <w:tcW w:w="4240" w:type="dxa"/>
            <w:vMerge w:val="continue"/>
            <w:tcBorders>
              <w:tl2br w:val="nil"/>
              <w:tr2bl w:val="nil"/>
            </w:tcBorders>
            <w:vAlign w:val="center"/>
          </w:tcPr>
          <w:p/>
        </w:tc>
        <w:tc>
          <w:tcPr>
            <w:tcW w:w="14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94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6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48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94" w:hRule="atLeast"/>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义务教育学生</w:t>
            </w:r>
            <w:r>
              <w:rPr>
                <w:rFonts w:hint="eastAsia" w:ascii="宋体" w:hAnsi="宋体" w:eastAsia="宋体" w:cs="宋体"/>
                <w:color w:val="000000"/>
                <w:kern w:val="0"/>
                <w:sz w:val="15"/>
                <w:szCs w:val="15"/>
                <w:lang w:val="en-US" w:eastAsia="zh-CN"/>
              </w:rPr>
              <w:t>入学</w:t>
            </w:r>
            <w:r>
              <w:rPr>
                <w:rFonts w:hint="eastAsia" w:ascii="宋体" w:hAnsi="宋体" w:eastAsia="宋体" w:cs="宋体"/>
                <w:color w:val="000000"/>
                <w:kern w:val="0"/>
                <w:sz w:val="15"/>
                <w:szCs w:val="15"/>
              </w:rPr>
              <w:t>率</w:t>
            </w:r>
          </w:p>
        </w:tc>
        <w:tc>
          <w:tcPr>
            <w:tcW w:w="1425" w:type="dxa"/>
            <w:tcBorders>
              <w:tl2br w:val="nil"/>
              <w:tr2bl w:val="nil"/>
            </w:tcBorders>
            <w:vAlign w:val="center"/>
          </w:tcPr>
          <w:p>
            <w:pPr>
              <w:keepNext w:val="0"/>
              <w:keepLines w:val="0"/>
              <w:widowControl/>
              <w:suppressLineNumbers w:val="0"/>
              <w:jc w:val="center"/>
              <w:textAlignment w:val="top"/>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实施中、小学阶段</w:t>
            </w:r>
            <w:r>
              <w:rPr>
                <w:rFonts w:hint="eastAsia" w:ascii="宋体" w:hAnsi="宋体" w:eastAsia="宋体" w:cs="宋体"/>
                <w:color w:val="000000"/>
                <w:kern w:val="0"/>
                <w:sz w:val="15"/>
                <w:szCs w:val="15"/>
              </w:rPr>
              <w:t>义务教育，</w:t>
            </w:r>
            <w:r>
              <w:rPr>
                <w:rFonts w:hint="eastAsia" w:ascii="宋体" w:hAnsi="宋体" w:eastAsia="宋体" w:cs="宋体"/>
                <w:color w:val="000000"/>
                <w:kern w:val="0"/>
                <w:sz w:val="15"/>
                <w:szCs w:val="15"/>
                <w:lang w:val="en-US" w:eastAsia="zh-CN"/>
              </w:rPr>
              <w:t>完成中、小学</w:t>
            </w:r>
            <w:r>
              <w:rPr>
                <w:rFonts w:hint="eastAsia" w:ascii="宋体" w:hAnsi="宋体" w:eastAsia="宋体" w:cs="宋体"/>
                <w:color w:val="000000"/>
                <w:kern w:val="0"/>
                <w:sz w:val="15"/>
                <w:szCs w:val="15"/>
              </w:rPr>
              <w:t>阶段</w:t>
            </w:r>
            <w:r>
              <w:rPr>
                <w:rFonts w:hint="eastAsia" w:ascii="宋体" w:hAnsi="宋体" w:eastAsia="宋体" w:cs="宋体"/>
                <w:color w:val="000000"/>
                <w:kern w:val="0"/>
                <w:sz w:val="15"/>
                <w:szCs w:val="15"/>
                <w:lang w:val="en-US" w:eastAsia="zh-CN"/>
              </w:rPr>
              <w:t>学历教育</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100</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1480" w:type="dxa"/>
            <w:tcBorders>
              <w:tl2br w:val="nil"/>
              <w:tr2bl w:val="nil"/>
            </w:tcBorders>
            <w:vAlign w:val="center"/>
          </w:tcPr>
          <w:p>
            <w:pPr>
              <w:widowControl/>
              <w:spacing w:line="300" w:lineRule="exact"/>
              <w:textAlignment w:val="center"/>
              <w:rPr>
                <w:rFonts w:hint="eastAsia" w:ascii="宋体" w:hAnsi="宋体" w:eastAsia="宋体" w:cs="宋体"/>
                <w:sz w:val="15"/>
                <w:szCs w:val="15"/>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558" w:type="dxa"/>
            <w:vMerge w:val="continue"/>
            <w:tcBorders>
              <w:tl2br w:val="nil"/>
              <w:tr2bl w:val="nil"/>
            </w:tcBorders>
            <w:vAlign w:val="center"/>
          </w:tcPr>
          <w:p>
            <w:pPr>
              <w:spacing w:line="300" w:lineRule="exact"/>
              <w:jc w:val="left"/>
            </w:pPr>
          </w:p>
        </w:tc>
        <w:tc>
          <w:tcPr>
            <w:tcW w:w="825" w:type="dxa"/>
            <w:vMerge w:val="continue"/>
            <w:tcBorders>
              <w:tl2br w:val="nil"/>
              <w:tr2bl w:val="nil"/>
            </w:tcBorders>
            <w:vAlign w:val="center"/>
          </w:tcPr>
          <w:p>
            <w:pPr>
              <w:spacing w:line="300" w:lineRule="exact"/>
              <w:jc w:val="left"/>
              <w:rPr>
                <w:rFonts w:ascii="方正书宋_GBK" w:eastAsia="方正书宋_GBK"/>
              </w:rPr>
            </w:pP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参加培训</w:t>
            </w:r>
            <w:r>
              <w:rPr>
                <w:rFonts w:hint="eastAsia" w:ascii="宋体" w:hAnsi="宋体" w:eastAsia="宋体" w:cs="宋体"/>
                <w:color w:val="000000"/>
                <w:kern w:val="0"/>
                <w:sz w:val="15"/>
                <w:szCs w:val="15"/>
              </w:rPr>
              <w:t>教师培训人</w:t>
            </w:r>
            <w:r>
              <w:rPr>
                <w:rFonts w:hint="eastAsia" w:ascii="宋体" w:hAnsi="宋体" w:eastAsia="宋体" w:cs="宋体"/>
                <w:color w:val="000000"/>
                <w:kern w:val="0"/>
                <w:sz w:val="15"/>
                <w:szCs w:val="15"/>
                <w:lang w:val="en-US" w:eastAsia="zh-CN"/>
              </w:rPr>
              <w:t>数</w:t>
            </w:r>
          </w:p>
        </w:tc>
        <w:tc>
          <w:tcPr>
            <w:tcW w:w="1425" w:type="dxa"/>
            <w:tcBorders>
              <w:tl2br w:val="nil"/>
              <w:tr2bl w:val="nil"/>
            </w:tcBorders>
            <w:vAlign w:val="center"/>
          </w:tcPr>
          <w:p>
            <w:pPr>
              <w:keepNext w:val="0"/>
              <w:keepLines w:val="0"/>
              <w:widowControl/>
              <w:suppressLineNumbers w:val="0"/>
              <w:jc w:val="center"/>
              <w:textAlignment w:val="top"/>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b w:val="0"/>
                <w:bCs w:val="0"/>
                <w:sz w:val="15"/>
                <w:szCs w:val="15"/>
              </w:rPr>
              <w:t>考察参加培训教师数量</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sz w:val="15"/>
                <w:szCs w:val="15"/>
                <w:lang w:val="en-US" w:eastAsia="zh-CN"/>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42</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人</w:t>
            </w:r>
          </w:p>
        </w:tc>
        <w:tc>
          <w:tcPr>
            <w:tcW w:w="1480" w:type="dxa"/>
            <w:tcBorders>
              <w:tl2br w:val="nil"/>
              <w:tr2bl w:val="nil"/>
            </w:tcBorders>
            <w:vAlign w:val="center"/>
          </w:tcPr>
          <w:p>
            <w:pPr>
              <w:rPr>
                <w:rFonts w:hint="eastAsia" w:ascii="宋体" w:hAnsi="宋体" w:eastAsia="宋体" w:cs="宋体"/>
                <w:sz w:val="15"/>
                <w:szCs w:val="15"/>
              </w:rPr>
            </w:pPr>
            <w:r>
              <w:rPr>
                <w:rFonts w:hint="eastAsia" w:ascii="宋体" w:hAnsi="宋体" w:eastAsia="宋体" w:cs="宋体"/>
                <w:sz w:val="15"/>
                <w:szCs w:val="15"/>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94" w:hRule="atLeast"/>
        </w:trPr>
        <w:tc>
          <w:tcPr>
            <w:tcW w:w="558" w:type="dxa"/>
            <w:vMerge w:val="continue"/>
            <w:tcBorders>
              <w:tl2br w:val="nil"/>
              <w:tr2bl w:val="nil"/>
            </w:tcBorders>
            <w:vAlign w:val="center"/>
          </w:tcPr>
          <w:p>
            <w:pPr>
              <w:spacing w:line="300" w:lineRule="exact"/>
              <w:jc w:val="left"/>
              <w:rPr>
                <w:rFonts w:ascii="方正书宋_GBK" w:eastAsia="方正书宋_GBK"/>
              </w:rPr>
            </w:pPr>
          </w:p>
        </w:tc>
        <w:tc>
          <w:tcPr>
            <w:tcW w:w="825" w:type="dxa"/>
            <w:vMerge w:val="continue"/>
            <w:tcBorders>
              <w:tl2br w:val="nil"/>
              <w:tr2bl w:val="nil"/>
            </w:tcBorders>
            <w:vAlign w:val="center"/>
          </w:tcPr>
          <w:p>
            <w:pPr>
              <w:spacing w:line="300" w:lineRule="exact"/>
              <w:jc w:val="left"/>
              <w:rPr>
                <w:rFonts w:ascii="方正书宋_GBK" w:eastAsia="方正书宋_GBK"/>
              </w:rPr>
            </w:pPr>
          </w:p>
        </w:tc>
        <w:tc>
          <w:tcPr>
            <w:tcW w:w="2265" w:type="dxa"/>
            <w:tcBorders>
              <w:tl2br w:val="nil"/>
              <w:tr2bl w:val="nil"/>
            </w:tcBorders>
            <w:vAlign w:val="center"/>
          </w:tcPr>
          <w:p>
            <w:pPr>
              <w:jc w:val="left"/>
              <w:rPr>
                <w:rFonts w:hint="eastAsia" w:ascii="宋体" w:hAnsi="宋体" w:eastAsia="宋体" w:cs="宋体"/>
                <w:sz w:val="15"/>
                <w:szCs w:val="15"/>
              </w:rPr>
            </w:pPr>
            <w:r>
              <w:rPr>
                <w:rFonts w:hint="eastAsia" w:ascii="宋体" w:hAnsi="宋体" w:eastAsia="宋体" w:cs="宋体"/>
                <w:sz w:val="15"/>
                <w:szCs w:val="15"/>
              </w:rPr>
              <w:t>上级下达学校的各项工作任务完成率</w:t>
            </w:r>
          </w:p>
        </w:tc>
        <w:tc>
          <w:tcPr>
            <w:tcW w:w="1425" w:type="dxa"/>
            <w:tcBorders>
              <w:tl2br w:val="nil"/>
              <w:tr2bl w:val="nil"/>
            </w:tcBorders>
            <w:vAlign w:val="center"/>
          </w:tcPr>
          <w:p>
            <w:pPr>
              <w:keepNext w:val="0"/>
              <w:keepLines w:val="0"/>
              <w:widowControl/>
              <w:suppressLineNumbers w:val="0"/>
              <w:jc w:val="center"/>
              <w:textAlignment w:val="top"/>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jc w:val="left"/>
              <w:rPr>
                <w:rFonts w:hint="eastAsia" w:ascii="宋体" w:hAnsi="宋体" w:eastAsia="宋体" w:cs="宋体"/>
                <w:sz w:val="15"/>
                <w:szCs w:val="15"/>
              </w:rPr>
            </w:pPr>
            <w:r>
              <w:rPr>
                <w:rFonts w:hint="eastAsia" w:ascii="宋体" w:hAnsi="宋体" w:eastAsia="宋体" w:cs="宋体"/>
                <w:sz w:val="15"/>
                <w:szCs w:val="15"/>
              </w:rPr>
              <w:t>保证完成上级下达</w:t>
            </w:r>
            <w:r>
              <w:rPr>
                <w:rFonts w:hint="eastAsia" w:ascii="宋体" w:hAnsi="宋体" w:eastAsia="宋体" w:cs="宋体"/>
                <w:sz w:val="15"/>
                <w:szCs w:val="15"/>
                <w:lang w:val="en-US" w:eastAsia="zh-CN"/>
              </w:rPr>
              <w:t>到</w:t>
            </w:r>
            <w:r>
              <w:rPr>
                <w:rFonts w:hint="eastAsia" w:ascii="宋体" w:hAnsi="宋体" w:eastAsia="宋体" w:cs="宋体"/>
                <w:sz w:val="15"/>
                <w:szCs w:val="15"/>
              </w:rPr>
              <w:t>学校的各项工作任务</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100</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1480" w:type="dxa"/>
            <w:tcBorders>
              <w:tl2br w:val="nil"/>
              <w:tr2bl w:val="nil"/>
            </w:tcBorders>
            <w:vAlign w:val="center"/>
          </w:tcPr>
          <w:p>
            <w:pPr>
              <w:rPr>
                <w:rFonts w:hint="eastAsia" w:ascii="宋体" w:hAnsi="宋体" w:eastAsia="宋体" w:cs="宋体"/>
                <w:sz w:val="15"/>
                <w:szCs w:val="15"/>
              </w:rPr>
            </w:pPr>
            <w:r>
              <w:rPr>
                <w:rFonts w:hint="eastAsia" w:ascii="宋体" w:hAnsi="宋体" w:eastAsia="宋体" w:cs="宋体"/>
                <w:sz w:val="15"/>
                <w:szCs w:val="15"/>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1" w:hRule="atLeast"/>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义务教育学生培养合格率</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完成培养</w:t>
            </w:r>
            <w:r>
              <w:rPr>
                <w:rFonts w:hint="eastAsia" w:ascii="宋体" w:hAnsi="宋体" w:eastAsia="宋体" w:cs="宋体"/>
                <w:color w:val="000000"/>
                <w:kern w:val="0"/>
                <w:sz w:val="15"/>
                <w:szCs w:val="15"/>
                <w:lang w:val="en-US" w:eastAsia="zh-CN"/>
              </w:rPr>
              <w:t>中、小学</w:t>
            </w:r>
            <w:r>
              <w:rPr>
                <w:rFonts w:hint="eastAsia" w:ascii="宋体" w:hAnsi="宋体" w:eastAsia="宋体" w:cs="宋体"/>
                <w:color w:val="000000"/>
                <w:kern w:val="0"/>
                <w:sz w:val="15"/>
                <w:szCs w:val="15"/>
              </w:rPr>
              <w:t>义务教育，确保</w:t>
            </w:r>
            <w:r>
              <w:rPr>
                <w:rFonts w:hint="eastAsia" w:ascii="宋体" w:hAnsi="宋体" w:eastAsia="宋体" w:cs="宋体"/>
                <w:color w:val="000000"/>
                <w:kern w:val="0"/>
                <w:sz w:val="15"/>
                <w:szCs w:val="15"/>
                <w:lang w:val="en-US" w:eastAsia="zh-CN"/>
              </w:rPr>
              <w:t>中、小学</w:t>
            </w:r>
            <w:r>
              <w:rPr>
                <w:rFonts w:hint="eastAsia" w:ascii="宋体" w:hAnsi="宋体" w:eastAsia="宋体" w:cs="宋体"/>
                <w:color w:val="000000"/>
                <w:kern w:val="0"/>
                <w:sz w:val="15"/>
                <w:szCs w:val="15"/>
              </w:rPr>
              <w:t>毕业生合格率100%</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100</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1480" w:type="dxa"/>
            <w:tcBorders>
              <w:tl2br w:val="nil"/>
              <w:tr2bl w:val="nil"/>
            </w:tcBorders>
            <w:vAlign w:val="center"/>
          </w:tcPr>
          <w:p>
            <w:pPr>
              <w:widowControl/>
              <w:spacing w:line="300" w:lineRule="exact"/>
              <w:textAlignment w:val="center"/>
              <w:rPr>
                <w:rFonts w:hint="eastAsia" w:ascii="宋体" w:hAnsi="宋体" w:eastAsia="宋体" w:cs="宋体"/>
                <w:sz w:val="15"/>
                <w:szCs w:val="15"/>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1" w:hRule="atLeast"/>
        </w:trPr>
        <w:tc>
          <w:tcPr>
            <w:tcW w:w="558" w:type="dxa"/>
            <w:vMerge w:val="continue"/>
            <w:tcBorders>
              <w:tl2br w:val="nil"/>
              <w:tr2bl w:val="nil"/>
            </w:tcBorders>
            <w:vAlign w:val="center"/>
          </w:tcPr>
          <w:p>
            <w:pPr>
              <w:widowControl/>
              <w:adjustRightInd w:val="0"/>
              <w:snapToGrid w:val="0"/>
            </w:pPr>
          </w:p>
        </w:tc>
        <w:tc>
          <w:tcPr>
            <w:tcW w:w="825" w:type="dxa"/>
            <w:vMerge w:val="continue"/>
            <w:tcBorders>
              <w:tl2br w:val="nil"/>
              <w:tr2bl w:val="nil"/>
            </w:tcBorders>
            <w:vAlign w:val="center"/>
          </w:tcPr>
          <w:p>
            <w:pPr>
              <w:widowControl/>
              <w:adjustRightInd w:val="0"/>
              <w:snapToGrid w:val="0"/>
              <w:rPr>
                <w:rFonts w:ascii="方正书宋_GBK" w:eastAsia="方正书宋_GBK"/>
              </w:rPr>
            </w:pP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教师培训合格率</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反映培训合格教师与参加培训教师数量比</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sz w:val="15"/>
                <w:szCs w:val="15"/>
                <w:lang w:val="en-US" w:eastAsia="zh-CN"/>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95</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1480" w:type="dxa"/>
            <w:tcBorders>
              <w:tl2br w:val="nil"/>
              <w:tr2bl w:val="nil"/>
            </w:tcBorders>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1" w:hRule="atLeast"/>
        </w:trPr>
        <w:tc>
          <w:tcPr>
            <w:tcW w:w="558" w:type="dxa"/>
            <w:vMerge w:val="continue"/>
            <w:tcBorders>
              <w:tl2br w:val="nil"/>
              <w:tr2bl w:val="nil"/>
            </w:tcBorders>
            <w:vAlign w:val="center"/>
          </w:tcPr>
          <w:p>
            <w:pPr>
              <w:widowControl/>
              <w:adjustRightInd w:val="0"/>
              <w:snapToGrid w:val="0"/>
              <w:rPr>
                <w:rFonts w:ascii="方正书宋_GBK" w:eastAsia="方正书宋_GBK"/>
              </w:rPr>
            </w:pPr>
          </w:p>
        </w:tc>
        <w:tc>
          <w:tcPr>
            <w:tcW w:w="825" w:type="dxa"/>
            <w:vMerge w:val="continue"/>
            <w:tcBorders>
              <w:tl2br w:val="nil"/>
              <w:tr2bl w:val="nil"/>
            </w:tcBorders>
            <w:vAlign w:val="center"/>
          </w:tcPr>
          <w:p>
            <w:pPr>
              <w:widowControl/>
              <w:adjustRightInd w:val="0"/>
              <w:snapToGrid w:val="0"/>
              <w:rPr>
                <w:rFonts w:ascii="方正书宋_GBK" w:eastAsia="方正书宋_GBK"/>
              </w:rPr>
            </w:pP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物资采购合格率</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物资采购合格率</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100</w:t>
            </w: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148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4" w:hRule="atLeast"/>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265" w:type="dxa"/>
            <w:tcBorders>
              <w:tl2br w:val="nil"/>
              <w:tr2bl w:val="nil"/>
            </w:tcBorders>
            <w:vAlign w:val="center"/>
          </w:tcPr>
          <w:p>
            <w:pPr>
              <w:widowControl/>
              <w:adjustRightInd w:val="0"/>
              <w:snapToGrid w:val="0"/>
              <w:jc w:val="left"/>
              <w:rPr>
                <w:rFonts w:hint="eastAsia" w:ascii="宋体" w:hAnsi="宋体" w:eastAsia="宋体" w:cs="宋体"/>
                <w:sz w:val="15"/>
                <w:szCs w:val="15"/>
              </w:rPr>
            </w:pPr>
            <w:r>
              <w:rPr>
                <w:rFonts w:hint="eastAsia" w:ascii="宋体" w:hAnsi="宋体" w:eastAsia="宋体" w:cs="宋体"/>
                <w:color w:val="000000"/>
                <w:kern w:val="0"/>
                <w:sz w:val="15"/>
                <w:szCs w:val="15"/>
              </w:rPr>
              <w:t>按计划完成学校义务教学工作</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adjustRightInd w:val="0"/>
              <w:snapToGrid w:val="0"/>
              <w:jc w:val="both"/>
              <w:rPr>
                <w:rFonts w:hint="eastAsia" w:ascii="宋体" w:hAnsi="宋体" w:eastAsia="宋体" w:cs="宋体"/>
                <w:sz w:val="15"/>
                <w:szCs w:val="15"/>
              </w:rPr>
            </w:pPr>
            <w:r>
              <w:rPr>
                <w:rFonts w:hint="eastAsia" w:ascii="宋体" w:hAnsi="宋体" w:eastAsia="宋体" w:cs="宋体"/>
                <w:color w:val="000000"/>
                <w:kern w:val="0"/>
                <w:sz w:val="15"/>
                <w:szCs w:val="15"/>
              </w:rPr>
              <w:t>按时完成</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按时</w:t>
            </w:r>
          </w:p>
        </w:tc>
        <w:tc>
          <w:tcPr>
            <w:tcW w:w="148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4" w:hRule="atLeast"/>
        </w:trPr>
        <w:tc>
          <w:tcPr>
            <w:tcW w:w="558" w:type="dxa"/>
            <w:vMerge w:val="continue"/>
            <w:tcBorders>
              <w:tl2br w:val="nil"/>
              <w:tr2bl w:val="nil"/>
            </w:tcBorders>
            <w:vAlign w:val="center"/>
          </w:tcPr>
          <w:p>
            <w:pPr>
              <w:widowControl/>
              <w:adjustRightInd w:val="0"/>
              <w:snapToGrid w:val="0"/>
            </w:pPr>
          </w:p>
        </w:tc>
        <w:tc>
          <w:tcPr>
            <w:tcW w:w="825" w:type="dxa"/>
            <w:vMerge w:val="continue"/>
            <w:tcBorders>
              <w:tl2br w:val="nil"/>
              <w:tr2bl w:val="nil"/>
            </w:tcBorders>
            <w:vAlign w:val="center"/>
          </w:tcPr>
          <w:p>
            <w:pPr>
              <w:widowControl/>
              <w:adjustRightInd w:val="0"/>
              <w:snapToGrid w:val="0"/>
              <w:rPr>
                <w:rFonts w:ascii="方正书宋_GBK" w:eastAsia="方正书宋_GBK"/>
              </w:rPr>
            </w:pPr>
          </w:p>
        </w:tc>
        <w:tc>
          <w:tcPr>
            <w:tcW w:w="2265"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重点工作完成及时率</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重点工作是否按计划完成</w:t>
            </w:r>
          </w:p>
        </w:tc>
        <w:tc>
          <w:tcPr>
            <w:tcW w:w="140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p>
        </w:tc>
        <w:tc>
          <w:tcPr>
            <w:tcW w:w="960" w:type="dxa"/>
            <w:tcBorders>
              <w:tl2br w:val="nil"/>
              <w:tr2bl w:val="nil"/>
            </w:tcBorders>
            <w:vAlign w:val="center"/>
          </w:tcPr>
          <w:p>
            <w:pPr>
              <w:widowControl/>
              <w:spacing w:line="300" w:lineRule="exact"/>
              <w:jc w:val="center"/>
              <w:textAlignment w:val="center"/>
              <w:rPr>
                <w:rFonts w:hint="eastAsia" w:ascii="宋体" w:hAnsi="宋体" w:eastAsia="宋体" w:cs="宋体"/>
                <w:sz w:val="15"/>
                <w:szCs w:val="15"/>
              </w:rPr>
            </w:pPr>
            <w:r>
              <w:rPr>
                <w:rFonts w:hint="eastAsia" w:ascii="宋体" w:hAnsi="宋体" w:eastAsia="宋体" w:cs="宋体"/>
                <w:color w:val="000000"/>
                <w:kern w:val="0"/>
                <w:sz w:val="15"/>
                <w:szCs w:val="15"/>
                <w:lang w:val="en-US" w:eastAsia="zh-CN"/>
              </w:rPr>
              <w:t>及时</w:t>
            </w:r>
          </w:p>
        </w:tc>
        <w:tc>
          <w:tcPr>
            <w:tcW w:w="1480" w:type="dxa"/>
            <w:tcBorders>
              <w:tl2br w:val="nil"/>
              <w:tr2bl w:val="nil"/>
            </w:tcBorders>
            <w:vAlign w:val="center"/>
          </w:tcPr>
          <w:p>
            <w:pPr>
              <w:widowControl/>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265" w:type="dxa"/>
            <w:tcBorders>
              <w:tl2br w:val="nil"/>
              <w:tr2bl w:val="nil"/>
            </w:tcBorders>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sz w:val="15"/>
                <w:szCs w:val="15"/>
              </w:rPr>
              <w:t>生均公用经费标准</w:t>
            </w:r>
          </w:p>
        </w:tc>
        <w:tc>
          <w:tcPr>
            <w:tcW w:w="1425" w:type="dxa"/>
            <w:tcBorders>
              <w:tl2br w:val="nil"/>
              <w:tr2bl w:val="nil"/>
            </w:tcBorders>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义务教育阶段</w:t>
            </w:r>
            <w:r>
              <w:rPr>
                <w:rFonts w:hint="eastAsia" w:ascii="宋体" w:hAnsi="宋体" w:eastAsia="宋体" w:cs="宋体"/>
                <w:sz w:val="15"/>
                <w:szCs w:val="15"/>
                <w:lang w:val="en-US" w:eastAsia="zh-CN"/>
              </w:rPr>
              <w:t>中小学生</w:t>
            </w:r>
            <w:r>
              <w:rPr>
                <w:rFonts w:hint="eastAsia" w:ascii="宋体" w:hAnsi="宋体" w:eastAsia="宋体" w:cs="宋体"/>
                <w:sz w:val="15"/>
                <w:szCs w:val="15"/>
              </w:rPr>
              <w:t>均公用经费</w:t>
            </w:r>
          </w:p>
        </w:tc>
        <w:tc>
          <w:tcPr>
            <w:tcW w:w="1400" w:type="dxa"/>
            <w:tcBorders>
              <w:tl2br w:val="nil"/>
              <w:tr2bl w:val="nil"/>
            </w:tcBorders>
            <w:vAlign w:val="center"/>
          </w:tcPr>
          <w:p>
            <w:pPr>
              <w:widowControl/>
              <w:adjustRightInd w:val="0"/>
              <w:snapToGrid w:val="0"/>
              <w:jc w:val="center"/>
              <w:rPr>
                <w:rFonts w:hint="eastAsia" w:ascii="宋体" w:hAnsi="宋体" w:eastAsia="宋体" w:cs="宋体"/>
                <w:sz w:val="15"/>
                <w:szCs w:val="15"/>
              </w:rPr>
            </w:pPr>
            <w:r>
              <w:rPr>
                <w:rFonts w:hint="eastAsia" w:ascii="宋体" w:hAnsi="宋体" w:eastAsia="宋体" w:cs="宋体"/>
                <w:color w:val="000000"/>
                <w:kern w:val="0"/>
                <w:sz w:val="15"/>
                <w:szCs w:val="15"/>
              </w:rPr>
              <w:t>=</w:t>
            </w:r>
          </w:p>
        </w:tc>
        <w:tc>
          <w:tcPr>
            <w:tcW w:w="946" w:type="dxa"/>
            <w:tcBorders>
              <w:tl2br w:val="nil"/>
              <w:tr2bl w:val="nil"/>
            </w:tcBorders>
            <w:vAlign w:val="center"/>
          </w:tcPr>
          <w:p>
            <w:pPr>
              <w:widowControl/>
              <w:adjustRightInd w:val="0"/>
              <w:snapToGrid w:val="0"/>
              <w:jc w:val="center"/>
              <w:rPr>
                <w:rFonts w:hint="default" w:ascii="宋体" w:hAnsi="宋体" w:eastAsia="宋体" w:cs="宋体"/>
                <w:sz w:val="15"/>
                <w:szCs w:val="15"/>
                <w:lang w:val="en-US" w:eastAsia="zh-CN"/>
              </w:rPr>
            </w:pPr>
            <w:r>
              <w:rPr>
                <w:rFonts w:hint="eastAsia" w:ascii="宋体" w:hAnsi="宋体" w:cs="宋体"/>
                <w:sz w:val="11"/>
                <w:szCs w:val="11"/>
                <w:lang w:val="en-US" w:eastAsia="zh-CN"/>
              </w:rPr>
              <w:t>650/850</w:t>
            </w:r>
          </w:p>
        </w:tc>
        <w:tc>
          <w:tcPr>
            <w:tcW w:w="960" w:type="dxa"/>
            <w:tcBorders>
              <w:tl2br w:val="nil"/>
              <w:tr2bl w:val="nil"/>
            </w:tcBorders>
            <w:vAlign w:val="center"/>
          </w:tcPr>
          <w:p>
            <w:pPr>
              <w:widowControl/>
              <w:adjustRightInd w:val="0"/>
              <w:snapToGrid w:val="0"/>
              <w:jc w:val="both"/>
              <w:rPr>
                <w:rFonts w:hint="eastAsia" w:ascii="宋体" w:hAnsi="宋体" w:eastAsia="宋体" w:cs="宋体"/>
                <w:sz w:val="15"/>
                <w:szCs w:val="15"/>
                <w:lang w:val="en-US" w:eastAsia="zh-CN"/>
              </w:rPr>
            </w:pPr>
            <w:r>
              <w:rPr>
                <w:rFonts w:hint="eastAsia" w:ascii="宋体" w:hAnsi="宋体" w:cs="宋体"/>
                <w:sz w:val="15"/>
                <w:szCs w:val="15"/>
                <w:lang w:val="en-US" w:eastAsia="zh-CN"/>
              </w:rPr>
              <w:t>元</w:t>
            </w:r>
          </w:p>
        </w:tc>
        <w:tc>
          <w:tcPr>
            <w:tcW w:w="148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5"/>
                <w:szCs w:val="15"/>
                <w:u w:val="none"/>
                <w:lang w:val="en-US" w:eastAsia="zh-CN" w:bidi="ar"/>
              </w:rPr>
              <w:t>廊财教【2020】19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265" w:type="dxa"/>
            <w:tcBorders>
              <w:tl2br w:val="nil"/>
              <w:tr2bl w:val="nil"/>
            </w:tcBorders>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color w:val="000000"/>
                <w:kern w:val="0"/>
                <w:sz w:val="15"/>
                <w:szCs w:val="15"/>
              </w:rPr>
              <w:t>提高人口素质</w:t>
            </w:r>
          </w:p>
        </w:tc>
        <w:tc>
          <w:tcPr>
            <w:tcW w:w="14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sz w:val="15"/>
                <w:szCs w:val="15"/>
              </w:rPr>
              <w:t>促进在校生德智体美劳全面发展、促进全民素质的提高</w:t>
            </w:r>
          </w:p>
        </w:tc>
        <w:tc>
          <w:tcPr>
            <w:tcW w:w="1400" w:type="dxa"/>
            <w:tcBorders>
              <w:tl2br w:val="nil"/>
              <w:tr2bl w:val="nil"/>
            </w:tcBorders>
            <w:vAlign w:val="center"/>
          </w:tcPr>
          <w:p>
            <w:pPr>
              <w:widowControl/>
              <w:spacing w:line="240" w:lineRule="exact"/>
              <w:jc w:val="center"/>
              <w:rPr>
                <w:rFonts w:hint="eastAsia" w:ascii="宋体" w:hAnsi="宋体" w:eastAsia="宋体" w:cs="宋体"/>
                <w:sz w:val="15"/>
                <w:szCs w:val="15"/>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240" w:lineRule="exact"/>
              <w:jc w:val="center"/>
              <w:rPr>
                <w:rFonts w:hint="eastAsia" w:ascii="宋体" w:hAnsi="宋体" w:eastAsia="宋体" w:cs="宋体"/>
                <w:sz w:val="15"/>
                <w:szCs w:val="15"/>
              </w:rPr>
            </w:pPr>
          </w:p>
        </w:tc>
        <w:tc>
          <w:tcPr>
            <w:tcW w:w="960" w:type="dxa"/>
            <w:tcBorders>
              <w:tl2br w:val="nil"/>
              <w:tr2bl w:val="nil"/>
            </w:tcBorders>
            <w:vAlign w:val="center"/>
          </w:tcPr>
          <w:p>
            <w:pPr>
              <w:widowControl/>
              <w:spacing w:line="240" w:lineRule="exact"/>
              <w:jc w:val="center"/>
              <w:rPr>
                <w:rFonts w:hint="eastAsia" w:ascii="宋体" w:hAnsi="宋体" w:eastAsia="宋体" w:cs="宋体"/>
                <w:sz w:val="15"/>
                <w:szCs w:val="15"/>
              </w:rPr>
            </w:pPr>
            <w:r>
              <w:rPr>
                <w:rFonts w:hint="eastAsia" w:ascii="宋体" w:hAnsi="宋体" w:eastAsia="宋体" w:cs="宋体"/>
                <w:kern w:val="0"/>
                <w:sz w:val="15"/>
                <w:szCs w:val="15"/>
              </w:rPr>
              <w:t>提高</w:t>
            </w:r>
          </w:p>
        </w:tc>
        <w:tc>
          <w:tcPr>
            <w:tcW w:w="1480" w:type="dxa"/>
            <w:tcBorders>
              <w:tl2br w:val="nil"/>
              <w:tr2bl w:val="nil"/>
            </w:tcBorders>
            <w:vAlign w:val="center"/>
          </w:tcPr>
          <w:p>
            <w:pPr>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2265" w:type="dxa"/>
            <w:tcBorders>
              <w:tl2br w:val="nil"/>
              <w:tr2bl w:val="nil"/>
            </w:tcBorders>
            <w:vAlign w:val="center"/>
          </w:tcPr>
          <w:p>
            <w:pPr>
              <w:widowControl/>
              <w:adjustRightInd w:val="0"/>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促进社会经济发展</w:t>
            </w:r>
          </w:p>
        </w:tc>
        <w:tc>
          <w:tcPr>
            <w:tcW w:w="1425" w:type="dxa"/>
            <w:tcBorders>
              <w:tl2br w:val="nil"/>
              <w:tr2bl w:val="nil"/>
            </w:tcBorders>
            <w:vAlign w:val="center"/>
          </w:tcPr>
          <w:p>
            <w:pPr>
              <w:keepNext w:val="0"/>
              <w:keepLines w:val="0"/>
              <w:widowControl/>
              <w:suppressLineNumbers w:val="0"/>
              <w:jc w:val="center"/>
              <w:textAlignment w:val="top"/>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adjustRightInd w:val="0"/>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学生素质的提高，促进经济发展</w:t>
            </w:r>
          </w:p>
        </w:tc>
        <w:tc>
          <w:tcPr>
            <w:tcW w:w="1400" w:type="dxa"/>
            <w:tcBorders>
              <w:tl2br w:val="nil"/>
              <w:tr2bl w:val="nil"/>
            </w:tcBorders>
            <w:vAlign w:val="center"/>
          </w:tcPr>
          <w:p>
            <w:pPr>
              <w:widowControl/>
              <w:spacing w:line="240" w:lineRule="exact"/>
              <w:jc w:val="center"/>
              <w:rPr>
                <w:rFonts w:hint="eastAsia" w:ascii="宋体" w:hAnsi="宋体" w:eastAsia="宋体" w:cs="宋体"/>
                <w:kern w:val="2"/>
                <w:sz w:val="15"/>
                <w:szCs w:val="15"/>
                <w:lang w:val="en-US" w:eastAsia="zh-CN" w:bidi="ar-SA"/>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240" w:lineRule="exact"/>
              <w:jc w:val="center"/>
              <w:rPr>
                <w:rFonts w:hint="eastAsia" w:ascii="宋体" w:hAnsi="宋体" w:eastAsia="宋体" w:cs="宋体"/>
                <w:kern w:val="2"/>
                <w:sz w:val="15"/>
                <w:szCs w:val="15"/>
                <w:lang w:val="en-US" w:eastAsia="zh-CN" w:bidi="ar-SA"/>
              </w:rPr>
            </w:pPr>
          </w:p>
        </w:tc>
        <w:tc>
          <w:tcPr>
            <w:tcW w:w="960" w:type="dxa"/>
            <w:tcBorders>
              <w:tl2br w:val="nil"/>
              <w:tr2bl w:val="nil"/>
            </w:tcBorders>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kern w:val="0"/>
                <w:sz w:val="15"/>
                <w:szCs w:val="15"/>
              </w:rPr>
              <w:t>提高</w:t>
            </w:r>
          </w:p>
        </w:tc>
        <w:tc>
          <w:tcPr>
            <w:tcW w:w="1480" w:type="dxa"/>
            <w:tcBorders>
              <w:tl2br w:val="nil"/>
              <w:tr2bl w:val="nil"/>
            </w:tcBorders>
            <w:vAlign w:val="center"/>
          </w:tcPr>
          <w:p>
            <w:pPr>
              <w:widowControl/>
              <w:adjustRightInd w:val="0"/>
              <w:snapToGrid w:val="0"/>
              <w:jc w:val="left"/>
              <w:rPr>
                <w:rFonts w:hint="eastAsia" w:ascii="宋体" w:hAnsi="宋体" w:eastAsia="宋体" w:cs="宋体"/>
                <w:sz w:val="15"/>
                <w:szCs w:val="15"/>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2265" w:type="dxa"/>
            <w:tcBorders>
              <w:tl2br w:val="nil"/>
              <w:tr2bl w:val="nil"/>
            </w:tcBorders>
            <w:vAlign w:val="center"/>
          </w:tcPr>
          <w:p>
            <w:pPr>
              <w:widowControl/>
              <w:adjustRightInd w:val="0"/>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生态环境变好</w:t>
            </w:r>
          </w:p>
        </w:tc>
        <w:tc>
          <w:tcPr>
            <w:tcW w:w="1425" w:type="dxa"/>
            <w:tcBorders>
              <w:tl2br w:val="nil"/>
              <w:tr2bl w:val="nil"/>
            </w:tcBorders>
            <w:vAlign w:val="center"/>
          </w:tcPr>
          <w:p>
            <w:pPr>
              <w:keepNext w:val="0"/>
              <w:keepLines w:val="0"/>
              <w:widowControl/>
              <w:suppressLineNumbers w:val="0"/>
              <w:jc w:val="center"/>
              <w:textAlignment w:val="top"/>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vAlign w:val="center"/>
          </w:tcPr>
          <w:p>
            <w:pPr>
              <w:widowControl/>
              <w:adjustRightInd w:val="0"/>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美化了校园环境</w:t>
            </w:r>
          </w:p>
        </w:tc>
        <w:tc>
          <w:tcPr>
            <w:tcW w:w="1400" w:type="dxa"/>
            <w:tcBorders>
              <w:tl2br w:val="nil"/>
              <w:tr2bl w:val="nil"/>
            </w:tcBorders>
            <w:vAlign w:val="center"/>
          </w:tcPr>
          <w:p>
            <w:pPr>
              <w:widowControl/>
              <w:spacing w:line="240" w:lineRule="exact"/>
              <w:jc w:val="center"/>
              <w:rPr>
                <w:rFonts w:hint="eastAsia" w:ascii="宋体" w:hAnsi="宋体" w:eastAsia="宋体" w:cs="宋体"/>
                <w:kern w:val="2"/>
                <w:sz w:val="15"/>
                <w:szCs w:val="15"/>
                <w:lang w:val="en-US" w:eastAsia="zh-CN" w:bidi="ar-SA"/>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240" w:lineRule="exact"/>
              <w:jc w:val="center"/>
              <w:rPr>
                <w:rFonts w:hint="eastAsia" w:ascii="宋体" w:hAnsi="宋体" w:eastAsia="宋体" w:cs="宋体"/>
                <w:kern w:val="2"/>
                <w:sz w:val="15"/>
                <w:szCs w:val="15"/>
                <w:lang w:val="en-US" w:eastAsia="zh-CN" w:bidi="ar-SA"/>
              </w:rPr>
            </w:pPr>
          </w:p>
        </w:tc>
        <w:tc>
          <w:tcPr>
            <w:tcW w:w="960" w:type="dxa"/>
            <w:tcBorders>
              <w:tl2br w:val="nil"/>
              <w:tr2bl w:val="nil"/>
            </w:tcBorders>
            <w:vAlign w:val="center"/>
          </w:tcPr>
          <w:p>
            <w:pPr>
              <w:widowControl/>
              <w:adjustRightInd w:val="0"/>
              <w:snapToGrid w:val="0"/>
              <w:rPr>
                <w:rFonts w:hint="eastAsia"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美化</w:t>
            </w:r>
          </w:p>
        </w:tc>
        <w:tc>
          <w:tcPr>
            <w:tcW w:w="1480" w:type="dxa"/>
            <w:tcBorders>
              <w:tl2br w:val="nil"/>
              <w:tr2bl w:val="nil"/>
            </w:tcBorders>
            <w:vAlign w:val="center"/>
          </w:tcPr>
          <w:p>
            <w:pPr>
              <w:widowControl/>
              <w:adjustRightInd w:val="0"/>
              <w:snapToGrid w:val="0"/>
              <w:jc w:val="left"/>
              <w:rPr>
                <w:rFonts w:hint="eastAsia" w:ascii="宋体" w:hAnsi="宋体" w:eastAsia="宋体" w:cs="宋体"/>
                <w:kern w:val="2"/>
                <w:sz w:val="15"/>
                <w:szCs w:val="15"/>
                <w:lang w:val="en-US" w:eastAsia="zh-CN" w:bidi="ar-SA"/>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2265" w:type="dxa"/>
            <w:tcBorders>
              <w:tl2br w:val="nil"/>
              <w:tr2bl w:val="nil"/>
            </w:tcBorders>
            <w:noWrap/>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sz w:val="15"/>
                <w:szCs w:val="15"/>
              </w:rPr>
              <w:t>提高教育质量</w:t>
            </w:r>
          </w:p>
        </w:tc>
        <w:tc>
          <w:tcPr>
            <w:tcW w:w="1425" w:type="dxa"/>
            <w:tcBorders>
              <w:tl2br w:val="nil"/>
              <w:tr2bl w:val="nil"/>
            </w:tcBorders>
            <w:noWrap/>
            <w:vAlign w:val="center"/>
          </w:tcPr>
          <w:p>
            <w:pPr>
              <w:keepNext w:val="0"/>
              <w:keepLines w:val="0"/>
              <w:widowControl/>
              <w:suppressLineNumbers w:val="0"/>
              <w:jc w:val="center"/>
              <w:textAlignment w:val="top"/>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5分</w:t>
            </w:r>
          </w:p>
        </w:tc>
        <w:tc>
          <w:tcPr>
            <w:tcW w:w="4240" w:type="dxa"/>
            <w:tcBorders>
              <w:tl2br w:val="nil"/>
              <w:tr2bl w:val="nil"/>
            </w:tcBorders>
            <w:noWrap/>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sz w:val="15"/>
                <w:szCs w:val="15"/>
              </w:rPr>
              <w:t>推动义务教育从数量扩张向质量提高转变</w:t>
            </w:r>
          </w:p>
        </w:tc>
        <w:tc>
          <w:tcPr>
            <w:tcW w:w="1400" w:type="dxa"/>
            <w:tcBorders>
              <w:tl2br w:val="nil"/>
              <w:tr2bl w:val="nil"/>
            </w:tcBorders>
            <w:vAlign w:val="center"/>
          </w:tcPr>
          <w:p>
            <w:pPr>
              <w:widowControl/>
              <w:spacing w:line="240" w:lineRule="exact"/>
              <w:jc w:val="center"/>
              <w:rPr>
                <w:rFonts w:hint="eastAsia" w:ascii="宋体" w:hAnsi="宋体" w:eastAsia="宋体" w:cs="宋体"/>
                <w:sz w:val="15"/>
                <w:szCs w:val="15"/>
              </w:rPr>
            </w:pPr>
            <w:r>
              <w:rPr>
                <w:rFonts w:hint="eastAsia" w:ascii="宋体" w:hAnsi="宋体" w:eastAsia="宋体" w:cs="宋体"/>
                <w:color w:val="000000"/>
                <w:kern w:val="0"/>
                <w:sz w:val="15"/>
                <w:szCs w:val="15"/>
              </w:rPr>
              <w:t>文字描述</w:t>
            </w:r>
          </w:p>
        </w:tc>
        <w:tc>
          <w:tcPr>
            <w:tcW w:w="946" w:type="dxa"/>
            <w:tcBorders>
              <w:tl2br w:val="nil"/>
              <w:tr2bl w:val="nil"/>
            </w:tcBorders>
            <w:vAlign w:val="center"/>
          </w:tcPr>
          <w:p>
            <w:pPr>
              <w:widowControl/>
              <w:spacing w:line="240" w:lineRule="exact"/>
              <w:jc w:val="center"/>
              <w:rPr>
                <w:rFonts w:hint="eastAsia" w:ascii="宋体" w:hAnsi="宋体" w:eastAsia="宋体" w:cs="宋体"/>
                <w:sz w:val="15"/>
                <w:szCs w:val="15"/>
              </w:rPr>
            </w:pPr>
          </w:p>
        </w:tc>
        <w:tc>
          <w:tcPr>
            <w:tcW w:w="960" w:type="dxa"/>
            <w:tcBorders>
              <w:tl2br w:val="nil"/>
              <w:tr2bl w:val="nil"/>
            </w:tcBorders>
            <w:vAlign w:val="center"/>
          </w:tcPr>
          <w:p>
            <w:pPr>
              <w:widowControl/>
              <w:spacing w:line="240" w:lineRule="exact"/>
              <w:jc w:val="center"/>
              <w:rPr>
                <w:rFonts w:hint="eastAsia" w:ascii="宋体" w:hAnsi="宋体" w:eastAsia="宋体" w:cs="宋体"/>
                <w:sz w:val="15"/>
                <w:szCs w:val="15"/>
              </w:rPr>
            </w:pPr>
            <w:r>
              <w:rPr>
                <w:rFonts w:hint="eastAsia" w:ascii="宋体" w:hAnsi="宋体" w:eastAsia="宋体" w:cs="宋体"/>
                <w:kern w:val="0"/>
                <w:sz w:val="15"/>
                <w:szCs w:val="15"/>
              </w:rPr>
              <w:t>提升</w:t>
            </w:r>
          </w:p>
        </w:tc>
        <w:tc>
          <w:tcPr>
            <w:tcW w:w="1480" w:type="dxa"/>
            <w:tcBorders>
              <w:tl2br w:val="nil"/>
              <w:tr2bl w:val="nil"/>
            </w:tcBorders>
            <w:vAlign w:val="center"/>
          </w:tcPr>
          <w:p>
            <w:pPr>
              <w:spacing w:line="3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265" w:type="dxa"/>
            <w:tcBorders>
              <w:tl2br w:val="nil"/>
              <w:tr2bl w:val="nil"/>
            </w:tcBorders>
            <w:noWrap/>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color w:val="000000"/>
                <w:kern w:val="0"/>
                <w:sz w:val="15"/>
                <w:szCs w:val="15"/>
              </w:rPr>
              <w:t>教师、学生、家长对学校的满意度</w:t>
            </w:r>
          </w:p>
        </w:tc>
        <w:tc>
          <w:tcPr>
            <w:tcW w:w="142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sz w:val="15"/>
                <w:szCs w:val="15"/>
                <w:lang w:val="en-US"/>
              </w:rPr>
            </w:pPr>
            <w:r>
              <w:rPr>
                <w:rFonts w:hint="eastAsia" w:ascii="宋体" w:hAnsi="宋体" w:eastAsia="宋体" w:cs="宋体"/>
                <w:i w:val="0"/>
                <w:iCs w:val="0"/>
                <w:color w:val="000000"/>
                <w:kern w:val="0"/>
                <w:sz w:val="15"/>
                <w:szCs w:val="15"/>
                <w:u w:val="none"/>
                <w:lang w:val="en-US" w:eastAsia="zh-CN" w:bidi="ar"/>
              </w:rPr>
              <w:t>10分</w:t>
            </w:r>
          </w:p>
        </w:tc>
        <w:tc>
          <w:tcPr>
            <w:tcW w:w="4240" w:type="dxa"/>
            <w:tcBorders>
              <w:tl2br w:val="nil"/>
              <w:tr2bl w:val="nil"/>
            </w:tcBorders>
            <w:noWrap/>
            <w:vAlign w:val="center"/>
          </w:tcPr>
          <w:p>
            <w:pPr>
              <w:widowControl/>
              <w:adjustRightInd w:val="0"/>
              <w:snapToGrid w:val="0"/>
              <w:rPr>
                <w:rFonts w:hint="eastAsia" w:ascii="宋体" w:hAnsi="宋体" w:eastAsia="宋体" w:cs="宋体"/>
                <w:sz w:val="15"/>
                <w:szCs w:val="15"/>
              </w:rPr>
            </w:pPr>
            <w:r>
              <w:rPr>
                <w:rFonts w:hint="eastAsia" w:ascii="宋体" w:hAnsi="宋体" w:eastAsia="宋体" w:cs="宋体"/>
                <w:color w:val="000000"/>
                <w:kern w:val="0"/>
                <w:sz w:val="15"/>
                <w:szCs w:val="15"/>
              </w:rPr>
              <w:t>教师、学生、家长对学校的满意人数与总人数的比</w:t>
            </w:r>
          </w:p>
        </w:tc>
        <w:tc>
          <w:tcPr>
            <w:tcW w:w="1400" w:type="dxa"/>
            <w:tcBorders>
              <w:tl2br w:val="nil"/>
              <w:tr2bl w:val="nil"/>
            </w:tcBorders>
            <w:vAlign w:val="center"/>
          </w:tcPr>
          <w:p>
            <w:pPr>
              <w:widowControl/>
              <w:spacing w:line="240" w:lineRule="exact"/>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w:t>
            </w:r>
          </w:p>
        </w:tc>
        <w:tc>
          <w:tcPr>
            <w:tcW w:w="946" w:type="dxa"/>
            <w:tcBorders>
              <w:tl2br w:val="nil"/>
              <w:tr2bl w:val="nil"/>
            </w:tcBorders>
            <w:vAlign w:val="center"/>
          </w:tcPr>
          <w:p>
            <w:pPr>
              <w:widowControl/>
              <w:spacing w:line="240" w:lineRule="exact"/>
              <w:jc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90</w:t>
            </w:r>
          </w:p>
        </w:tc>
        <w:tc>
          <w:tcPr>
            <w:tcW w:w="960" w:type="dxa"/>
            <w:tcBorders>
              <w:tl2br w:val="nil"/>
              <w:tr2bl w:val="nil"/>
            </w:tcBorders>
            <w:vAlign w:val="center"/>
          </w:tcPr>
          <w:p>
            <w:pPr>
              <w:widowControl/>
              <w:spacing w:line="240" w:lineRule="exact"/>
              <w:jc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w:t>
            </w:r>
          </w:p>
        </w:tc>
        <w:tc>
          <w:tcPr>
            <w:tcW w:w="1480" w:type="dxa"/>
            <w:tcBorders>
              <w:tl2br w:val="nil"/>
              <w:tr2bl w:val="nil"/>
            </w:tcBorders>
            <w:vAlign w:val="center"/>
          </w:tcPr>
          <w:p>
            <w:pPr>
              <w:widowControl/>
              <w:spacing w:line="300" w:lineRule="exact"/>
              <w:jc w:val="left"/>
              <w:textAlignment w:val="center"/>
              <w:rPr>
                <w:rFonts w:hint="eastAsia" w:ascii="宋体" w:hAnsi="宋体" w:eastAsia="宋体" w:cs="宋体"/>
                <w:color w:val="000000"/>
                <w:kern w:val="0"/>
                <w:sz w:val="15"/>
                <w:szCs w:val="15"/>
                <w:lang w:val="en-US" w:eastAsia="zh-CN" w:bidi="ar-SA"/>
              </w:rPr>
            </w:pPr>
            <w:r>
              <w:rPr>
                <w:rFonts w:hint="eastAsia" w:ascii="宋体" w:hAnsi="宋体" w:eastAsia="宋体" w:cs="宋体"/>
                <w:sz w:val="15"/>
                <w:szCs w:val="15"/>
              </w:rPr>
              <w:t>调查问卷</w:t>
            </w:r>
          </w:p>
        </w:tc>
      </w:tr>
    </w:tbl>
    <w:p>
      <w:pPr>
        <w:widowControl/>
        <w:spacing w:line="584" w:lineRule="exact"/>
        <w:jc w:val="left"/>
        <w:rPr>
          <w:rFonts w:eastAsia="仿宋_GB2312"/>
          <w:color w:val="000000"/>
          <w:kern w:val="0"/>
          <w:sz w:val="30"/>
          <w:szCs w:val="30"/>
        </w:rPr>
      </w:pPr>
    </w:p>
    <w:p>
      <w:pPr>
        <w:spacing w:line="584" w:lineRule="exact"/>
        <w:ind w:firstLine="640" w:firstLineChars="200"/>
        <w:rPr>
          <w:rFonts w:ascii="Times New Roman" w:hAnsi="Times New Roman" w:eastAsia="黑体" w:cs="Times New Roman"/>
          <w:sz w:val="32"/>
          <w:szCs w:val="32"/>
        </w:rPr>
      </w:pPr>
      <w:bookmarkStart w:id="0" w:name="_Toc67152621"/>
      <w:r>
        <w:rPr>
          <w:rFonts w:hint="eastAsia" w:ascii="Times New Roman" w:hAnsi="Times New Roman" w:eastAsia="黑体" w:cs="Times New Roman"/>
          <w:sz w:val="32"/>
          <w:szCs w:val="32"/>
        </w:rPr>
        <w:t>第二部分 资金绩效目标</w:t>
      </w:r>
    </w:p>
    <w:p>
      <w:pPr>
        <w:ind w:firstLine="1400" w:firstLineChars="500"/>
        <w:jc w:val="left"/>
        <w:outlineLvl w:val="3"/>
        <w:rPr>
          <w:rFonts w:ascii="Times New Roman" w:hAnsi="宋体"/>
          <w:b/>
          <w:sz w:val="28"/>
        </w:rPr>
      </w:pPr>
      <w:r>
        <w:rPr>
          <w:rFonts w:hint="eastAsia" w:ascii="方正仿宋_GBK" w:eastAsia="方正仿宋_GBK"/>
          <w:b w:val="0"/>
          <w:bCs/>
          <w:sz w:val="28"/>
          <w:szCs w:val="28"/>
          <w:lang w:val="en-US" w:eastAsia="zh-CN"/>
        </w:rPr>
        <w:t>1.</w:t>
      </w:r>
      <w:r>
        <w:rPr>
          <w:rFonts w:hint="eastAsia" w:ascii="方正仿宋_GBK" w:eastAsia="方正仿宋_GBK"/>
          <w:b w:val="0"/>
          <w:bCs/>
          <w:sz w:val="28"/>
          <w:szCs w:val="28"/>
        </w:rPr>
        <w:t>城市区小学生均公用经费区级配套资金绩效目标表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85、城市区小学生均公用经费区级配套资金绩效目标表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16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5"/>
        <w:gridCol w:w="9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72"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15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8"/>
        <w:gridCol w:w="1706"/>
        <w:gridCol w:w="18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28"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06"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06"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76" w:type="dxa"/>
            <w:noWrap w:val="0"/>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上级下达学校工作任务完成率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生均公用经费标准含</w:t>
            </w:r>
            <w:r>
              <w:rPr>
                <w:rFonts w:ascii="方正书宋_GBK" w:eastAsia="方正书宋_GBK"/>
              </w:rPr>
              <w:t>85</w:t>
            </w:r>
            <w:r>
              <w:rPr>
                <w:rFonts w:hint="eastAsia" w:ascii="方正书宋_GBK" w:eastAsia="方正书宋_GBK"/>
              </w:rPr>
              <w:t>取暖费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735</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vMerge w:val="continue"/>
            <w:noWrap w:val="0"/>
            <w:vAlign w:val="center"/>
          </w:tcPr>
          <w:p>
            <w:pPr>
              <w:spacing w:line="300" w:lineRule="exact"/>
              <w:jc w:val="center"/>
              <w:rPr>
                <w:rFonts w:hint="eastAsia" w:ascii="方正书宋_GBK" w:eastAsia="方正书宋_GBK"/>
              </w:rPr>
            </w:pP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提高教育质量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28"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0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1680" w:firstLineChars="600"/>
        <w:jc w:val="left"/>
        <w:outlineLvl w:val="3"/>
        <w:rPr>
          <w:rFonts w:ascii="Times New Roman" w:hAnsi="宋体"/>
          <w:b/>
          <w:sz w:val="28"/>
        </w:rPr>
      </w:pPr>
      <w:bookmarkStart w:id="1" w:name="_Toc67152622"/>
      <w:r>
        <w:rPr>
          <w:rFonts w:hint="eastAsia" w:ascii="方正仿宋_GBK" w:eastAsia="方正仿宋_GBK"/>
          <w:b w:val="0"/>
          <w:bCs/>
          <w:sz w:val="28"/>
          <w:lang w:val="en-US" w:eastAsia="zh-CN"/>
        </w:rPr>
        <w:t>2.</w:t>
      </w:r>
      <w:r>
        <w:rPr>
          <w:rFonts w:hint="eastAsia" w:ascii="方正仿宋_GBK" w:eastAsia="方正仿宋_GBK"/>
          <w:b w:val="0"/>
          <w:bCs/>
          <w:sz w:val="28"/>
        </w:rPr>
        <w:t>城市区初中生均公用经费区级配套资金绩效目标表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86、城市区初中生均公用经费区级配套资金绩效目标表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初中生均公用经费含</w:t>
            </w:r>
            <w:r>
              <w:rPr>
                <w:rFonts w:ascii="方正书宋_GBK" w:eastAsia="方正书宋_GBK"/>
              </w:rPr>
              <w:t>85</w:t>
            </w:r>
            <w:r>
              <w:rPr>
                <w:rFonts w:hint="eastAsia" w:ascii="方正书宋_GBK" w:eastAsia="方正书宋_GBK"/>
              </w:rPr>
              <w:t>取暖费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义务教育阶段初中生均公用经费标准含</w:t>
            </w:r>
            <w:r>
              <w:rPr>
                <w:rFonts w:ascii="方正书宋_GBK" w:eastAsia="方正书宋_GBK"/>
              </w:rPr>
              <w:t>85</w:t>
            </w:r>
            <w:r>
              <w:rPr>
                <w:rFonts w:hint="eastAsia" w:ascii="方正书宋_GBK" w:eastAsia="方正书宋_GBK"/>
              </w:rPr>
              <w:t>取暖费</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935</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提高教育质量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提高工作积极性与服务水平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1680" w:firstLineChars="600"/>
        <w:jc w:val="left"/>
        <w:outlineLvl w:val="3"/>
        <w:rPr>
          <w:rFonts w:ascii="Times New Roman" w:hAnsi="宋体"/>
          <w:b w:val="0"/>
          <w:bCs/>
          <w:sz w:val="28"/>
        </w:rPr>
      </w:pPr>
      <w:bookmarkStart w:id="2" w:name="_Toc67152623"/>
      <w:r>
        <w:rPr>
          <w:rFonts w:hint="eastAsia" w:ascii="方正仿宋_GBK" w:eastAsia="方正仿宋_GBK"/>
          <w:b w:val="0"/>
          <w:bCs/>
          <w:sz w:val="28"/>
          <w:lang w:val="en-US" w:eastAsia="zh-CN"/>
        </w:rPr>
        <w:t>3.</w:t>
      </w:r>
      <w:r>
        <w:rPr>
          <w:rFonts w:hint="eastAsia" w:ascii="方正仿宋_GBK" w:eastAsia="方正仿宋_GBK"/>
          <w:b w:val="0"/>
          <w:bCs/>
          <w:sz w:val="28"/>
        </w:rPr>
        <w:t>城市区中学生均公用经费市级配套资金绩效目标表</w:t>
      </w:r>
      <w:bookmarkEnd w:id="2"/>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87、城市区中学生均公用经费市级配套资金绩效目标表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108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6"/>
        <w:gridCol w:w="9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6"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078"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08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1294"/>
        <w:gridCol w:w="1929"/>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4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9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929"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9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29" w:type="dxa"/>
            <w:noWrap w:val="0"/>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初中生均公用经费含</w:t>
            </w:r>
            <w:r>
              <w:rPr>
                <w:rFonts w:ascii="方正书宋_GBK" w:eastAsia="方正书宋_GBK"/>
              </w:rPr>
              <w:t>85</w:t>
            </w:r>
            <w:r>
              <w:rPr>
                <w:rFonts w:hint="eastAsia" w:ascii="方正书宋_GBK" w:eastAsia="方正书宋_GBK"/>
              </w:rPr>
              <w:t>取暖费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义务教育阶段初中生均公用经费标准含</w:t>
            </w:r>
            <w:r>
              <w:rPr>
                <w:rFonts w:ascii="方正书宋_GBK" w:eastAsia="方正书宋_GBK"/>
              </w:rPr>
              <w:t>85</w:t>
            </w:r>
            <w:r>
              <w:rPr>
                <w:rFonts w:hint="eastAsia" w:ascii="方正书宋_GBK" w:eastAsia="方正书宋_GBK"/>
              </w:rPr>
              <w:t>取暖费</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935</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vMerge w:val="continue"/>
            <w:noWrap w:val="0"/>
            <w:vAlign w:val="center"/>
          </w:tcPr>
          <w:p>
            <w:pPr>
              <w:spacing w:line="300" w:lineRule="exact"/>
              <w:jc w:val="center"/>
              <w:rPr>
                <w:rFonts w:hint="eastAsia" w:ascii="方正书宋_GBK" w:eastAsia="方正书宋_GBK"/>
              </w:rPr>
            </w:pP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4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9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29"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2240" w:firstLineChars="800"/>
        <w:jc w:val="left"/>
        <w:outlineLvl w:val="3"/>
        <w:rPr>
          <w:rFonts w:ascii="Times New Roman" w:hAnsi="宋体"/>
          <w:b w:val="0"/>
          <w:bCs/>
          <w:sz w:val="28"/>
        </w:rPr>
      </w:pPr>
      <w:bookmarkStart w:id="3" w:name="_Toc67152624"/>
      <w:r>
        <w:rPr>
          <w:rFonts w:hint="eastAsia" w:ascii="方正仿宋_GBK" w:eastAsia="方正仿宋_GBK"/>
          <w:b w:val="0"/>
          <w:bCs/>
          <w:sz w:val="28"/>
          <w:lang w:val="en-US" w:eastAsia="zh-CN"/>
        </w:rPr>
        <w:t>4.</w:t>
      </w:r>
      <w:r>
        <w:rPr>
          <w:rFonts w:hint="eastAsia" w:ascii="方正仿宋_GBK" w:eastAsia="方正仿宋_GBK"/>
          <w:b w:val="0"/>
          <w:bCs/>
          <w:sz w:val="28"/>
        </w:rPr>
        <w:t>2021年特殊教育省级补助资金绩效目标表</w:t>
      </w:r>
      <w:bookmarkEnd w:id="3"/>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88、2021年特殊教育省级补助资金绩效目标表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改善随班就读学生生活。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关爱随班就读学生，使其产生社会美感。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增强社会责任感，提高随班就读学生生活学习条件，</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合格的生活用品数量占购置用品总量的比例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保正常上学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保在校学生安全不出问题，无安全事故。</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及时提供的生活用品、保障设施、设备正常运行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义务教育阶段特殊教育资金标准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义务教育阶段初中生特殊教育资金标准</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6000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提高残疾人人口素质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提高义务教育质量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接受义务教育残疾学生家长满意度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1120" w:firstLineChars="400"/>
        <w:jc w:val="left"/>
        <w:outlineLvl w:val="3"/>
        <w:rPr>
          <w:rFonts w:ascii="Times New Roman" w:hAnsi="宋体"/>
          <w:b/>
          <w:sz w:val="28"/>
        </w:rPr>
      </w:pPr>
      <w:bookmarkStart w:id="4" w:name="_Toc67152625"/>
      <w:r>
        <w:rPr>
          <w:rFonts w:hint="eastAsia" w:ascii="方正仿宋_GBK" w:eastAsia="方正仿宋_GBK"/>
          <w:b w:val="0"/>
          <w:bCs/>
          <w:sz w:val="28"/>
          <w:lang w:val="en-US" w:eastAsia="zh-CN"/>
        </w:rPr>
        <w:t>5.</w:t>
      </w:r>
      <w:r>
        <w:rPr>
          <w:rFonts w:hint="eastAsia" w:ascii="方正仿宋_GBK" w:eastAsia="方正仿宋_GBK"/>
          <w:b w:val="0"/>
          <w:bCs/>
          <w:sz w:val="28"/>
        </w:rPr>
        <w:t>城市区小学生均公用经费中央（直达）配套资金绩效目标表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89、城市区小学生均公用经费中央（直达）配套资金绩效目标表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上级下达学校工作任务完成率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生均公用经费标准含</w:t>
            </w:r>
            <w:r>
              <w:rPr>
                <w:rFonts w:ascii="方正书宋_GBK" w:eastAsia="方正书宋_GBK"/>
              </w:rPr>
              <w:t>85</w:t>
            </w:r>
            <w:r>
              <w:rPr>
                <w:rFonts w:hint="eastAsia" w:ascii="方正书宋_GBK" w:eastAsia="方正书宋_GBK"/>
              </w:rPr>
              <w:t>取暖费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735</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提高教育质量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6" w:name="_Toc64920910"/>
      <w:r>
        <w:rPr>
          <w:rFonts w:hint="eastAsia" w:ascii="方正小标宋_GBK" w:eastAsia="方正小标宋_GBK" w:cs="Times New Roman"/>
          <w:sz w:val="32"/>
        </w:rPr>
        <w:t>部门政府采购预算</w:t>
      </w:r>
      <w:bookmarkEnd w:id="6"/>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lang w:val="en-US" w:eastAsia="zh-CN"/>
              </w:rPr>
              <w:t>[430028]</w:t>
            </w:r>
            <w:r>
              <w:rPr>
                <w:rFonts w:ascii="方正小标宋_GBK" w:eastAsia="方正小标宋_GBK" w:cs="Times New Roman"/>
                <w:sz w:val="24"/>
              </w:rPr>
              <w:t>廊坊市第</w:t>
            </w:r>
            <w:r>
              <w:rPr>
                <w:rFonts w:hint="eastAsia" w:ascii="方正小标宋_GBK" w:eastAsia="方正小标宋_GBK" w:cs="Times New Roman"/>
                <w:sz w:val="24"/>
                <w:lang w:val="en-US" w:eastAsia="zh-CN"/>
              </w:rPr>
              <w:t>十六</w:t>
            </w:r>
            <w:r>
              <w:rPr>
                <w:rFonts w:ascii="方正小标宋_GBK" w:eastAsia="方正小标宋_GBK" w:cs="Times New Roman"/>
                <w:sz w:val="24"/>
              </w:rPr>
              <w:t>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lang w:val="en-US" w:eastAsia="zh-CN"/>
        </w:rPr>
        <w:t>十六</w:t>
      </w:r>
      <w:r>
        <w:rPr>
          <w:rFonts w:ascii="Times New Roman" w:hAnsi="Times New Roman" w:eastAsia="仿宋_GB2312" w:cs="Times New Roman"/>
          <w:sz w:val="32"/>
          <w:szCs w:val="32"/>
        </w:rPr>
        <w:t>中学上年末固定资产金额为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lang w:val="en-US" w:eastAsia="zh-CN"/>
              </w:rPr>
              <w:t>十六</w:t>
            </w:r>
            <w:r>
              <w:rPr>
                <w:rFonts w:ascii="Times New Roman" w:hAnsi="Times New Roman" w:eastAsia="仿宋_GB2312" w:cs="Times New Roman"/>
                <w:b/>
                <w:bCs/>
                <w:kern w:val="0"/>
                <w:sz w:val="32"/>
                <w:szCs w:val="32"/>
              </w:rPr>
              <w:t>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lang w:val="en-US" w:eastAsia="zh-CN"/>
              </w:rPr>
              <w:t>十六</w:t>
            </w:r>
            <w:r>
              <w:rPr>
                <w:rFonts w:ascii="Times New Roman" w:hAnsi="Times New Roman" w:eastAsia="仿宋_GB2312" w:cs="Times New Roman"/>
                <w:kern w:val="0"/>
                <w:sz w:val="22"/>
              </w:rPr>
              <w:t>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both"/>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both"/>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both"/>
              <w:rPr>
                <w:rFonts w:ascii="微软雅黑" w:hAnsi="微软雅黑" w:eastAsia="微软雅黑"/>
                <w:color w:val="333333"/>
                <w:sz w:val="22"/>
              </w:rPr>
            </w:pP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both"/>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both"/>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7129AF"/>
    <w:rsid w:val="007257DA"/>
    <w:rsid w:val="00807A76"/>
    <w:rsid w:val="008759F9"/>
    <w:rsid w:val="0089152A"/>
    <w:rsid w:val="008F0EB4"/>
    <w:rsid w:val="00A218C6"/>
    <w:rsid w:val="00A829D5"/>
    <w:rsid w:val="00B17B32"/>
    <w:rsid w:val="00B80935"/>
    <w:rsid w:val="00BA3CDD"/>
    <w:rsid w:val="00C032F4"/>
    <w:rsid w:val="00C16497"/>
    <w:rsid w:val="00CA27A5"/>
    <w:rsid w:val="00D347CC"/>
    <w:rsid w:val="00E27CE3"/>
    <w:rsid w:val="00F37F3A"/>
    <w:rsid w:val="00F70818"/>
    <w:rsid w:val="00FA4801"/>
    <w:rsid w:val="086864CF"/>
    <w:rsid w:val="08B75669"/>
    <w:rsid w:val="0DDE6CC0"/>
    <w:rsid w:val="20DC5EBB"/>
    <w:rsid w:val="25221073"/>
    <w:rsid w:val="28815771"/>
    <w:rsid w:val="2E2C590F"/>
    <w:rsid w:val="34DB5301"/>
    <w:rsid w:val="357F17F8"/>
    <w:rsid w:val="527D495D"/>
    <w:rsid w:val="6A3C1288"/>
    <w:rsid w:val="78D5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835</Words>
  <Characters>4763</Characters>
  <Lines>39</Lines>
  <Paragraphs>11</Paragraphs>
  <TotalTime>1</TotalTime>
  <ScaleCrop>false</ScaleCrop>
  <LinksUpToDate>false</LinksUpToDate>
  <CharactersWithSpaces>5587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2023-06-02T03:03:15Z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2B8872557D9E4FA38FF4A0AE677B7C26</vt:lpwstr>
  </property>
</Properties>
</file>