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29</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30</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259.25</w:t>
            </w:r>
          </w:p>
        </w:tc>
        <w:tc>
          <w:tcPr>
            <w:tcW w:w="4535" w:type="dxa"/>
            <w:vAlign w:val="center"/>
          </w:tcPr>
          <w:p>
            <w:pPr>
              <w:pStyle w:val="17"/>
            </w:pPr>
            <w:r>
              <w:t>一、一般公共服务支出</w:t>
            </w:r>
          </w:p>
        </w:tc>
        <w:tc>
          <w:tcPr>
            <w:tcW w:w="2126" w:type="dxa"/>
            <w:vAlign w:val="center"/>
          </w:tcPr>
          <w:p>
            <w:pPr>
              <w:pStyle w:val="16"/>
            </w:pPr>
            <w:r>
              <w:t>225.36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259.25</w:t>
            </w:r>
          </w:p>
        </w:tc>
        <w:tc>
          <w:tcPr>
            <w:tcW w:w="4535" w:type="dxa"/>
            <w:vAlign w:val="center"/>
          </w:tcPr>
          <w:p>
            <w:pPr>
              <w:pStyle w:val="19"/>
            </w:pPr>
            <w:r>
              <w:t>本年支出合计</w:t>
            </w:r>
          </w:p>
        </w:tc>
        <w:tc>
          <w:tcPr>
            <w:tcW w:w="2126" w:type="dxa"/>
            <w:vAlign w:val="center"/>
          </w:tcPr>
          <w:p>
            <w:pPr>
              <w:pStyle w:val="20"/>
            </w:pPr>
            <w:r>
              <w:t>259.25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259.25</w:t>
            </w:r>
          </w:p>
        </w:tc>
        <w:tc>
          <w:tcPr>
            <w:tcW w:w="4535" w:type="dxa"/>
            <w:vAlign w:val="center"/>
          </w:tcPr>
          <w:p>
            <w:pPr>
              <w:pStyle w:val="19"/>
            </w:pPr>
            <w:r>
              <w:t>支出总计</w:t>
            </w:r>
          </w:p>
        </w:tc>
        <w:tc>
          <w:tcPr>
            <w:tcW w:w="2126" w:type="dxa"/>
            <w:vAlign w:val="center"/>
          </w:tcPr>
          <w:p>
            <w:pPr>
              <w:pStyle w:val="20"/>
            </w:pPr>
            <w:r>
              <w:t>259.25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259.25</w:t>
            </w:r>
          </w:p>
        </w:tc>
        <w:tc>
          <w:tcPr>
            <w:tcW w:w="1134" w:type="dxa"/>
            <w:vAlign w:val="center"/>
          </w:tcPr>
          <w:p>
            <w:pPr>
              <w:pStyle w:val="20"/>
            </w:pPr>
            <w:r>
              <w:t>259.25</w:t>
            </w:r>
          </w:p>
        </w:tc>
        <w:tc>
          <w:tcPr>
            <w:tcW w:w="1134" w:type="dxa"/>
            <w:vAlign w:val="center"/>
          </w:tcPr>
          <w:p>
            <w:pPr>
              <w:pStyle w:val="20"/>
            </w:pPr>
            <w:r>
              <w:t>259.25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225.36</w:t>
            </w:r>
          </w:p>
        </w:tc>
        <w:tc>
          <w:tcPr>
            <w:tcW w:w="1134" w:type="dxa"/>
            <w:vAlign w:val="center"/>
          </w:tcPr>
          <w:p>
            <w:pPr>
              <w:pStyle w:val="16"/>
            </w:pPr>
            <w:r>
              <w:t>225.36</w:t>
            </w:r>
          </w:p>
        </w:tc>
        <w:tc>
          <w:tcPr>
            <w:tcW w:w="1134" w:type="dxa"/>
            <w:vAlign w:val="center"/>
          </w:tcPr>
          <w:p>
            <w:pPr>
              <w:pStyle w:val="16"/>
            </w:pPr>
            <w:r>
              <w:t>225.36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20137</w:t>
            </w:r>
          </w:p>
        </w:tc>
        <w:tc>
          <w:tcPr>
            <w:tcW w:w="1559" w:type="dxa"/>
            <w:vAlign w:val="center"/>
          </w:tcPr>
          <w:p>
            <w:pPr>
              <w:pStyle w:val="17"/>
            </w:pPr>
            <w:r>
              <w:t>网信事务</w:t>
            </w:r>
          </w:p>
        </w:tc>
        <w:tc>
          <w:tcPr>
            <w:tcW w:w="1134" w:type="dxa"/>
            <w:vAlign w:val="center"/>
          </w:tcPr>
          <w:p>
            <w:pPr>
              <w:pStyle w:val="16"/>
            </w:pPr>
            <w:r>
              <w:t>225.36</w:t>
            </w:r>
          </w:p>
        </w:tc>
        <w:tc>
          <w:tcPr>
            <w:tcW w:w="1134" w:type="dxa"/>
            <w:vAlign w:val="center"/>
          </w:tcPr>
          <w:p>
            <w:pPr>
              <w:pStyle w:val="16"/>
            </w:pPr>
            <w:r>
              <w:t>225.36</w:t>
            </w:r>
          </w:p>
        </w:tc>
        <w:tc>
          <w:tcPr>
            <w:tcW w:w="1134" w:type="dxa"/>
            <w:vAlign w:val="center"/>
          </w:tcPr>
          <w:p>
            <w:pPr>
              <w:pStyle w:val="16"/>
            </w:pPr>
            <w:r>
              <w:t>225.36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2013701</w:t>
            </w:r>
          </w:p>
        </w:tc>
        <w:tc>
          <w:tcPr>
            <w:tcW w:w="1559" w:type="dxa"/>
            <w:vAlign w:val="center"/>
          </w:tcPr>
          <w:p>
            <w:pPr>
              <w:pStyle w:val="17"/>
            </w:pPr>
            <w:r>
              <w:t>行政运行</w:t>
            </w:r>
          </w:p>
        </w:tc>
        <w:tc>
          <w:tcPr>
            <w:tcW w:w="1134" w:type="dxa"/>
            <w:vAlign w:val="center"/>
          </w:tcPr>
          <w:p>
            <w:pPr>
              <w:pStyle w:val="16"/>
            </w:pPr>
            <w:r>
              <w:t>149.36</w:t>
            </w:r>
          </w:p>
        </w:tc>
        <w:tc>
          <w:tcPr>
            <w:tcW w:w="1134" w:type="dxa"/>
            <w:vAlign w:val="center"/>
          </w:tcPr>
          <w:p>
            <w:pPr>
              <w:pStyle w:val="16"/>
            </w:pPr>
            <w:r>
              <w:t>149.36</w:t>
            </w:r>
          </w:p>
        </w:tc>
        <w:tc>
          <w:tcPr>
            <w:tcW w:w="1134" w:type="dxa"/>
            <w:vAlign w:val="center"/>
          </w:tcPr>
          <w:p>
            <w:pPr>
              <w:pStyle w:val="16"/>
            </w:pPr>
            <w:r>
              <w:t>149.36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2013704</w:t>
            </w:r>
          </w:p>
        </w:tc>
        <w:tc>
          <w:tcPr>
            <w:tcW w:w="1559" w:type="dxa"/>
            <w:vAlign w:val="center"/>
          </w:tcPr>
          <w:p>
            <w:pPr>
              <w:pStyle w:val="17"/>
            </w:pPr>
            <w:r>
              <w:t>信息安全事务</w:t>
            </w:r>
          </w:p>
        </w:tc>
        <w:tc>
          <w:tcPr>
            <w:tcW w:w="1134" w:type="dxa"/>
            <w:vAlign w:val="center"/>
          </w:tcPr>
          <w:p>
            <w:pPr>
              <w:pStyle w:val="16"/>
            </w:pPr>
            <w:r>
              <w:t>76.00</w:t>
            </w:r>
          </w:p>
        </w:tc>
        <w:tc>
          <w:tcPr>
            <w:tcW w:w="1134" w:type="dxa"/>
            <w:vAlign w:val="center"/>
          </w:tcPr>
          <w:p>
            <w:pPr>
              <w:pStyle w:val="16"/>
            </w:pPr>
            <w:r>
              <w:t>76.00</w:t>
            </w:r>
          </w:p>
        </w:tc>
        <w:tc>
          <w:tcPr>
            <w:tcW w:w="1134" w:type="dxa"/>
            <w:vAlign w:val="center"/>
          </w:tcPr>
          <w:p>
            <w:pPr>
              <w:pStyle w:val="16"/>
            </w:pPr>
            <w:r>
              <w:t>76.00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15.73</w:t>
            </w:r>
          </w:p>
        </w:tc>
        <w:tc>
          <w:tcPr>
            <w:tcW w:w="1134" w:type="dxa"/>
            <w:vAlign w:val="center"/>
          </w:tcPr>
          <w:p>
            <w:pPr>
              <w:pStyle w:val="16"/>
            </w:pPr>
            <w:r>
              <w:t>15.73</w:t>
            </w:r>
          </w:p>
        </w:tc>
        <w:tc>
          <w:tcPr>
            <w:tcW w:w="1134" w:type="dxa"/>
            <w:vAlign w:val="center"/>
          </w:tcPr>
          <w:p>
            <w:pPr>
              <w:pStyle w:val="16"/>
            </w:pPr>
            <w:r>
              <w:t>15.73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15.73</w:t>
            </w:r>
          </w:p>
        </w:tc>
        <w:tc>
          <w:tcPr>
            <w:tcW w:w="1134" w:type="dxa"/>
            <w:vAlign w:val="center"/>
          </w:tcPr>
          <w:p>
            <w:pPr>
              <w:pStyle w:val="16"/>
            </w:pPr>
            <w:r>
              <w:t>15.73</w:t>
            </w:r>
          </w:p>
        </w:tc>
        <w:tc>
          <w:tcPr>
            <w:tcW w:w="1134" w:type="dxa"/>
            <w:vAlign w:val="center"/>
          </w:tcPr>
          <w:p>
            <w:pPr>
              <w:pStyle w:val="16"/>
            </w:pPr>
            <w:r>
              <w:t>15.73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15.73</w:t>
            </w:r>
          </w:p>
        </w:tc>
        <w:tc>
          <w:tcPr>
            <w:tcW w:w="1134" w:type="dxa"/>
            <w:vAlign w:val="center"/>
          </w:tcPr>
          <w:p>
            <w:pPr>
              <w:pStyle w:val="16"/>
            </w:pPr>
            <w:r>
              <w:t>15.73</w:t>
            </w:r>
          </w:p>
        </w:tc>
        <w:tc>
          <w:tcPr>
            <w:tcW w:w="1134" w:type="dxa"/>
            <w:vAlign w:val="center"/>
          </w:tcPr>
          <w:p>
            <w:pPr>
              <w:pStyle w:val="16"/>
            </w:pPr>
            <w:r>
              <w:t>15.73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5.09</w:t>
            </w:r>
          </w:p>
        </w:tc>
        <w:tc>
          <w:tcPr>
            <w:tcW w:w="1134" w:type="dxa"/>
            <w:vAlign w:val="center"/>
          </w:tcPr>
          <w:p>
            <w:pPr>
              <w:pStyle w:val="16"/>
            </w:pPr>
            <w:r>
              <w:t>5.09</w:t>
            </w:r>
          </w:p>
        </w:tc>
        <w:tc>
          <w:tcPr>
            <w:tcW w:w="1134" w:type="dxa"/>
            <w:vAlign w:val="center"/>
          </w:tcPr>
          <w:p>
            <w:pPr>
              <w:pStyle w:val="16"/>
            </w:pPr>
            <w:r>
              <w:t>5.09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5.09</w:t>
            </w:r>
          </w:p>
        </w:tc>
        <w:tc>
          <w:tcPr>
            <w:tcW w:w="1134" w:type="dxa"/>
            <w:vAlign w:val="center"/>
          </w:tcPr>
          <w:p>
            <w:pPr>
              <w:pStyle w:val="16"/>
            </w:pPr>
            <w:r>
              <w:t>5.09</w:t>
            </w:r>
          </w:p>
        </w:tc>
        <w:tc>
          <w:tcPr>
            <w:tcW w:w="1134" w:type="dxa"/>
            <w:vAlign w:val="center"/>
          </w:tcPr>
          <w:p>
            <w:pPr>
              <w:pStyle w:val="16"/>
            </w:pPr>
            <w:r>
              <w:t>5.09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5.09</w:t>
            </w:r>
          </w:p>
        </w:tc>
        <w:tc>
          <w:tcPr>
            <w:tcW w:w="1134" w:type="dxa"/>
            <w:vAlign w:val="center"/>
          </w:tcPr>
          <w:p>
            <w:pPr>
              <w:pStyle w:val="16"/>
            </w:pPr>
            <w:r>
              <w:t>5.09</w:t>
            </w:r>
          </w:p>
        </w:tc>
        <w:tc>
          <w:tcPr>
            <w:tcW w:w="1134" w:type="dxa"/>
            <w:vAlign w:val="center"/>
          </w:tcPr>
          <w:p>
            <w:pPr>
              <w:pStyle w:val="16"/>
            </w:pPr>
            <w:r>
              <w:t>5.09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13.07</w:t>
            </w:r>
          </w:p>
        </w:tc>
        <w:tc>
          <w:tcPr>
            <w:tcW w:w="1134" w:type="dxa"/>
            <w:vAlign w:val="center"/>
          </w:tcPr>
          <w:p>
            <w:pPr>
              <w:pStyle w:val="16"/>
            </w:pPr>
            <w:r>
              <w:t>13.07</w:t>
            </w:r>
          </w:p>
        </w:tc>
        <w:tc>
          <w:tcPr>
            <w:tcW w:w="1134" w:type="dxa"/>
            <w:vAlign w:val="center"/>
          </w:tcPr>
          <w:p>
            <w:pPr>
              <w:pStyle w:val="16"/>
            </w:pPr>
            <w:r>
              <w:t>13.07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13.07</w:t>
            </w:r>
          </w:p>
        </w:tc>
        <w:tc>
          <w:tcPr>
            <w:tcW w:w="1134" w:type="dxa"/>
            <w:vAlign w:val="center"/>
          </w:tcPr>
          <w:p>
            <w:pPr>
              <w:pStyle w:val="16"/>
            </w:pPr>
            <w:r>
              <w:t>13.07</w:t>
            </w:r>
          </w:p>
        </w:tc>
        <w:tc>
          <w:tcPr>
            <w:tcW w:w="1134" w:type="dxa"/>
            <w:vAlign w:val="center"/>
          </w:tcPr>
          <w:p>
            <w:pPr>
              <w:pStyle w:val="16"/>
            </w:pPr>
            <w:r>
              <w:t>13.07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13.07</w:t>
            </w:r>
          </w:p>
        </w:tc>
        <w:tc>
          <w:tcPr>
            <w:tcW w:w="1134" w:type="dxa"/>
            <w:vAlign w:val="center"/>
          </w:tcPr>
          <w:p>
            <w:pPr>
              <w:pStyle w:val="16"/>
            </w:pPr>
            <w:r>
              <w:t>13.07</w:t>
            </w:r>
          </w:p>
        </w:tc>
        <w:tc>
          <w:tcPr>
            <w:tcW w:w="1134" w:type="dxa"/>
            <w:vAlign w:val="center"/>
          </w:tcPr>
          <w:p>
            <w:pPr>
              <w:pStyle w:val="16"/>
            </w:pPr>
            <w:r>
              <w:t>13.07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259.25</w:t>
            </w:r>
          </w:p>
        </w:tc>
        <w:tc>
          <w:tcPr>
            <w:tcW w:w="1361" w:type="dxa"/>
            <w:vAlign w:val="center"/>
          </w:tcPr>
          <w:p>
            <w:pPr>
              <w:pStyle w:val="20"/>
            </w:pPr>
            <w:r>
              <w:t>183.25</w:t>
            </w:r>
          </w:p>
        </w:tc>
        <w:tc>
          <w:tcPr>
            <w:tcW w:w="1361" w:type="dxa"/>
            <w:vAlign w:val="center"/>
          </w:tcPr>
          <w:p>
            <w:pPr>
              <w:pStyle w:val="20"/>
            </w:pPr>
            <w:r>
              <w:t>76.00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225.36</w:t>
            </w:r>
          </w:p>
        </w:tc>
        <w:tc>
          <w:tcPr>
            <w:tcW w:w="1361" w:type="dxa"/>
            <w:vAlign w:val="center"/>
          </w:tcPr>
          <w:p>
            <w:pPr>
              <w:pStyle w:val="16"/>
            </w:pPr>
            <w:r>
              <w:t>149.36</w:t>
            </w:r>
          </w:p>
        </w:tc>
        <w:tc>
          <w:tcPr>
            <w:tcW w:w="1361" w:type="dxa"/>
            <w:vAlign w:val="center"/>
          </w:tcPr>
          <w:p>
            <w:pPr>
              <w:pStyle w:val="16"/>
            </w:pPr>
            <w:r>
              <w:t>76.00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20137</w:t>
            </w:r>
          </w:p>
        </w:tc>
        <w:tc>
          <w:tcPr>
            <w:tcW w:w="4535" w:type="dxa"/>
            <w:vAlign w:val="center"/>
          </w:tcPr>
          <w:p>
            <w:pPr>
              <w:pStyle w:val="17"/>
            </w:pPr>
            <w:r>
              <w:t>网信事务</w:t>
            </w:r>
          </w:p>
        </w:tc>
        <w:tc>
          <w:tcPr>
            <w:tcW w:w="1361" w:type="dxa"/>
            <w:vAlign w:val="center"/>
          </w:tcPr>
          <w:p>
            <w:pPr>
              <w:pStyle w:val="16"/>
            </w:pPr>
            <w:r>
              <w:t>225.36</w:t>
            </w:r>
          </w:p>
        </w:tc>
        <w:tc>
          <w:tcPr>
            <w:tcW w:w="1361" w:type="dxa"/>
            <w:vAlign w:val="center"/>
          </w:tcPr>
          <w:p>
            <w:pPr>
              <w:pStyle w:val="16"/>
            </w:pPr>
            <w:r>
              <w:t>149.36</w:t>
            </w:r>
          </w:p>
        </w:tc>
        <w:tc>
          <w:tcPr>
            <w:tcW w:w="1361" w:type="dxa"/>
            <w:vAlign w:val="center"/>
          </w:tcPr>
          <w:p>
            <w:pPr>
              <w:pStyle w:val="16"/>
            </w:pPr>
            <w:r>
              <w:t>76.00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2013701</w:t>
            </w:r>
          </w:p>
        </w:tc>
        <w:tc>
          <w:tcPr>
            <w:tcW w:w="4535" w:type="dxa"/>
            <w:vAlign w:val="center"/>
          </w:tcPr>
          <w:p>
            <w:pPr>
              <w:pStyle w:val="17"/>
            </w:pPr>
            <w:r>
              <w:t>行政运行</w:t>
            </w:r>
          </w:p>
        </w:tc>
        <w:tc>
          <w:tcPr>
            <w:tcW w:w="1361" w:type="dxa"/>
            <w:vAlign w:val="center"/>
          </w:tcPr>
          <w:p>
            <w:pPr>
              <w:pStyle w:val="16"/>
            </w:pPr>
            <w:r>
              <w:t>149.36</w:t>
            </w:r>
          </w:p>
        </w:tc>
        <w:tc>
          <w:tcPr>
            <w:tcW w:w="1361" w:type="dxa"/>
            <w:vAlign w:val="center"/>
          </w:tcPr>
          <w:p>
            <w:pPr>
              <w:pStyle w:val="16"/>
            </w:pPr>
            <w:r>
              <w:t>149.36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2013704</w:t>
            </w:r>
          </w:p>
        </w:tc>
        <w:tc>
          <w:tcPr>
            <w:tcW w:w="4535" w:type="dxa"/>
            <w:vAlign w:val="center"/>
          </w:tcPr>
          <w:p>
            <w:pPr>
              <w:pStyle w:val="17"/>
            </w:pPr>
            <w:r>
              <w:t>信息安全事务</w:t>
            </w:r>
          </w:p>
        </w:tc>
        <w:tc>
          <w:tcPr>
            <w:tcW w:w="1361" w:type="dxa"/>
            <w:vAlign w:val="center"/>
          </w:tcPr>
          <w:p>
            <w:pPr>
              <w:pStyle w:val="16"/>
            </w:pPr>
            <w:r>
              <w:t>76.00</w:t>
            </w:r>
          </w:p>
        </w:tc>
        <w:tc>
          <w:tcPr>
            <w:tcW w:w="1361" w:type="dxa"/>
            <w:vAlign w:val="center"/>
          </w:tcPr>
          <w:p>
            <w:pPr>
              <w:pStyle w:val="16"/>
            </w:pPr>
          </w:p>
        </w:tc>
        <w:tc>
          <w:tcPr>
            <w:tcW w:w="1361" w:type="dxa"/>
            <w:vAlign w:val="center"/>
          </w:tcPr>
          <w:p>
            <w:pPr>
              <w:pStyle w:val="16"/>
            </w:pPr>
            <w:r>
              <w:t>76.00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15.73</w:t>
            </w:r>
          </w:p>
        </w:tc>
        <w:tc>
          <w:tcPr>
            <w:tcW w:w="1361" w:type="dxa"/>
            <w:vAlign w:val="center"/>
          </w:tcPr>
          <w:p>
            <w:pPr>
              <w:pStyle w:val="16"/>
            </w:pPr>
            <w:r>
              <w:t>15.73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15.73</w:t>
            </w:r>
          </w:p>
        </w:tc>
        <w:tc>
          <w:tcPr>
            <w:tcW w:w="1361" w:type="dxa"/>
            <w:vAlign w:val="center"/>
          </w:tcPr>
          <w:p>
            <w:pPr>
              <w:pStyle w:val="16"/>
            </w:pPr>
            <w:r>
              <w:t>15.73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15.73</w:t>
            </w:r>
          </w:p>
        </w:tc>
        <w:tc>
          <w:tcPr>
            <w:tcW w:w="1361" w:type="dxa"/>
            <w:vAlign w:val="center"/>
          </w:tcPr>
          <w:p>
            <w:pPr>
              <w:pStyle w:val="16"/>
            </w:pPr>
            <w:r>
              <w:t>15.73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5.09</w:t>
            </w:r>
          </w:p>
        </w:tc>
        <w:tc>
          <w:tcPr>
            <w:tcW w:w="1361" w:type="dxa"/>
            <w:vAlign w:val="center"/>
          </w:tcPr>
          <w:p>
            <w:pPr>
              <w:pStyle w:val="16"/>
            </w:pPr>
            <w:r>
              <w:t>5.09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5.09</w:t>
            </w:r>
          </w:p>
        </w:tc>
        <w:tc>
          <w:tcPr>
            <w:tcW w:w="1361" w:type="dxa"/>
            <w:vAlign w:val="center"/>
          </w:tcPr>
          <w:p>
            <w:pPr>
              <w:pStyle w:val="16"/>
            </w:pPr>
            <w:r>
              <w:t>5.09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5.09</w:t>
            </w:r>
          </w:p>
        </w:tc>
        <w:tc>
          <w:tcPr>
            <w:tcW w:w="1361" w:type="dxa"/>
            <w:vAlign w:val="center"/>
          </w:tcPr>
          <w:p>
            <w:pPr>
              <w:pStyle w:val="16"/>
            </w:pPr>
            <w:r>
              <w:t>5.09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13.07</w:t>
            </w:r>
          </w:p>
        </w:tc>
        <w:tc>
          <w:tcPr>
            <w:tcW w:w="1361" w:type="dxa"/>
            <w:vAlign w:val="center"/>
          </w:tcPr>
          <w:p>
            <w:pPr>
              <w:pStyle w:val="16"/>
            </w:pPr>
            <w:r>
              <w:t>13.07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13.07</w:t>
            </w:r>
          </w:p>
        </w:tc>
        <w:tc>
          <w:tcPr>
            <w:tcW w:w="1361" w:type="dxa"/>
            <w:vAlign w:val="center"/>
          </w:tcPr>
          <w:p>
            <w:pPr>
              <w:pStyle w:val="16"/>
            </w:pPr>
            <w:r>
              <w:t>13.07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13.07</w:t>
            </w:r>
          </w:p>
        </w:tc>
        <w:tc>
          <w:tcPr>
            <w:tcW w:w="1361" w:type="dxa"/>
            <w:vAlign w:val="center"/>
          </w:tcPr>
          <w:p>
            <w:pPr>
              <w:pStyle w:val="16"/>
            </w:pPr>
            <w:r>
              <w:t>13.07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259.25</w:t>
            </w:r>
          </w:p>
        </w:tc>
        <w:tc>
          <w:tcPr>
            <w:tcW w:w="3402" w:type="dxa"/>
            <w:vAlign w:val="center"/>
          </w:tcPr>
          <w:p>
            <w:pPr>
              <w:pStyle w:val="17"/>
            </w:pPr>
            <w:r>
              <w:t>一、一般公共服务支出</w:t>
            </w:r>
          </w:p>
        </w:tc>
        <w:tc>
          <w:tcPr>
            <w:tcW w:w="1474" w:type="dxa"/>
            <w:vAlign w:val="center"/>
          </w:tcPr>
          <w:p>
            <w:pPr>
              <w:pStyle w:val="16"/>
            </w:pPr>
            <w:r>
              <w:t>225.36</w:t>
            </w:r>
          </w:p>
        </w:tc>
        <w:tc>
          <w:tcPr>
            <w:tcW w:w="1474" w:type="dxa"/>
            <w:vAlign w:val="center"/>
          </w:tcPr>
          <w:p>
            <w:pPr>
              <w:pStyle w:val="16"/>
            </w:pPr>
            <w:r>
              <w:t>225.36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15.73</w:t>
            </w:r>
          </w:p>
        </w:tc>
        <w:tc>
          <w:tcPr>
            <w:tcW w:w="1474" w:type="dxa"/>
            <w:vAlign w:val="center"/>
          </w:tcPr>
          <w:p>
            <w:pPr>
              <w:pStyle w:val="16"/>
            </w:pPr>
            <w:r>
              <w:t>15.73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5.09</w:t>
            </w:r>
          </w:p>
        </w:tc>
        <w:tc>
          <w:tcPr>
            <w:tcW w:w="1474" w:type="dxa"/>
            <w:vAlign w:val="center"/>
          </w:tcPr>
          <w:p>
            <w:pPr>
              <w:pStyle w:val="16"/>
            </w:pPr>
            <w:r>
              <w:t>5.09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13.07</w:t>
            </w:r>
          </w:p>
        </w:tc>
        <w:tc>
          <w:tcPr>
            <w:tcW w:w="1474" w:type="dxa"/>
            <w:vAlign w:val="center"/>
          </w:tcPr>
          <w:p>
            <w:pPr>
              <w:pStyle w:val="16"/>
            </w:pPr>
            <w:r>
              <w:t>13.07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259.25</w:t>
            </w:r>
          </w:p>
        </w:tc>
        <w:tc>
          <w:tcPr>
            <w:tcW w:w="3402" w:type="dxa"/>
            <w:vAlign w:val="center"/>
          </w:tcPr>
          <w:p>
            <w:pPr>
              <w:pStyle w:val="19"/>
            </w:pPr>
            <w:r>
              <w:t>本年支出合计</w:t>
            </w:r>
          </w:p>
        </w:tc>
        <w:tc>
          <w:tcPr>
            <w:tcW w:w="1474" w:type="dxa"/>
            <w:vAlign w:val="center"/>
          </w:tcPr>
          <w:p>
            <w:pPr>
              <w:pStyle w:val="20"/>
            </w:pPr>
            <w:r>
              <w:t>259.25</w:t>
            </w:r>
          </w:p>
        </w:tc>
        <w:tc>
          <w:tcPr>
            <w:tcW w:w="1474" w:type="dxa"/>
            <w:vAlign w:val="center"/>
          </w:tcPr>
          <w:p>
            <w:pPr>
              <w:pStyle w:val="20"/>
            </w:pPr>
            <w:r>
              <w:t>259.25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259.25</w:t>
            </w:r>
          </w:p>
        </w:tc>
        <w:tc>
          <w:tcPr>
            <w:tcW w:w="3402" w:type="dxa"/>
            <w:vAlign w:val="center"/>
          </w:tcPr>
          <w:p>
            <w:pPr>
              <w:pStyle w:val="19"/>
            </w:pPr>
            <w:r>
              <w:t>支出总计</w:t>
            </w:r>
          </w:p>
        </w:tc>
        <w:tc>
          <w:tcPr>
            <w:tcW w:w="1474" w:type="dxa"/>
            <w:vAlign w:val="center"/>
          </w:tcPr>
          <w:p>
            <w:pPr>
              <w:pStyle w:val="20"/>
            </w:pPr>
            <w:r>
              <w:t>259.25</w:t>
            </w:r>
          </w:p>
        </w:tc>
        <w:tc>
          <w:tcPr>
            <w:tcW w:w="1474" w:type="dxa"/>
            <w:vAlign w:val="center"/>
          </w:tcPr>
          <w:p>
            <w:pPr>
              <w:pStyle w:val="20"/>
            </w:pPr>
            <w:r>
              <w:t>259.25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259.25</w:t>
            </w:r>
          </w:p>
        </w:tc>
        <w:tc>
          <w:tcPr>
            <w:tcW w:w="2551" w:type="dxa"/>
            <w:vAlign w:val="center"/>
          </w:tcPr>
          <w:p>
            <w:pPr>
              <w:pStyle w:val="20"/>
            </w:pPr>
            <w:r>
              <w:t>183.25</w:t>
            </w:r>
          </w:p>
        </w:tc>
        <w:tc>
          <w:tcPr>
            <w:tcW w:w="2551" w:type="dxa"/>
            <w:vAlign w:val="center"/>
          </w:tcPr>
          <w:p>
            <w:pPr>
              <w:pStyle w:val="20"/>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225.36</w:t>
            </w:r>
          </w:p>
        </w:tc>
        <w:tc>
          <w:tcPr>
            <w:tcW w:w="2551" w:type="dxa"/>
            <w:vAlign w:val="center"/>
          </w:tcPr>
          <w:p>
            <w:pPr>
              <w:pStyle w:val="16"/>
            </w:pPr>
            <w:r>
              <w:t>149.36</w:t>
            </w:r>
          </w:p>
        </w:tc>
        <w:tc>
          <w:tcPr>
            <w:tcW w:w="2551"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20137</w:t>
            </w:r>
          </w:p>
        </w:tc>
        <w:tc>
          <w:tcPr>
            <w:tcW w:w="4535" w:type="dxa"/>
            <w:vAlign w:val="center"/>
          </w:tcPr>
          <w:p>
            <w:pPr>
              <w:pStyle w:val="17"/>
            </w:pPr>
            <w:r>
              <w:t>网信事务</w:t>
            </w:r>
          </w:p>
        </w:tc>
        <w:tc>
          <w:tcPr>
            <w:tcW w:w="2551" w:type="dxa"/>
            <w:vAlign w:val="center"/>
          </w:tcPr>
          <w:p>
            <w:pPr>
              <w:pStyle w:val="16"/>
            </w:pPr>
            <w:r>
              <w:t>225.36</w:t>
            </w:r>
          </w:p>
        </w:tc>
        <w:tc>
          <w:tcPr>
            <w:tcW w:w="2551" w:type="dxa"/>
            <w:vAlign w:val="center"/>
          </w:tcPr>
          <w:p>
            <w:pPr>
              <w:pStyle w:val="16"/>
            </w:pPr>
            <w:r>
              <w:t>149.36</w:t>
            </w:r>
          </w:p>
        </w:tc>
        <w:tc>
          <w:tcPr>
            <w:tcW w:w="2551"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2013701</w:t>
            </w:r>
          </w:p>
        </w:tc>
        <w:tc>
          <w:tcPr>
            <w:tcW w:w="4535" w:type="dxa"/>
            <w:vAlign w:val="center"/>
          </w:tcPr>
          <w:p>
            <w:pPr>
              <w:pStyle w:val="17"/>
            </w:pPr>
            <w:r>
              <w:t>行政运行</w:t>
            </w:r>
          </w:p>
        </w:tc>
        <w:tc>
          <w:tcPr>
            <w:tcW w:w="2551" w:type="dxa"/>
            <w:vAlign w:val="center"/>
          </w:tcPr>
          <w:p>
            <w:pPr>
              <w:pStyle w:val="16"/>
            </w:pPr>
            <w:r>
              <w:t>149.36</w:t>
            </w:r>
          </w:p>
        </w:tc>
        <w:tc>
          <w:tcPr>
            <w:tcW w:w="2551" w:type="dxa"/>
            <w:vAlign w:val="center"/>
          </w:tcPr>
          <w:p>
            <w:pPr>
              <w:pStyle w:val="16"/>
            </w:pPr>
            <w:r>
              <w:t>149.36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2013704</w:t>
            </w:r>
          </w:p>
        </w:tc>
        <w:tc>
          <w:tcPr>
            <w:tcW w:w="4535" w:type="dxa"/>
            <w:vAlign w:val="center"/>
          </w:tcPr>
          <w:p>
            <w:pPr>
              <w:pStyle w:val="17"/>
            </w:pPr>
            <w:r>
              <w:t>信息安全事务</w:t>
            </w:r>
          </w:p>
        </w:tc>
        <w:tc>
          <w:tcPr>
            <w:tcW w:w="2551" w:type="dxa"/>
            <w:vAlign w:val="center"/>
          </w:tcPr>
          <w:p>
            <w:pPr>
              <w:pStyle w:val="16"/>
            </w:pPr>
            <w:r>
              <w:t>76.00</w:t>
            </w:r>
          </w:p>
        </w:tc>
        <w:tc>
          <w:tcPr>
            <w:tcW w:w="2551" w:type="dxa"/>
            <w:vAlign w:val="center"/>
          </w:tcPr>
          <w:p>
            <w:pPr>
              <w:pStyle w:val="16"/>
            </w:pPr>
          </w:p>
        </w:tc>
        <w:tc>
          <w:tcPr>
            <w:tcW w:w="2551"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15.73</w:t>
            </w:r>
          </w:p>
        </w:tc>
        <w:tc>
          <w:tcPr>
            <w:tcW w:w="2551" w:type="dxa"/>
            <w:vAlign w:val="center"/>
          </w:tcPr>
          <w:p>
            <w:pPr>
              <w:pStyle w:val="16"/>
            </w:pPr>
            <w:r>
              <w:t>15.73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15.73</w:t>
            </w:r>
          </w:p>
        </w:tc>
        <w:tc>
          <w:tcPr>
            <w:tcW w:w="2551" w:type="dxa"/>
            <w:vAlign w:val="center"/>
          </w:tcPr>
          <w:p>
            <w:pPr>
              <w:pStyle w:val="16"/>
            </w:pPr>
            <w:r>
              <w:t>15.73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15.73</w:t>
            </w:r>
          </w:p>
        </w:tc>
        <w:tc>
          <w:tcPr>
            <w:tcW w:w="2551" w:type="dxa"/>
            <w:vAlign w:val="center"/>
          </w:tcPr>
          <w:p>
            <w:pPr>
              <w:pStyle w:val="16"/>
            </w:pPr>
            <w:r>
              <w:t>15.73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5.09</w:t>
            </w:r>
          </w:p>
        </w:tc>
        <w:tc>
          <w:tcPr>
            <w:tcW w:w="2551" w:type="dxa"/>
            <w:vAlign w:val="center"/>
          </w:tcPr>
          <w:p>
            <w:pPr>
              <w:pStyle w:val="16"/>
            </w:pPr>
            <w:r>
              <w:t>5.09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5.09</w:t>
            </w:r>
          </w:p>
        </w:tc>
        <w:tc>
          <w:tcPr>
            <w:tcW w:w="2551" w:type="dxa"/>
            <w:vAlign w:val="center"/>
          </w:tcPr>
          <w:p>
            <w:pPr>
              <w:pStyle w:val="16"/>
            </w:pPr>
            <w:r>
              <w:t>5.09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5.09</w:t>
            </w:r>
          </w:p>
        </w:tc>
        <w:tc>
          <w:tcPr>
            <w:tcW w:w="2551" w:type="dxa"/>
            <w:vAlign w:val="center"/>
          </w:tcPr>
          <w:p>
            <w:pPr>
              <w:pStyle w:val="16"/>
            </w:pPr>
            <w:r>
              <w:t>5.09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13.07</w:t>
            </w:r>
          </w:p>
        </w:tc>
        <w:tc>
          <w:tcPr>
            <w:tcW w:w="2551" w:type="dxa"/>
            <w:vAlign w:val="center"/>
          </w:tcPr>
          <w:p>
            <w:pPr>
              <w:pStyle w:val="16"/>
            </w:pPr>
            <w:r>
              <w:t>13.07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13.07</w:t>
            </w:r>
          </w:p>
        </w:tc>
        <w:tc>
          <w:tcPr>
            <w:tcW w:w="2551" w:type="dxa"/>
            <w:vAlign w:val="center"/>
          </w:tcPr>
          <w:p>
            <w:pPr>
              <w:pStyle w:val="16"/>
            </w:pPr>
            <w:r>
              <w:t>13.07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13.07</w:t>
            </w:r>
          </w:p>
        </w:tc>
        <w:tc>
          <w:tcPr>
            <w:tcW w:w="2551" w:type="dxa"/>
            <w:vAlign w:val="center"/>
          </w:tcPr>
          <w:p>
            <w:pPr>
              <w:pStyle w:val="16"/>
            </w:pPr>
            <w:r>
              <w:t>13.07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183.25</w:t>
            </w:r>
          </w:p>
        </w:tc>
        <w:tc>
          <w:tcPr>
            <w:tcW w:w="2551" w:type="dxa"/>
            <w:vAlign w:val="center"/>
          </w:tcPr>
          <w:p>
            <w:pPr>
              <w:pStyle w:val="20"/>
            </w:pPr>
            <w:r>
              <w:t>165.98</w:t>
            </w:r>
          </w:p>
        </w:tc>
        <w:tc>
          <w:tcPr>
            <w:tcW w:w="2551" w:type="dxa"/>
            <w:vAlign w:val="center"/>
          </w:tcPr>
          <w:p>
            <w:pPr>
              <w:pStyle w:val="20"/>
            </w:pPr>
            <w:r>
              <w:t>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165.97</w:t>
            </w:r>
          </w:p>
        </w:tc>
        <w:tc>
          <w:tcPr>
            <w:tcW w:w="2551" w:type="dxa"/>
            <w:vAlign w:val="center"/>
          </w:tcPr>
          <w:p>
            <w:pPr>
              <w:pStyle w:val="16"/>
            </w:pPr>
            <w:r>
              <w:t>165.97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43.95</w:t>
            </w:r>
          </w:p>
        </w:tc>
        <w:tc>
          <w:tcPr>
            <w:tcW w:w="2551" w:type="dxa"/>
            <w:vAlign w:val="center"/>
          </w:tcPr>
          <w:p>
            <w:pPr>
              <w:pStyle w:val="16"/>
            </w:pPr>
            <w:r>
              <w:t>43.95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45.12</w:t>
            </w:r>
          </w:p>
        </w:tc>
        <w:tc>
          <w:tcPr>
            <w:tcW w:w="2551" w:type="dxa"/>
            <w:vAlign w:val="center"/>
          </w:tcPr>
          <w:p>
            <w:pPr>
              <w:pStyle w:val="16"/>
            </w:pPr>
            <w:r>
              <w:t>45.12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32.65</w:t>
            </w:r>
          </w:p>
        </w:tc>
        <w:tc>
          <w:tcPr>
            <w:tcW w:w="2551" w:type="dxa"/>
            <w:vAlign w:val="center"/>
          </w:tcPr>
          <w:p>
            <w:pPr>
              <w:pStyle w:val="16"/>
            </w:pPr>
            <w:r>
              <w:t>32.65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9.72</w:t>
            </w:r>
          </w:p>
        </w:tc>
        <w:tc>
          <w:tcPr>
            <w:tcW w:w="2551" w:type="dxa"/>
            <w:vAlign w:val="center"/>
          </w:tcPr>
          <w:p>
            <w:pPr>
              <w:pStyle w:val="16"/>
            </w:pPr>
            <w:r>
              <w:t>9.72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15.73</w:t>
            </w:r>
          </w:p>
        </w:tc>
        <w:tc>
          <w:tcPr>
            <w:tcW w:w="2551" w:type="dxa"/>
            <w:vAlign w:val="center"/>
          </w:tcPr>
          <w:p>
            <w:pPr>
              <w:pStyle w:val="16"/>
            </w:pPr>
            <w:r>
              <w:t>15.73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5.03</w:t>
            </w:r>
          </w:p>
        </w:tc>
        <w:tc>
          <w:tcPr>
            <w:tcW w:w="2551" w:type="dxa"/>
            <w:vAlign w:val="center"/>
          </w:tcPr>
          <w:p>
            <w:pPr>
              <w:pStyle w:val="16"/>
            </w:pPr>
            <w:r>
              <w:t>5.03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0.46</w:t>
            </w:r>
          </w:p>
        </w:tc>
        <w:tc>
          <w:tcPr>
            <w:tcW w:w="2551" w:type="dxa"/>
            <w:vAlign w:val="center"/>
          </w:tcPr>
          <w:p>
            <w:pPr>
              <w:pStyle w:val="16"/>
            </w:pPr>
            <w:r>
              <w:t>0.46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13.07</w:t>
            </w:r>
          </w:p>
        </w:tc>
        <w:tc>
          <w:tcPr>
            <w:tcW w:w="2551" w:type="dxa"/>
            <w:vAlign w:val="center"/>
          </w:tcPr>
          <w:p>
            <w:pPr>
              <w:pStyle w:val="16"/>
            </w:pPr>
            <w:r>
              <w:t>13.07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0.25</w:t>
            </w:r>
          </w:p>
        </w:tc>
        <w:tc>
          <w:tcPr>
            <w:tcW w:w="2551" w:type="dxa"/>
            <w:vAlign w:val="center"/>
          </w:tcPr>
          <w:p>
            <w:pPr>
              <w:pStyle w:val="16"/>
            </w:pPr>
            <w:r>
              <w:t>0.25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17.27</w:t>
            </w:r>
          </w:p>
        </w:tc>
        <w:tc>
          <w:tcPr>
            <w:tcW w:w="2551" w:type="dxa"/>
            <w:vAlign w:val="center"/>
          </w:tcPr>
          <w:p>
            <w:pPr>
              <w:pStyle w:val="16"/>
            </w:pPr>
          </w:p>
        </w:tc>
        <w:tc>
          <w:tcPr>
            <w:tcW w:w="2551" w:type="dxa"/>
            <w:vAlign w:val="center"/>
          </w:tcPr>
          <w:p>
            <w:pPr>
              <w:pStyle w:val="16"/>
            </w:pPr>
            <w:r>
              <w:t>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1.76</w:t>
            </w:r>
          </w:p>
        </w:tc>
        <w:tc>
          <w:tcPr>
            <w:tcW w:w="2551" w:type="dxa"/>
            <w:vAlign w:val="center"/>
          </w:tcPr>
          <w:p>
            <w:pPr>
              <w:pStyle w:val="16"/>
            </w:pPr>
          </w:p>
        </w:tc>
        <w:tc>
          <w:tcPr>
            <w:tcW w:w="2551" w:type="dxa"/>
            <w:vAlign w:val="center"/>
          </w:tcPr>
          <w:p>
            <w:pPr>
              <w:pStyle w:val="16"/>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0.13</w:t>
            </w:r>
          </w:p>
        </w:tc>
        <w:tc>
          <w:tcPr>
            <w:tcW w:w="2551" w:type="dxa"/>
            <w:vAlign w:val="center"/>
          </w:tcPr>
          <w:p>
            <w:pPr>
              <w:pStyle w:val="16"/>
            </w:pPr>
          </w:p>
        </w:tc>
        <w:tc>
          <w:tcPr>
            <w:tcW w:w="2551" w:type="dxa"/>
            <w:vAlign w:val="center"/>
          </w:tcPr>
          <w:p>
            <w:pPr>
              <w:pStyle w:val="16"/>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0.35</w:t>
            </w:r>
          </w:p>
        </w:tc>
        <w:tc>
          <w:tcPr>
            <w:tcW w:w="2551" w:type="dxa"/>
            <w:vAlign w:val="center"/>
          </w:tcPr>
          <w:p>
            <w:pPr>
              <w:pStyle w:val="16"/>
            </w:pPr>
          </w:p>
        </w:tc>
        <w:tc>
          <w:tcPr>
            <w:tcW w:w="2551" w:type="dxa"/>
            <w:vAlign w:val="center"/>
          </w:tcPr>
          <w:p>
            <w:pPr>
              <w:pStyle w:val="16"/>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0.99</w:t>
            </w:r>
          </w:p>
        </w:tc>
        <w:tc>
          <w:tcPr>
            <w:tcW w:w="2551" w:type="dxa"/>
            <w:vAlign w:val="center"/>
          </w:tcPr>
          <w:p>
            <w:pPr>
              <w:pStyle w:val="16"/>
            </w:pPr>
          </w:p>
        </w:tc>
        <w:tc>
          <w:tcPr>
            <w:tcW w:w="2551" w:type="dxa"/>
            <w:vAlign w:val="center"/>
          </w:tcPr>
          <w:p>
            <w:pPr>
              <w:pStyle w:val="16"/>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5.13</w:t>
            </w:r>
          </w:p>
        </w:tc>
        <w:tc>
          <w:tcPr>
            <w:tcW w:w="2551" w:type="dxa"/>
            <w:vAlign w:val="center"/>
          </w:tcPr>
          <w:p>
            <w:pPr>
              <w:pStyle w:val="16"/>
            </w:pPr>
          </w:p>
        </w:tc>
        <w:tc>
          <w:tcPr>
            <w:tcW w:w="2551" w:type="dxa"/>
            <w:vAlign w:val="center"/>
          </w:tcPr>
          <w:p>
            <w:pPr>
              <w:pStyle w:val="16"/>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0.64</w:t>
            </w:r>
          </w:p>
        </w:tc>
        <w:tc>
          <w:tcPr>
            <w:tcW w:w="2551" w:type="dxa"/>
            <w:vAlign w:val="center"/>
          </w:tcPr>
          <w:p>
            <w:pPr>
              <w:pStyle w:val="16"/>
            </w:pPr>
          </w:p>
        </w:tc>
        <w:tc>
          <w:tcPr>
            <w:tcW w:w="2551" w:type="dxa"/>
            <w:vAlign w:val="center"/>
          </w:tcPr>
          <w:p>
            <w:pPr>
              <w:pStyle w:val="16"/>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1.76</w:t>
            </w:r>
          </w:p>
        </w:tc>
        <w:tc>
          <w:tcPr>
            <w:tcW w:w="2551" w:type="dxa"/>
            <w:vAlign w:val="center"/>
          </w:tcPr>
          <w:p>
            <w:pPr>
              <w:pStyle w:val="16"/>
            </w:pPr>
          </w:p>
        </w:tc>
        <w:tc>
          <w:tcPr>
            <w:tcW w:w="2551" w:type="dxa"/>
            <w:vAlign w:val="center"/>
          </w:tcPr>
          <w:p>
            <w:pPr>
              <w:pStyle w:val="16"/>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0.11</w:t>
            </w:r>
          </w:p>
        </w:tc>
        <w:tc>
          <w:tcPr>
            <w:tcW w:w="2551" w:type="dxa"/>
            <w:vAlign w:val="center"/>
          </w:tcPr>
          <w:p>
            <w:pPr>
              <w:pStyle w:val="16"/>
            </w:pPr>
          </w:p>
        </w:tc>
        <w:tc>
          <w:tcPr>
            <w:tcW w:w="2551" w:type="dxa"/>
            <w:vAlign w:val="center"/>
          </w:tcPr>
          <w:p>
            <w:pPr>
              <w:pStyle w:val="16"/>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0.92</w:t>
            </w:r>
          </w:p>
        </w:tc>
        <w:tc>
          <w:tcPr>
            <w:tcW w:w="2551" w:type="dxa"/>
            <w:vAlign w:val="center"/>
          </w:tcPr>
          <w:p>
            <w:pPr>
              <w:pStyle w:val="16"/>
            </w:pPr>
          </w:p>
        </w:tc>
        <w:tc>
          <w:tcPr>
            <w:tcW w:w="2551" w:type="dxa"/>
            <w:vAlign w:val="center"/>
          </w:tcPr>
          <w:p>
            <w:pPr>
              <w:pStyle w:val="16"/>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0.80</w:t>
            </w:r>
          </w:p>
        </w:tc>
        <w:tc>
          <w:tcPr>
            <w:tcW w:w="2551" w:type="dxa"/>
            <w:vAlign w:val="center"/>
          </w:tcPr>
          <w:p>
            <w:pPr>
              <w:pStyle w:val="16"/>
            </w:pPr>
          </w:p>
        </w:tc>
        <w:tc>
          <w:tcPr>
            <w:tcW w:w="2551"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4.68</w:t>
            </w:r>
          </w:p>
        </w:tc>
        <w:tc>
          <w:tcPr>
            <w:tcW w:w="2551" w:type="dxa"/>
            <w:vAlign w:val="center"/>
          </w:tcPr>
          <w:p>
            <w:pPr>
              <w:pStyle w:val="16"/>
            </w:pPr>
          </w:p>
        </w:tc>
        <w:tc>
          <w:tcPr>
            <w:tcW w:w="2551" w:type="dxa"/>
            <w:vAlign w:val="center"/>
          </w:tcPr>
          <w:p>
            <w:pPr>
              <w:pStyle w:val="16"/>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中共廊坊市广阳区委网络安全和信息化委员会办公室2023年部门预算信息公开情况说明</w:t>
      </w:r>
    </w:p>
    <w:p>
      <w:pPr>
        <w:jc w:val="center"/>
      </w:pPr>
      <w:r>
        <w:rPr>
          <w:rFonts w:ascii="方正小标宋_GBK" w:hAnsi="方正小标宋_GBK" w:eastAsia="方正小标宋_GBK" w:cs="方正小标宋_GBK"/>
          <w:color w:val="000000"/>
          <w:sz w:val="44"/>
        </w:rPr>
        <w:t>中共廊坊市广阳区委网络安全和信息化委员会办公室2023年部门预算信息公开情况说明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预算法》、《地方预决算公开操作规程》和《关于进一步推进预算公开工作的实施意见》规定，现将中共廊坊市广阳区委网络安全和信息化委员会办公室2023年部门预算公开如下：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负责处理区委网络安全和信息化委员会日常事务工作。协调督促有关方面落实委员会的决定事项、工作部署和要求，组织开展对涉及我区政治、经济、文化、社会、生态及军事等各个领域的网络安全和信息化重大问题研究，向委员会提出工作建议。</w:t>
      </w:r>
    </w:p>
    <w:p>
      <w:pPr>
        <w:pStyle w:val="22"/>
      </w:pPr>
      <w:r>
        <w:t>(二)组织研究起草我区网络安全和信息化发展战略、宏观规划和重大政策。统筹推进我区网络安全和信息化法治、标准建设，按照规定负责相关法规、规章等的实施和监督检查，按照规定推动落实网络安全和信息化领域标准并监督实施；依法完善与信息化相关的统计调查制度。</w:t>
      </w:r>
    </w:p>
    <w:p>
      <w:pPr>
        <w:pStyle w:val="22"/>
      </w:pPr>
      <w:r>
        <w:t>(三)统筹协调全区网络安全保障体系和可信体系建设。牵头协调有关部门制定相关行业网络安全规划及保障评价指标体系,协调信息安全保护工作;指导推进全区党政军部门、重点行业网络安全保障和信息化工作;协调推动网络安全和信息化核心技术、关键设备等重大科技攻关,统筹推进网络安全和信息化军民融合深度发展;推进网络强区建设,协调推动全区公共服务和社会治理信息化;指导全区网络安全信息共享和通报。</w:t>
      </w:r>
    </w:p>
    <w:p>
      <w:pPr>
        <w:pStyle w:val="22"/>
      </w:pPr>
      <w:r>
        <w:t>(四)督促落实我区涉及政治、经济、文化、社会、生态及军事等各个领域网络安全和信息化重大事项;负责协调处理网络安全和信息化重大突发事件与有关应急工作。</w:t>
      </w:r>
    </w:p>
    <w:p>
      <w:pPr>
        <w:pStyle w:val="22"/>
      </w:pPr>
      <w:r>
        <w:t>(五)负责全区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区落地网站及区内新媒体新应用,会同有关部门处置和封堵网上有害信息,依照相关法律和规定查处违法违规行为和网站。</w:t>
      </w:r>
    </w:p>
    <w:p>
      <w:pPr>
        <w:pStyle w:val="22"/>
      </w:pPr>
      <w:r>
        <w:t>(六)负责指导协调全区网络舆情工作。收集、分析、研判、报送和处置网络舆情信息,依法规范舆情服务市场。</w:t>
      </w:r>
    </w:p>
    <w:p>
      <w:pPr>
        <w:pStyle w:val="22"/>
      </w:pPr>
      <w:r>
        <w:t>(七)推动全区网络阵地建设和重点新闻网站规划建设。指导协调网络游戏、网络视听、网络出版等相关业务,推动移动互联网发展,会同有关部门推动传统媒体与新兴媒体融合发展;负责全区网站转载新闻稿源的管理。</w:t>
      </w:r>
    </w:p>
    <w:p>
      <w:pPr>
        <w:pStyle w:val="22"/>
      </w:pPr>
      <w:r>
        <w:t>(八)推动全区网络社会工作和网络文化、网络文明建设;发展、联系、服务网络社会组织,指导互联网行业自律,推进网站党建工作。</w:t>
      </w:r>
    </w:p>
    <w:p>
      <w:pPr>
        <w:pStyle w:val="22"/>
      </w:pPr>
      <w:r>
        <w:t>(九)落实互联网信息服务资本准入和信息网络行业安全审查的有关政策。依法按程序办理全区网络新闻业务和论坛、博客、搜索引擎等具有新闻舆论及社会动员功能业务及日常监管;指导全区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区移动互联网管理。</w:t>
      </w:r>
    </w:p>
    <w:p>
      <w:pPr>
        <w:pStyle w:val="22"/>
      </w:pPr>
      <w:r>
        <w:t>(十)协调推进全区信息网络行业自主创新和发展。协调开展全区互联网经济和发展态势研究,推动建立健全我区信息网络行业投融资支持服务体系、技术创新服务体系,统筹协调全区重要信息资源的开发利用与共享。</w:t>
      </w:r>
    </w:p>
    <w:p>
      <w:pPr>
        <w:pStyle w:val="22"/>
      </w:pPr>
      <w:r>
        <w:t>(十一)规划指导区内机构开展金融信息服务业务。组织开展全区金融信息服务市场监管;协调金融监管部门建立全区网络金融信息发布、传播监管制度及工作机制。</w:t>
      </w:r>
    </w:p>
    <w:p>
      <w:pPr>
        <w:pStyle w:val="22"/>
      </w:pPr>
      <w:r>
        <w:t>(十二)组织拟订网络安全和信息化干部人才队伍发展规划,组织开展网信系统干部教育培训和人才队伍建设,规划指导全区互联网新闻信息服务从业人员教育培训和考评工作,组织开展网络媒介素养教育。</w:t>
      </w:r>
    </w:p>
    <w:p>
      <w:pPr>
        <w:pStyle w:val="22"/>
      </w:pPr>
      <w:r>
        <w:t>(十三)组织开展相关领域国内国际交流与合作。</w:t>
      </w:r>
    </w:p>
    <w:p>
      <w:pPr>
        <w:pStyle w:val="22"/>
      </w:pPr>
      <w:r>
        <w:t>(十四)指导、检查、推动各级各部门网络安全和信息化工作。</w:t>
      </w:r>
    </w:p>
    <w:p>
      <w:pPr>
        <w:pStyle w:val="22"/>
      </w:pPr>
      <w:r>
        <w:t>(十五)完成省委、市委网络安全和信息化委员会办公室(省、市互联网信息办公室)和区委、区政府及区委网络安全和信息化委员会、区委宣传部交办的其他任务。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中共廊坊市广阳区委网络安全和信息化委员会办公室本级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按照预算管理有关规定，目前我区部门预算的编制实行综合预算管理，即全部收入和支出都反映在预算中。中共廊坊市广阳区委网络安全和信息化委员会办公室机关及所属事业单位的收支包含在部门预算中。</w:t>
      </w:r>
    </w:p>
    <w:p>
      <w:pPr>
        <w:pStyle w:val="23"/>
      </w:pPr>
      <w:r>
        <w:t>1、收入说明</w:t>
      </w:r>
    </w:p>
    <w:p>
      <w:pPr>
        <w:pStyle w:val="23"/>
      </w:pPr>
      <w:r>
        <w:t>反映本部门当年全部收入。2023年预算收入259.25万元，其中：一般公共预算收入259.25万元，基金预算收入0万元，财政专户核拨收入0万元，其他来源收入0万元，上年结转0万元。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中国共产党廊坊市广阳区委网络安全和信息化委员会办公室2023年度部门预算中支出预算的总体情况。2023年支出预算259.25万元，其中基本支出183.25万元，包括人员类项目经费165.98万元和日常公用经费17.27万元；项目支出76万元，主要为信息安全事务支出。</w:t>
      </w:r>
    </w:p>
    <w:p>
      <w:pPr>
        <w:pStyle w:val="23"/>
      </w:pPr>
      <w:r>
        <w:t>3、比上年增减情况</w:t>
      </w:r>
    </w:p>
    <w:p>
      <w:pPr>
        <w:pStyle w:val="23"/>
      </w:pPr>
      <w:r>
        <w:t>2023年预算收支安排259.25万元，较2022年预算增加77.42万元，其中：基本支出增加77.42万元，主要为人员经费和公用经费支出；项目支出无增减变化。</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2023年，我部门机关运行经费共计安排17.27万元，主要用于广阳区康宁街2号办公区的日常维修、办公用房水电费取暖费、物业管理费等日常运行，以及公务人员交通、通讯、差旅费等支出。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完善网络舆情监测研判，确保全区网络舆论安全，加强网络宣传，营造良好网络环境，开展网络生态治理，保障网络安全和关键信息基础设施可靠稳定，全面提升信息化建设水平。建设、管理和维护政务数据中心、网络维护中心和安全管理中心，确保各项工作顺利开展。</w:t>
      </w:r>
    </w:p>
    <w:p>
      <w:pPr>
        <w:pStyle w:val="26"/>
      </w:pPr>
    </w:p>
    <w:p>
      <w:pPr>
        <w:pStyle w:val="26"/>
      </w:pPr>
    </w:p>
    <w:p>
      <w:pPr>
        <w:spacing w:line="500" w:lineRule="exact"/>
        <w:ind w:firstLine="560"/>
      </w:pPr>
      <w:r>
        <w:rPr>
          <w:rFonts w:eastAsia="方正仿宋_GBK"/>
          <w:color w:val="000000"/>
          <w:sz w:val="28"/>
        </w:rPr>
        <w:t>（二）分项绩效目标</w:t>
      </w:r>
    </w:p>
    <w:p>
      <w:pPr>
        <w:pStyle w:val="27"/>
      </w:pPr>
    </w:p>
    <w:p>
      <w:pPr>
        <w:pStyle w:val="27"/>
      </w:pPr>
      <w:r>
        <w:t>1、互联网宣传和信息内容管理</w:t>
      </w:r>
    </w:p>
    <w:p>
      <w:pPr>
        <w:pStyle w:val="27"/>
      </w:pPr>
      <w:r>
        <w:t>绩效目标：加强网络安全工作，加强互联网宣传和信息内容管理，加强网络文化建设。</w:t>
      </w:r>
    </w:p>
    <w:p>
      <w:pPr>
        <w:pStyle w:val="27"/>
      </w:pPr>
      <w:r>
        <w:t xml:space="preserve">绩效指标：重大网上宣传活动发稿量大于或等于100篇。       </w:t>
      </w:r>
    </w:p>
    <w:p>
      <w:pPr>
        <w:pStyle w:val="27"/>
      </w:pPr>
      <w:r>
        <w:t>2、全区互联网舆情监测运维</w:t>
      </w:r>
    </w:p>
    <w:p>
      <w:pPr>
        <w:pStyle w:val="27"/>
      </w:pPr>
      <w:r>
        <w:t>绩效目标：利用舆情监控系统对互联网上涉及广阳区各种信息进行分类梳理，筛选出热点话题和敏感的话题趋势数据，确定舆情在网络中的变化情况，及时处理解决，并为领导提供决策依据。</w:t>
      </w:r>
    </w:p>
    <w:p>
      <w:pPr>
        <w:pStyle w:val="27"/>
      </w:pPr>
      <w:r>
        <w:t>绩效指标：全年监测到涉及我区的舆情信息的数量大于等于20000条；重大舆情监测覆盖率大于等于95%全天进行舆情监测时长等于24小时。</w:t>
      </w:r>
    </w:p>
    <w:p>
      <w:pPr>
        <w:pStyle w:val="27"/>
      </w:pPr>
      <w:r>
        <w:t>3、广阳区政务网络建设情况</w:t>
      </w:r>
    </w:p>
    <w:p>
      <w:pPr>
        <w:pStyle w:val="27"/>
      </w:pPr>
      <w:r>
        <w:t>绩效目标：有效增进政务政务互联互通和政务资本共享，组成广阳区电子政务收集和资本共享平台，为我区各项业务办理提供便利。</w:t>
      </w:r>
    </w:p>
    <w:p>
      <w:pPr>
        <w:pStyle w:val="27"/>
      </w:pPr>
      <w:r>
        <w:t>绩效指标：全年维护政务网络节点数量大于等于90个；全区政务网网速达标率大于等于95%；发生故障后维护方响应时间小于等于30分钟。</w:t>
      </w:r>
    </w:p>
    <w:p>
      <w:pPr>
        <w:spacing w:line="500" w:lineRule="exact"/>
        <w:ind w:firstLine="560"/>
      </w:pPr>
      <w:r>
        <w:rPr>
          <w:rFonts w:eastAsia="方正仿宋_GBK"/>
          <w:color w:val="000000"/>
          <w:sz w:val="28"/>
        </w:rPr>
        <w:t>（三）工作保障措施</w:t>
      </w:r>
    </w:p>
    <w:p>
      <w:pPr>
        <w:pStyle w:val="28"/>
      </w:pPr>
      <w:r>
        <w:t>1、完善制度建设。为了加强我单位财务管理，我单位成立了以主要负责同志为组长的绩效工作领导小组，按照《财务管理制度》管好、用好财政经费，努力提高资金使用效果。</w:t>
      </w:r>
    </w:p>
    <w:p>
      <w:pPr>
        <w:pStyle w:val="28"/>
      </w:pPr>
      <w:r>
        <w:t>2、加强绩效运行监控。根据市、区财政局关于绩效的工作部署，我单位积极开展绩效监控工作。组织单位各业务科室开展绩效监控工作，由综合股牵头，各业务股室开展预算绩效日常监控，对绩效监控信息进行收集、审核、分析、汇总，分析偏离绩效目标的原因，并及时采取纠偏措施，促进预算项目绩效目标的实现，提高财政资金使用效益。</w:t>
      </w:r>
    </w:p>
    <w:p>
      <w:pPr>
        <w:pStyle w:val="28"/>
      </w:pPr>
      <w:r>
        <w:t>3、强化绩效监督。通过单位汇报工作和座谈会等形式，通报项目情况，使工作对象及时了解我单位工作，欢迎各界监督，虚心听取意见。</w:t>
      </w:r>
    </w:p>
    <w:p>
      <w:pPr>
        <w:pStyle w:val="28"/>
      </w:pPr>
      <w:r>
        <w:t>4、加大宣传力度。利用干部理论学习等方式、渠道，加大宣传力度，使每名干部职工都能及时了解绩效管理的工作动态。</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66"/>
        <w:gridCol w:w="992"/>
        <w:gridCol w:w="1701"/>
        <w:gridCol w:w="3544"/>
        <w:gridCol w:w="3969"/>
        <w:gridCol w:w="992"/>
        <w:gridCol w:w="851"/>
        <w:gridCol w:w="850"/>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5" w:hRule="atLeast"/>
          <w:jc w:val="center"/>
        </w:trPr>
        <w:tc>
          <w:tcPr>
            <w:tcW w:w="86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9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54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96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693"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4" w:hRule="atLeast"/>
          <w:jc w:val="center"/>
        </w:trPr>
        <w:tc>
          <w:tcPr>
            <w:tcW w:w="866" w:type="dxa"/>
            <w:vMerge w:val="continue"/>
            <w:shd w:val="clear" w:color="auto" w:fill="auto"/>
            <w:vAlign w:val="center"/>
          </w:tcPr>
          <w:p>
            <w:pPr>
              <w:rPr>
                <w:rFonts w:ascii="方正书宋_GBK" w:hAnsi="宋体" w:eastAsia="方正书宋_GBK" w:cs="宋体"/>
                <w:b/>
                <w:bCs/>
                <w:color w:val="000000"/>
              </w:rPr>
            </w:pPr>
          </w:p>
        </w:tc>
        <w:tc>
          <w:tcPr>
            <w:tcW w:w="99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701" w:type="dxa"/>
            <w:vMerge w:val="continue"/>
            <w:shd w:val="clear" w:color="auto" w:fill="auto"/>
            <w:vAlign w:val="center"/>
          </w:tcPr>
          <w:p>
            <w:pPr>
              <w:rPr>
                <w:rFonts w:ascii="方正书宋_GBK" w:hAnsi="宋体" w:eastAsia="方正书宋_GBK" w:cs="宋体"/>
                <w:b/>
                <w:bCs/>
                <w:color w:val="000000"/>
              </w:rPr>
            </w:pPr>
          </w:p>
        </w:tc>
        <w:tc>
          <w:tcPr>
            <w:tcW w:w="3544" w:type="dxa"/>
            <w:vMerge w:val="continue"/>
            <w:shd w:val="clear" w:color="auto" w:fill="auto"/>
            <w:vAlign w:val="center"/>
          </w:tcPr>
          <w:p>
            <w:pPr>
              <w:rPr>
                <w:rFonts w:ascii="方正书宋_GBK" w:hAnsi="宋体" w:eastAsia="方正书宋_GBK" w:cs="宋体"/>
                <w:b/>
                <w:bCs/>
                <w:color w:val="000000"/>
              </w:rPr>
            </w:pPr>
          </w:p>
        </w:tc>
        <w:tc>
          <w:tcPr>
            <w:tcW w:w="3969" w:type="dxa"/>
            <w:vMerge w:val="continue"/>
            <w:shd w:val="clear" w:color="auto" w:fill="auto"/>
            <w:vAlign w:val="center"/>
          </w:tcPr>
          <w:p>
            <w:pPr>
              <w:rPr>
                <w:rFonts w:ascii="方正书宋_GBK" w:hAnsi="宋体" w:eastAsia="方正书宋_GBK" w:cs="宋体"/>
                <w:b/>
                <w:bCs/>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70" w:hRule="atLeast"/>
          <w:jc w:val="center"/>
        </w:trPr>
        <w:tc>
          <w:tcPr>
            <w:tcW w:w="86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全年监测舆情信息数量</w:t>
            </w:r>
          </w:p>
        </w:tc>
        <w:tc>
          <w:tcPr>
            <w:tcW w:w="3544" w:type="dxa"/>
            <w:shd w:val="clear" w:color="auto" w:fill="auto"/>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每减少</w:t>
            </w:r>
            <w:r>
              <w:rPr>
                <w:rStyle w:val="34"/>
              </w:rPr>
              <w:t>10</w:t>
            </w:r>
            <w:r>
              <w:rPr>
                <w:rStyle w:val="35"/>
                <w:rFonts w:hint="default"/>
              </w:rPr>
              <w:t>条</w:t>
            </w:r>
            <w:r>
              <w:rPr>
                <w:rStyle w:val="34"/>
                <w:rFonts w:hint="eastAsia" w:ascii="宋体" w:hAnsi="宋体" w:eastAsia="宋体" w:cs="宋体"/>
              </w:rPr>
              <w:t>，</w:t>
            </w:r>
            <w:r>
              <w:rPr>
                <w:rStyle w:val="35"/>
                <w:rFonts w:hint="default"/>
              </w:rPr>
              <w:t>扣</w:t>
            </w:r>
            <w:r>
              <w:rPr>
                <w:rStyle w:val="34"/>
                <w:rFonts w:hint="eastAsia" w:ascii="宋体" w:hAnsi="宋体" w:eastAsia="宋体" w:cs="宋体"/>
              </w:rPr>
              <w:t>减数量分值的</w:t>
            </w:r>
            <w:r>
              <w:rPr>
                <w:rStyle w:val="34"/>
              </w:rPr>
              <w:t>1%</w:t>
            </w:r>
          </w:p>
        </w:tc>
        <w:tc>
          <w:tcPr>
            <w:tcW w:w="3969" w:type="dxa"/>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全年监测到涉及我区的舆情信息数量</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Style w:val="36"/>
                <w:rFonts w:hint="default"/>
              </w:rPr>
              <w:t>2</w:t>
            </w:r>
            <w:r>
              <w:rPr>
                <w:rStyle w:val="37"/>
                <w:rFonts w:hint="default"/>
              </w:rPr>
              <w:t>万</w:t>
            </w:r>
          </w:p>
        </w:tc>
        <w:tc>
          <w:tcPr>
            <w:tcW w:w="850" w:type="dxa"/>
            <w:shd w:val="clear" w:color="auto" w:fill="auto"/>
            <w:tcMar>
              <w:top w:w="15" w:type="dxa"/>
              <w:left w:w="15" w:type="dxa"/>
              <w:bottom w:w="0" w:type="dxa"/>
              <w:right w:w="15" w:type="dxa"/>
            </w:tcMar>
            <w:vAlign w:val="center"/>
          </w:tcPr>
          <w:p>
            <w:pPr>
              <w:jc w:val="center"/>
              <w:rPr>
                <w:rFonts w:ascii="宋体" w:eastAsia="宋体"/>
                <w:color w:val="000000"/>
              </w:rPr>
            </w:pPr>
            <w:r>
              <w:rPr>
                <w:rFonts w:hint="eastAsia" w:ascii="宋体" w:hAnsi="宋体" w:eastAsia="宋体" w:cs="宋体"/>
                <w:color w:val="000000"/>
              </w:rPr>
              <w:t>条</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维护数量</w:t>
            </w:r>
          </w:p>
        </w:tc>
        <w:tc>
          <w:tcPr>
            <w:tcW w:w="3544" w:type="dxa"/>
            <w:shd w:val="clear" w:color="auto" w:fill="auto"/>
            <w:tcMar>
              <w:top w:w="15" w:type="dxa"/>
              <w:left w:w="15" w:type="dxa"/>
              <w:bottom w:w="0" w:type="dxa"/>
              <w:right w:w="15" w:type="dxa"/>
            </w:tcMar>
          </w:tcPr>
          <w:p>
            <w:pPr>
              <w:rPr>
                <w:color w:val="000000"/>
                <w:sz w:val="22"/>
                <w:szCs w:val="22"/>
              </w:rPr>
            </w:pPr>
            <w:r>
              <w:rPr>
                <w:rStyle w:val="34"/>
                <w:rFonts w:hint="eastAsia" w:ascii="宋体" w:hAnsi="宋体" w:eastAsia="宋体" w:cs="宋体"/>
              </w:rPr>
              <w:t>每减少</w:t>
            </w:r>
            <w:r>
              <w:rPr>
                <w:rStyle w:val="34"/>
              </w:rPr>
              <w:t>1</w:t>
            </w:r>
            <w:r>
              <w:rPr>
                <w:rStyle w:val="35"/>
                <w:rFonts w:hint="default"/>
              </w:rPr>
              <w:t>个</w:t>
            </w:r>
            <w:r>
              <w:rPr>
                <w:rStyle w:val="34"/>
                <w:rFonts w:hint="eastAsia" w:ascii="宋体" w:hAnsi="宋体" w:eastAsia="宋体" w:cs="宋体"/>
              </w:rPr>
              <w:t>，减数量分值的</w:t>
            </w:r>
            <w:r>
              <w:rPr>
                <w:rStyle w:val="34"/>
              </w:rPr>
              <w:t>10%</w:t>
            </w:r>
          </w:p>
        </w:tc>
        <w:tc>
          <w:tcPr>
            <w:tcW w:w="3969" w:type="dxa"/>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全年维护节点数量</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850"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个</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重大舆情监控覆盖率</w:t>
            </w:r>
          </w:p>
        </w:tc>
        <w:tc>
          <w:tcPr>
            <w:tcW w:w="3544" w:type="dxa"/>
            <w:shd w:val="clear" w:color="auto" w:fill="auto"/>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每减少</w:t>
            </w:r>
            <w:r>
              <w:rPr>
                <w:rStyle w:val="34"/>
              </w:rPr>
              <w:t>1%</w:t>
            </w:r>
            <w:r>
              <w:rPr>
                <w:rStyle w:val="34"/>
                <w:rFonts w:hint="eastAsia" w:ascii="宋体" w:hAnsi="宋体" w:eastAsia="宋体" w:cs="宋体"/>
              </w:rPr>
              <w:t>，减数量分值的</w:t>
            </w:r>
            <w:r>
              <w:rPr>
                <w:rStyle w:val="34"/>
              </w:rPr>
              <w:t>10%</w:t>
            </w:r>
          </w:p>
        </w:tc>
        <w:tc>
          <w:tcPr>
            <w:tcW w:w="3969" w:type="dxa"/>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重大舆情监控覆盖率</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850"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网速达标率</w:t>
            </w:r>
          </w:p>
        </w:tc>
        <w:tc>
          <w:tcPr>
            <w:tcW w:w="3544" w:type="dxa"/>
            <w:shd w:val="clear" w:color="auto" w:fill="auto"/>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每减少</w:t>
            </w:r>
            <w:r>
              <w:rPr>
                <w:rStyle w:val="34"/>
              </w:rPr>
              <w:t>1%</w:t>
            </w:r>
            <w:r>
              <w:rPr>
                <w:rStyle w:val="34"/>
                <w:rFonts w:hint="eastAsia" w:ascii="宋体" w:hAnsi="宋体" w:eastAsia="宋体" w:cs="宋体"/>
              </w:rPr>
              <w:t>，减数量分值的</w:t>
            </w:r>
            <w:r>
              <w:rPr>
                <w:rStyle w:val="34"/>
              </w:rPr>
              <w:t>10%</w:t>
            </w:r>
          </w:p>
        </w:tc>
        <w:tc>
          <w:tcPr>
            <w:tcW w:w="3969" w:type="dxa"/>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网速达标率</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850"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舆情信息监测时长</w:t>
            </w:r>
          </w:p>
        </w:tc>
        <w:tc>
          <w:tcPr>
            <w:tcW w:w="3544" w:type="dxa"/>
            <w:shd w:val="clear" w:color="auto" w:fill="auto"/>
            <w:tcMar>
              <w:top w:w="15" w:type="dxa"/>
              <w:left w:w="15" w:type="dxa"/>
              <w:bottom w:w="0" w:type="dxa"/>
              <w:right w:w="15" w:type="dxa"/>
            </w:tcMar>
          </w:tcPr>
          <w:p>
            <w:pPr>
              <w:rPr>
                <w:color w:val="000000"/>
                <w:sz w:val="22"/>
                <w:szCs w:val="22"/>
              </w:rPr>
            </w:pPr>
            <w:r>
              <w:rPr>
                <w:rStyle w:val="34"/>
                <w:rFonts w:hint="eastAsia" w:ascii="宋体" w:hAnsi="宋体" w:eastAsia="宋体" w:cs="宋体"/>
              </w:rPr>
              <w:t>每减少</w:t>
            </w:r>
            <w:r>
              <w:rPr>
                <w:rStyle w:val="34"/>
              </w:rPr>
              <w:t>1</w:t>
            </w:r>
            <w:r>
              <w:rPr>
                <w:rStyle w:val="35"/>
                <w:rFonts w:hint="default"/>
              </w:rPr>
              <w:t>小时</w:t>
            </w:r>
            <w:r>
              <w:rPr>
                <w:rStyle w:val="34"/>
                <w:rFonts w:hint="eastAsia" w:ascii="宋体" w:hAnsi="宋体" w:eastAsia="宋体" w:cs="宋体"/>
              </w:rPr>
              <w:t>，减数量分值的</w:t>
            </w:r>
            <w:r>
              <w:rPr>
                <w:rStyle w:val="34"/>
              </w:rPr>
              <w:t>10%</w:t>
            </w:r>
          </w:p>
        </w:tc>
        <w:tc>
          <w:tcPr>
            <w:tcW w:w="3969" w:type="dxa"/>
            <w:shd w:val="clear" w:color="auto" w:fill="auto"/>
            <w:tcMar>
              <w:top w:w="15" w:type="dxa"/>
              <w:left w:w="15" w:type="dxa"/>
              <w:bottom w:w="0" w:type="dxa"/>
              <w:right w:w="15" w:type="dxa"/>
            </w:tcMar>
          </w:tcPr>
          <w:p>
            <w:pPr>
              <w:rPr>
                <w:color w:val="000000"/>
              </w:rPr>
            </w:pPr>
            <w:r>
              <w:rPr>
                <w:rFonts w:hint="eastAsia" w:ascii="宋体" w:hAnsi="宋体" w:eastAsia="宋体" w:cs="宋体"/>
                <w:color w:val="000000"/>
              </w:rPr>
              <w:t>全天进行舆情监测的时长</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24</w:t>
            </w:r>
          </w:p>
        </w:tc>
        <w:tc>
          <w:tcPr>
            <w:tcW w:w="850"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小时</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故障后响应时间</w:t>
            </w:r>
          </w:p>
        </w:tc>
        <w:tc>
          <w:tcPr>
            <w:tcW w:w="3544" w:type="dxa"/>
            <w:shd w:val="clear" w:color="auto" w:fill="auto"/>
            <w:tcMar>
              <w:top w:w="15" w:type="dxa"/>
              <w:left w:w="15" w:type="dxa"/>
              <w:bottom w:w="0" w:type="dxa"/>
              <w:right w:w="15" w:type="dxa"/>
            </w:tcMar>
          </w:tcPr>
          <w:p>
            <w:pPr>
              <w:rPr>
                <w:color w:val="000000"/>
                <w:sz w:val="22"/>
                <w:szCs w:val="22"/>
              </w:rPr>
            </w:pPr>
            <w:r>
              <w:rPr>
                <w:rStyle w:val="34"/>
                <w:rFonts w:hint="eastAsia" w:ascii="宋体" w:hAnsi="宋体" w:eastAsia="宋体" w:cs="宋体"/>
              </w:rPr>
              <w:t>每</w:t>
            </w:r>
            <w:r>
              <w:rPr>
                <w:rStyle w:val="35"/>
                <w:rFonts w:hint="default"/>
              </w:rPr>
              <w:t>增加</w:t>
            </w:r>
            <w:r>
              <w:rPr>
                <w:rStyle w:val="34"/>
              </w:rPr>
              <w:t>1%</w:t>
            </w:r>
            <w:r>
              <w:rPr>
                <w:rStyle w:val="34"/>
                <w:rFonts w:hint="eastAsia" w:ascii="宋体" w:hAnsi="宋体" w:eastAsia="宋体" w:cs="宋体"/>
              </w:rPr>
              <w:t>，减数量分值的</w:t>
            </w:r>
            <w:r>
              <w:rPr>
                <w:rStyle w:val="34"/>
              </w:rPr>
              <w:t>10%</w:t>
            </w:r>
          </w:p>
        </w:tc>
        <w:tc>
          <w:tcPr>
            <w:tcW w:w="3969" w:type="dxa"/>
            <w:shd w:val="clear" w:color="auto" w:fill="auto"/>
            <w:tcMar>
              <w:top w:w="15" w:type="dxa"/>
              <w:left w:w="15" w:type="dxa"/>
              <w:bottom w:w="0" w:type="dxa"/>
              <w:right w:w="15" w:type="dxa"/>
            </w:tcMar>
          </w:tcPr>
          <w:p>
            <w:pPr>
              <w:rPr>
                <w:rFonts w:ascii="宋体" w:hAnsi="宋体" w:cs="宋体"/>
                <w:color w:val="000000"/>
                <w:sz w:val="22"/>
                <w:szCs w:val="22"/>
              </w:rPr>
            </w:pPr>
            <w:r>
              <w:rPr>
                <w:rFonts w:hint="eastAsia" w:ascii="宋体" w:hAnsi="宋体" w:eastAsia="宋体" w:cs="宋体"/>
                <w:color w:val="000000"/>
                <w:sz w:val="22"/>
                <w:szCs w:val="22"/>
              </w:rPr>
              <w:t>发生故障后维护方响应时间</w:t>
            </w:r>
          </w:p>
        </w:tc>
        <w:tc>
          <w:tcPr>
            <w:tcW w:w="992"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85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30</w:t>
            </w:r>
          </w:p>
        </w:tc>
        <w:tc>
          <w:tcPr>
            <w:tcW w:w="850"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分钟</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52"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701" w:type="dxa"/>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舆情监测费用</w:t>
            </w:r>
          </w:p>
        </w:tc>
        <w:tc>
          <w:tcPr>
            <w:tcW w:w="354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969" w:type="dxa"/>
            <w:shd w:val="clear" w:color="auto" w:fill="auto"/>
            <w:tcMar>
              <w:top w:w="15" w:type="dxa"/>
              <w:left w:w="15" w:type="dxa"/>
              <w:bottom w:w="0" w:type="dxa"/>
              <w:right w:w="15" w:type="dxa"/>
            </w:tcMar>
          </w:tcPr>
          <w:p>
            <w:pPr>
              <w:rPr>
                <w:color w:val="000000"/>
              </w:rPr>
            </w:pPr>
            <w:r>
              <w:rPr>
                <w:rFonts w:hint="eastAsia" w:ascii="宋体" w:hAnsi="宋体" w:eastAsia="宋体" w:cs="宋体"/>
                <w:color w:val="000000"/>
              </w:rPr>
              <w:t>全年舆情监测费用</w:t>
            </w:r>
          </w:p>
        </w:tc>
        <w:tc>
          <w:tcPr>
            <w:tcW w:w="992"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85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w:t>
            </w:r>
          </w:p>
        </w:tc>
        <w:tc>
          <w:tcPr>
            <w:tcW w:w="850"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万元</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52"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701"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项目成本</w:t>
            </w:r>
          </w:p>
        </w:tc>
        <w:tc>
          <w:tcPr>
            <w:tcW w:w="354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969" w:type="dxa"/>
            <w:shd w:val="clear" w:color="auto" w:fill="auto"/>
            <w:tcMar>
              <w:top w:w="15" w:type="dxa"/>
              <w:left w:w="15" w:type="dxa"/>
              <w:bottom w:w="0" w:type="dxa"/>
              <w:right w:w="15" w:type="dxa"/>
            </w:tcMar>
          </w:tcPr>
          <w:p>
            <w:pPr>
              <w:rPr>
                <w:rFonts w:ascii="宋体" w:hAnsi="宋体" w:cs="宋体"/>
                <w:color w:val="000000"/>
                <w:sz w:val="22"/>
                <w:szCs w:val="22"/>
              </w:rPr>
            </w:pPr>
            <w:r>
              <w:rPr>
                <w:rFonts w:hint="eastAsia" w:ascii="宋体" w:hAnsi="宋体" w:eastAsia="宋体" w:cs="宋体"/>
                <w:color w:val="000000"/>
                <w:sz w:val="22"/>
                <w:szCs w:val="22"/>
              </w:rPr>
              <w:t>政务网络平台项目成本</w:t>
            </w:r>
          </w:p>
        </w:tc>
        <w:tc>
          <w:tcPr>
            <w:tcW w:w="992"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85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56</w:t>
            </w:r>
          </w:p>
        </w:tc>
        <w:tc>
          <w:tcPr>
            <w:tcW w:w="850"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万元</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63" w:hRule="atLeast"/>
          <w:jc w:val="center"/>
        </w:trPr>
        <w:tc>
          <w:tcPr>
            <w:tcW w:w="866"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改善广阳区网络环境</w:t>
            </w:r>
          </w:p>
        </w:tc>
        <w:tc>
          <w:tcPr>
            <w:tcW w:w="3544"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达标得满分，不达标不得分</w:t>
            </w:r>
          </w:p>
        </w:tc>
        <w:tc>
          <w:tcPr>
            <w:tcW w:w="3969" w:type="dxa"/>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有效改善广阳区网络环境</w:t>
            </w:r>
          </w:p>
        </w:tc>
        <w:tc>
          <w:tcPr>
            <w:tcW w:w="992"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文字描述</w:t>
            </w:r>
          </w:p>
        </w:tc>
        <w:tc>
          <w:tcPr>
            <w:tcW w:w="851" w:type="dxa"/>
            <w:shd w:val="clear" w:color="auto" w:fill="auto"/>
            <w:tcMar>
              <w:top w:w="15" w:type="dxa"/>
              <w:left w:w="15" w:type="dxa"/>
              <w:bottom w:w="0" w:type="dxa"/>
              <w:right w:w="15" w:type="dxa"/>
            </w:tcMar>
            <w:vAlign w:val="center"/>
          </w:tcPr>
          <w:p>
            <w:pPr>
              <w:rPr>
                <w:color w:val="000000"/>
                <w:sz w:val="22"/>
                <w:szCs w:val="22"/>
              </w:rPr>
            </w:pPr>
          </w:p>
        </w:tc>
        <w:tc>
          <w:tcPr>
            <w:tcW w:w="850"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有效改善</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48"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改善广阳区政务网络服务质量</w:t>
            </w:r>
          </w:p>
        </w:tc>
        <w:tc>
          <w:tcPr>
            <w:tcW w:w="3544"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达标得满分，不达标不得分</w:t>
            </w:r>
          </w:p>
        </w:tc>
        <w:tc>
          <w:tcPr>
            <w:tcW w:w="3969" w:type="dxa"/>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有效改善广阳区政务网络服务质量</w:t>
            </w:r>
          </w:p>
        </w:tc>
        <w:tc>
          <w:tcPr>
            <w:tcW w:w="992"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文字描述</w:t>
            </w:r>
          </w:p>
        </w:tc>
        <w:tc>
          <w:tcPr>
            <w:tcW w:w="851" w:type="dxa"/>
            <w:shd w:val="clear" w:color="auto" w:fill="auto"/>
            <w:tcMar>
              <w:top w:w="15" w:type="dxa"/>
              <w:left w:w="15" w:type="dxa"/>
              <w:bottom w:w="0" w:type="dxa"/>
              <w:right w:w="15" w:type="dxa"/>
            </w:tcMar>
            <w:vAlign w:val="center"/>
          </w:tcPr>
          <w:p>
            <w:pPr>
              <w:rPr>
                <w:color w:val="000000"/>
                <w:sz w:val="22"/>
                <w:szCs w:val="22"/>
              </w:rPr>
            </w:pPr>
          </w:p>
        </w:tc>
        <w:tc>
          <w:tcPr>
            <w:tcW w:w="850"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有效改善</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48"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1701"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持续优化网络舆情监测和处置率</w:t>
            </w:r>
          </w:p>
        </w:tc>
        <w:tc>
          <w:tcPr>
            <w:tcW w:w="3544"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达标得满分，不达标不得分</w:t>
            </w:r>
          </w:p>
        </w:tc>
        <w:tc>
          <w:tcPr>
            <w:tcW w:w="3969" w:type="dxa"/>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持续优化网络舆情监测和处置率</w:t>
            </w:r>
          </w:p>
        </w:tc>
        <w:tc>
          <w:tcPr>
            <w:tcW w:w="992"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文字描述</w:t>
            </w:r>
          </w:p>
        </w:tc>
        <w:tc>
          <w:tcPr>
            <w:tcW w:w="851" w:type="dxa"/>
            <w:shd w:val="clear" w:color="auto" w:fill="auto"/>
            <w:tcMar>
              <w:top w:w="15" w:type="dxa"/>
              <w:left w:w="15" w:type="dxa"/>
              <w:bottom w:w="0" w:type="dxa"/>
              <w:right w:w="15" w:type="dxa"/>
            </w:tcMar>
            <w:vAlign w:val="center"/>
          </w:tcPr>
          <w:p>
            <w:pPr>
              <w:rPr>
                <w:color w:val="000000"/>
                <w:sz w:val="22"/>
                <w:szCs w:val="22"/>
              </w:rPr>
            </w:pPr>
          </w:p>
        </w:tc>
        <w:tc>
          <w:tcPr>
            <w:tcW w:w="850"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可持续</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63"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1701"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向广阳区人民提供服务</w:t>
            </w:r>
          </w:p>
        </w:tc>
        <w:tc>
          <w:tcPr>
            <w:tcW w:w="3544"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达标得满分，不达标不得分</w:t>
            </w:r>
          </w:p>
        </w:tc>
        <w:tc>
          <w:tcPr>
            <w:tcW w:w="3969" w:type="dxa"/>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向广阳区人民提供服务</w:t>
            </w:r>
          </w:p>
        </w:tc>
        <w:tc>
          <w:tcPr>
            <w:tcW w:w="992"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文字描述</w:t>
            </w:r>
          </w:p>
        </w:tc>
        <w:tc>
          <w:tcPr>
            <w:tcW w:w="851" w:type="dxa"/>
            <w:shd w:val="clear" w:color="auto" w:fill="auto"/>
            <w:tcMar>
              <w:top w:w="15" w:type="dxa"/>
              <w:left w:w="15" w:type="dxa"/>
              <w:bottom w:w="0" w:type="dxa"/>
              <w:right w:w="15" w:type="dxa"/>
            </w:tcMar>
            <w:vAlign w:val="center"/>
          </w:tcPr>
          <w:p>
            <w:pPr>
              <w:rPr>
                <w:color w:val="000000"/>
                <w:sz w:val="22"/>
                <w:szCs w:val="22"/>
              </w:rPr>
            </w:pPr>
          </w:p>
        </w:tc>
        <w:tc>
          <w:tcPr>
            <w:tcW w:w="850"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可持续</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jc w:val="center"/>
        </w:trPr>
        <w:tc>
          <w:tcPr>
            <w:tcW w:w="866"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701" w:type="dxa"/>
            <w:shd w:val="clear" w:color="auto" w:fill="auto"/>
            <w:noWrap/>
            <w:tcMar>
              <w:top w:w="15" w:type="dxa"/>
              <w:left w:w="15" w:type="dxa"/>
              <w:bottom w:w="0" w:type="dxa"/>
              <w:right w:w="15" w:type="dxa"/>
            </w:tcMar>
            <w:vAlign w:val="center"/>
          </w:tcPr>
          <w:p>
            <w:pPr>
              <w:rPr>
                <w:rFonts w:eastAsia="宋体"/>
                <w:color w:val="000000"/>
              </w:rPr>
            </w:pPr>
            <w:r>
              <w:rPr>
                <w:rStyle w:val="38"/>
                <w:rFonts w:hint="eastAsia" w:ascii="宋体" w:hAnsi="宋体" w:eastAsia="宋体" w:cs="宋体"/>
              </w:rPr>
              <w:t>全区人员</w:t>
            </w:r>
            <w:r>
              <w:rPr>
                <w:rStyle w:val="37"/>
                <w:rFonts w:hint="default"/>
              </w:rPr>
              <w:t>满意度</w:t>
            </w:r>
          </w:p>
        </w:tc>
        <w:tc>
          <w:tcPr>
            <w:tcW w:w="3544"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969" w:type="dxa"/>
            <w:shd w:val="clear" w:color="auto" w:fill="auto"/>
            <w:noWrap/>
            <w:tcMar>
              <w:top w:w="15" w:type="dxa"/>
              <w:left w:w="15" w:type="dxa"/>
              <w:bottom w:w="0" w:type="dxa"/>
              <w:right w:w="15" w:type="dxa"/>
            </w:tcMar>
            <w:vAlign w:val="center"/>
          </w:tcPr>
          <w:p>
            <w:pPr>
              <w:rPr>
                <w:color w:val="000000"/>
              </w:rPr>
            </w:pPr>
            <w:r>
              <w:rPr>
                <w:rFonts w:hint="eastAsia" w:ascii="宋体" w:hAnsi="宋体" w:eastAsia="宋体" w:cs="宋体"/>
                <w:color w:val="000000"/>
              </w:rPr>
              <w:t>全区满意人员数量占总人数的比率</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850"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1、网络安全监测项目经费绩效目标表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1.通过对全网进行实时监测，掌握舆情状态，便于有针对性采取措施，实现有效抑制负面影响，避免负面舆情的大规模爆发。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全年监测舆情信息数量</w:t>
            </w:r>
          </w:p>
        </w:tc>
        <w:tc>
          <w:tcPr>
            <w:tcW w:w="2835" w:type="dxa"/>
            <w:vAlign w:val="center"/>
          </w:tcPr>
          <w:p>
            <w:pPr>
              <w:pStyle w:val="17"/>
            </w:pPr>
            <w:r>
              <w:t>全年监测到涉及我区的舆情信息数量</w:t>
            </w:r>
          </w:p>
        </w:tc>
        <w:tc>
          <w:tcPr>
            <w:tcW w:w="2551" w:type="dxa"/>
            <w:vAlign w:val="center"/>
          </w:tcPr>
          <w:p>
            <w:pPr>
              <w:pStyle w:val="17"/>
            </w:pPr>
            <w:r>
              <w:t>≥20000条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重大舆情监控覆盖率</w:t>
            </w:r>
          </w:p>
        </w:tc>
        <w:tc>
          <w:tcPr>
            <w:tcW w:w="2835" w:type="dxa"/>
            <w:vAlign w:val="center"/>
          </w:tcPr>
          <w:p>
            <w:pPr>
              <w:pStyle w:val="17"/>
            </w:pPr>
            <w:r>
              <w:t>重大舆情监测覆盖率=全年监测到涉及我区的重大舆情数量/全年监测到涉及我区的舆情信息总量*100%</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舆情信息监测时长</w:t>
            </w:r>
          </w:p>
        </w:tc>
        <w:tc>
          <w:tcPr>
            <w:tcW w:w="2835" w:type="dxa"/>
            <w:vAlign w:val="center"/>
          </w:tcPr>
          <w:p>
            <w:pPr>
              <w:pStyle w:val="17"/>
            </w:pPr>
            <w:r>
              <w:t>全天进行舆情监测的时长</w:t>
            </w:r>
          </w:p>
        </w:tc>
        <w:tc>
          <w:tcPr>
            <w:tcW w:w="2551" w:type="dxa"/>
            <w:vAlign w:val="center"/>
          </w:tcPr>
          <w:p>
            <w:pPr>
              <w:pStyle w:val="17"/>
            </w:pPr>
            <w:r>
              <w:t>24小时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全年舆情监测费用</w:t>
            </w:r>
          </w:p>
        </w:tc>
        <w:tc>
          <w:tcPr>
            <w:tcW w:w="2835" w:type="dxa"/>
            <w:vAlign w:val="center"/>
          </w:tcPr>
          <w:p>
            <w:pPr>
              <w:pStyle w:val="17"/>
            </w:pPr>
            <w:r>
              <w:t>全年舆情监测费用</w:t>
            </w:r>
          </w:p>
        </w:tc>
        <w:tc>
          <w:tcPr>
            <w:tcW w:w="2551" w:type="dxa"/>
            <w:vAlign w:val="center"/>
          </w:tcPr>
          <w:p>
            <w:pPr>
              <w:pStyle w:val="17"/>
            </w:pPr>
            <w:r>
              <w:t>≤20万元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提高经济效益</w:t>
            </w:r>
          </w:p>
        </w:tc>
        <w:tc>
          <w:tcPr>
            <w:tcW w:w="2835" w:type="dxa"/>
            <w:vAlign w:val="center"/>
          </w:tcPr>
          <w:p>
            <w:pPr>
              <w:pStyle w:val="17"/>
            </w:pPr>
            <w:r>
              <w:t>有效提高全区经济效益</w:t>
            </w:r>
          </w:p>
        </w:tc>
        <w:tc>
          <w:tcPr>
            <w:tcW w:w="2551" w:type="dxa"/>
            <w:vAlign w:val="center"/>
          </w:tcPr>
          <w:p>
            <w:pPr>
              <w:pStyle w:val="17"/>
            </w:pPr>
            <w:r>
              <w:t>有效提高</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改善全区网络环境</w:t>
            </w:r>
          </w:p>
        </w:tc>
        <w:tc>
          <w:tcPr>
            <w:tcW w:w="2835" w:type="dxa"/>
            <w:vAlign w:val="center"/>
          </w:tcPr>
          <w:p>
            <w:pPr>
              <w:pStyle w:val="17"/>
            </w:pPr>
            <w:r>
              <w:t>有效改善广阳区网络环境</w:t>
            </w:r>
          </w:p>
        </w:tc>
        <w:tc>
          <w:tcPr>
            <w:tcW w:w="2551" w:type="dxa"/>
            <w:vAlign w:val="center"/>
          </w:tcPr>
          <w:p>
            <w:pPr>
              <w:pStyle w:val="17"/>
            </w:pPr>
            <w:r>
              <w:t>有效改善</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持续优化网络舆情监测和处置率　</w:t>
            </w:r>
          </w:p>
        </w:tc>
        <w:tc>
          <w:tcPr>
            <w:tcW w:w="2835" w:type="dxa"/>
            <w:vAlign w:val="center"/>
          </w:tcPr>
          <w:p>
            <w:pPr>
              <w:pStyle w:val="17"/>
            </w:pPr>
            <w:r>
              <w:t>监测舆情并及时应对</w:t>
            </w:r>
          </w:p>
        </w:tc>
        <w:tc>
          <w:tcPr>
            <w:tcW w:w="2551" w:type="dxa"/>
            <w:vAlign w:val="center"/>
          </w:tcPr>
          <w:p>
            <w:pPr>
              <w:pStyle w:val="17"/>
            </w:pPr>
            <w:r>
              <w:t>可持续</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实现广阳区人民满意度</w:t>
            </w:r>
          </w:p>
        </w:tc>
        <w:tc>
          <w:tcPr>
            <w:tcW w:w="2835" w:type="dxa"/>
            <w:vAlign w:val="center"/>
          </w:tcPr>
          <w:p>
            <w:pPr>
              <w:pStyle w:val="17"/>
            </w:pPr>
            <w:r>
              <w:t>全区满意人员数量占总人数的比率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2、政务网络平台项目经费绩效目标表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1.通过项目的开展完成广阳区政务网络维护工作，保障广阳区政务网络的正常使用，为广阳区各项业务开展提供支撑，提高广阳区工作效率和社会影响力。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维护数量</w:t>
            </w:r>
          </w:p>
        </w:tc>
        <w:tc>
          <w:tcPr>
            <w:tcW w:w="2835" w:type="dxa"/>
            <w:vAlign w:val="center"/>
          </w:tcPr>
          <w:p>
            <w:pPr>
              <w:pStyle w:val="17"/>
            </w:pPr>
            <w:r>
              <w:t>全年维护节点数量</w:t>
            </w:r>
          </w:p>
        </w:tc>
        <w:tc>
          <w:tcPr>
            <w:tcW w:w="2551" w:type="dxa"/>
            <w:vAlign w:val="center"/>
          </w:tcPr>
          <w:p>
            <w:pPr>
              <w:pStyle w:val="17"/>
            </w:pPr>
            <w:r>
              <w:t>≥90个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网速达标率</w:t>
            </w:r>
          </w:p>
        </w:tc>
        <w:tc>
          <w:tcPr>
            <w:tcW w:w="2835" w:type="dxa"/>
            <w:vAlign w:val="center"/>
          </w:tcPr>
          <w:p>
            <w:pPr>
              <w:pStyle w:val="17"/>
            </w:pPr>
            <w:r>
              <w:t>网速达标率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故障后响应时间</w:t>
            </w:r>
          </w:p>
        </w:tc>
        <w:tc>
          <w:tcPr>
            <w:tcW w:w="2835" w:type="dxa"/>
            <w:vAlign w:val="center"/>
          </w:tcPr>
          <w:p>
            <w:pPr>
              <w:pStyle w:val="17"/>
            </w:pPr>
            <w:r>
              <w:t>发生故障后响应时间</w:t>
            </w:r>
          </w:p>
        </w:tc>
        <w:tc>
          <w:tcPr>
            <w:tcW w:w="2551" w:type="dxa"/>
            <w:vAlign w:val="center"/>
          </w:tcPr>
          <w:p>
            <w:pPr>
              <w:pStyle w:val="17"/>
            </w:pPr>
            <w:r>
              <w:t>≤30分钟</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项目总成本</w:t>
            </w:r>
          </w:p>
        </w:tc>
        <w:tc>
          <w:tcPr>
            <w:tcW w:w="2835" w:type="dxa"/>
            <w:vAlign w:val="center"/>
          </w:tcPr>
          <w:p>
            <w:pPr>
              <w:pStyle w:val="17"/>
            </w:pPr>
            <w:r>
              <w:t>项目总成本</w:t>
            </w:r>
          </w:p>
        </w:tc>
        <w:tc>
          <w:tcPr>
            <w:tcW w:w="2551" w:type="dxa"/>
            <w:vAlign w:val="center"/>
          </w:tcPr>
          <w:p>
            <w:pPr>
              <w:pStyle w:val="17"/>
            </w:pPr>
            <w:r>
              <w:t>≤56万元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有效提高广阳区经济质量</w:t>
            </w:r>
          </w:p>
        </w:tc>
        <w:tc>
          <w:tcPr>
            <w:tcW w:w="2835" w:type="dxa"/>
            <w:vAlign w:val="center"/>
          </w:tcPr>
          <w:p>
            <w:pPr>
              <w:pStyle w:val="17"/>
            </w:pPr>
            <w:r>
              <w:t>有效提高广阳区经济质量</w:t>
            </w:r>
          </w:p>
        </w:tc>
        <w:tc>
          <w:tcPr>
            <w:tcW w:w="2551" w:type="dxa"/>
            <w:vAlign w:val="center"/>
          </w:tcPr>
          <w:p>
            <w:pPr>
              <w:pStyle w:val="17"/>
            </w:pPr>
            <w:r>
              <w:t>有效提高</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改善广阳区政务网络服务质量</w:t>
            </w:r>
          </w:p>
        </w:tc>
        <w:tc>
          <w:tcPr>
            <w:tcW w:w="2835" w:type="dxa"/>
            <w:vAlign w:val="center"/>
          </w:tcPr>
          <w:p>
            <w:pPr>
              <w:pStyle w:val="17"/>
            </w:pPr>
            <w:r>
              <w:t>有效改善广阳区政务网络服务质量</w:t>
            </w:r>
          </w:p>
        </w:tc>
        <w:tc>
          <w:tcPr>
            <w:tcW w:w="2551" w:type="dxa"/>
            <w:vAlign w:val="center"/>
          </w:tcPr>
          <w:p>
            <w:pPr>
              <w:pStyle w:val="17"/>
            </w:pPr>
            <w:r>
              <w:t>有效改善</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向人民提供服务</w:t>
            </w:r>
          </w:p>
        </w:tc>
        <w:tc>
          <w:tcPr>
            <w:tcW w:w="2835" w:type="dxa"/>
            <w:vAlign w:val="center"/>
          </w:tcPr>
          <w:p>
            <w:pPr>
              <w:pStyle w:val="17"/>
            </w:pPr>
            <w:r>
              <w:t>向广阳区人民提供服务　</w:t>
            </w:r>
          </w:p>
        </w:tc>
        <w:tc>
          <w:tcPr>
            <w:tcW w:w="2551" w:type="dxa"/>
            <w:vAlign w:val="center"/>
          </w:tcPr>
          <w:p>
            <w:pPr>
              <w:pStyle w:val="17"/>
            </w:pPr>
            <w:r>
              <w:t>可持续</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实现广阳区人民满意度</w:t>
            </w:r>
          </w:p>
        </w:tc>
        <w:tc>
          <w:tcPr>
            <w:tcW w:w="2835" w:type="dxa"/>
            <w:vAlign w:val="center"/>
          </w:tcPr>
          <w:p>
            <w:pPr>
              <w:pStyle w:val="17"/>
            </w:pPr>
            <w:r>
              <w:t>广阳区满意人员数量占总人数的比率　</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2023年，中共廊坊市广阳区委网络安全和信息化委员会办公室安排政府采购预算0.00万元。具体内容见下表。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中共廊坊市广阳区委网络安全和信息化委员会办公室（含所属单位）上年末固定资产金额为176.21万元（详见下表）。本年度拟购置固定资产总额为0.00万元，已按要求列入政府采购预算，详见政府采购预算表。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410中共廊坊市广阳区委网络安全和信息化委员会办公室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176.21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176.21</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03825"/>
    <w:rsid w:val="00006DA7"/>
    <w:rsid w:val="002C1466"/>
    <w:rsid w:val="004A0EBC"/>
    <w:rsid w:val="00603825"/>
    <w:rsid w:val="007E0DC3"/>
    <w:rsid w:val="00DF0DA0"/>
    <w:rsid w:val="00E17A90"/>
    <w:rsid w:val="40223796"/>
    <w:rsid w:val="7F4C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40"/>
    <w:unhideWhenUsed/>
    <w:uiPriority w:val="99"/>
    <w:pPr>
      <w:tabs>
        <w:tab w:val="center" w:pos="4153"/>
        <w:tab w:val="right" w:pos="8306"/>
      </w:tabs>
      <w:snapToGrid w:val="0"/>
    </w:pPr>
    <w:rPr>
      <w:sz w:val="18"/>
      <w:szCs w:val="18"/>
    </w:rPr>
  </w:style>
  <w:style w:type="paragraph" w:styleId="4">
    <w:name w:val="header"/>
    <w:basedOn w:val="1"/>
    <w:link w:val="3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51"/>
    <w:basedOn w:val="10"/>
    <w:uiPriority w:val="0"/>
    <w:rPr>
      <w:rFonts w:hint="default" w:ascii="Times New Roman" w:hAnsi="Times New Roman" w:cs="Times New Roman"/>
      <w:color w:val="000000"/>
      <w:sz w:val="22"/>
      <w:szCs w:val="22"/>
      <w:u w:val="none"/>
    </w:rPr>
  </w:style>
  <w:style w:type="character" w:customStyle="1" w:styleId="35">
    <w:name w:val="font11"/>
    <w:basedOn w:val="10"/>
    <w:uiPriority w:val="0"/>
    <w:rPr>
      <w:rFonts w:hint="eastAsia" w:ascii="宋体" w:hAnsi="宋体" w:eastAsia="宋体"/>
      <w:color w:val="000000"/>
      <w:sz w:val="22"/>
      <w:szCs w:val="22"/>
      <w:u w:val="none"/>
    </w:rPr>
  </w:style>
  <w:style w:type="character" w:customStyle="1" w:styleId="36">
    <w:name w:val="font31"/>
    <w:basedOn w:val="10"/>
    <w:uiPriority w:val="0"/>
    <w:rPr>
      <w:rFonts w:hint="eastAsia" w:ascii="方正书宋_GBK" w:eastAsia="方正书宋_GBK"/>
      <w:color w:val="000000"/>
      <w:sz w:val="24"/>
      <w:szCs w:val="24"/>
      <w:u w:val="none"/>
    </w:rPr>
  </w:style>
  <w:style w:type="character" w:customStyle="1" w:styleId="37">
    <w:name w:val="font01"/>
    <w:basedOn w:val="10"/>
    <w:uiPriority w:val="0"/>
    <w:rPr>
      <w:rFonts w:hint="eastAsia" w:ascii="宋体" w:hAnsi="宋体" w:eastAsia="宋体"/>
      <w:color w:val="000000"/>
      <w:sz w:val="24"/>
      <w:szCs w:val="24"/>
      <w:u w:val="none"/>
    </w:rPr>
  </w:style>
  <w:style w:type="character" w:customStyle="1" w:styleId="38">
    <w:name w:val="font41"/>
    <w:basedOn w:val="10"/>
    <w:uiPriority w:val="0"/>
    <w:rPr>
      <w:rFonts w:hint="default" w:ascii="Times New Roman" w:hAnsi="Times New Roman" w:cs="Times New Roman"/>
      <w:color w:val="000000"/>
      <w:sz w:val="24"/>
      <w:szCs w:val="24"/>
      <w:u w:val="none"/>
    </w:rPr>
  </w:style>
  <w:style w:type="character" w:customStyle="1" w:styleId="39">
    <w:name w:val="页眉 Char"/>
    <w:basedOn w:val="10"/>
    <w:link w:val="4"/>
    <w:uiPriority w:val="99"/>
    <w:rPr>
      <w:rFonts w:eastAsia="Times New Roman"/>
      <w:sz w:val="18"/>
      <w:szCs w:val="18"/>
      <w:lang w:eastAsia="uk-UA"/>
    </w:rPr>
  </w:style>
  <w:style w:type="character" w:customStyle="1" w:styleId="40">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2023-03-13T11:06:28Z</dcterms:created>
  <dcterms:modified xsi:type="dcterms:W3CDTF">2023-03-13T03:06:28Z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2023-03-13T11:06:32Z</dcterms:created>
  <dcterms:modified xsi:type="dcterms:W3CDTF">2023-03-13T03:06:32Z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2023-03-13T11:06:32Z</dcterms:created>
  <dcterms:modified xsi:type="dcterms:W3CDTF">2023-03-13T03:06:32Z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2023-03-13T11:06:31Z</dcterms:created>
  <dcterms:modified xsi:type="dcterms:W3CDTF">2023-03-13T03:06:31Z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2023-03-13T11:06:32Z</dcterms:created>
  <dcterms:modified xsi:type="dcterms:W3CDTF">2023-03-13T03:06:32Z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2023-03-13T11:06:28Z</dcterms:created>
  <dcterms:modified xsi:type="dcterms:W3CDTF">2023-03-13T03:06:28Z</dcterms:modified>
</cp:coreProperties>
</file>

<file path=customXml/itemProps1.xml><?xml version="1.0" encoding="utf-8"?>
<ds:datastoreItem xmlns:ds="http://schemas.openxmlformats.org/officeDocument/2006/customXml" ds:itemID="{20AE533C-85C9-45C9-BE09-F207FE740FF2}">
  <ds:schemaRefs/>
</ds:datastoreItem>
</file>

<file path=customXml/itemProps10.xml><?xml version="1.0" encoding="utf-8"?>
<ds:datastoreItem xmlns:ds="http://schemas.openxmlformats.org/officeDocument/2006/customXml" ds:itemID="{F9A99538-CC37-47E2-89D1-1D76BC8FD1A0}">
  <ds:schemaRefs/>
</ds:datastoreItem>
</file>

<file path=customXml/itemProps11.xml><?xml version="1.0" encoding="utf-8"?>
<ds:datastoreItem xmlns:ds="http://schemas.openxmlformats.org/officeDocument/2006/customXml" ds:itemID="{88F8B59E-A2BB-4B4F-8C21-C34FEF5245D4}">
  <ds:schemaRefs/>
</ds:datastoreItem>
</file>

<file path=customXml/itemProps12.xml><?xml version="1.0" encoding="utf-8"?>
<ds:datastoreItem xmlns:ds="http://schemas.openxmlformats.org/officeDocument/2006/customXml" ds:itemID="{AE71C0EF-8831-45C5-8A33-EAEE8991FCD7}">
  <ds:schemaRefs/>
</ds:datastoreItem>
</file>

<file path=customXml/itemProps13.xml><?xml version="1.0" encoding="utf-8"?>
<ds:datastoreItem xmlns:ds="http://schemas.openxmlformats.org/officeDocument/2006/customXml" ds:itemID="{96EB6F48-699A-43FC-8C45-ACE5A83F0CC5}">
  <ds:schemaRefs/>
</ds:datastoreItem>
</file>

<file path=customXml/itemProps14.xml><?xml version="1.0" encoding="utf-8"?>
<ds:datastoreItem xmlns:ds="http://schemas.openxmlformats.org/officeDocument/2006/customXml" ds:itemID="{707B24BB-AEF5-4474-A784-B7C1D77DC9EB}">
  <ds:schemaRefs/>
</ds:datastoreItem>
</file>

<file path=customXml/itemProps15.xml><?xml version="1.0" encoding="utf-8"?>
<ds:datastoreItem xmlns:ds="http://schemas.openxmlformats.org/officeDocument/2006/customXml" ds:itemID="{D1F3394E-FF7F-496E-8651-9985B0F6859C}">
  <ds:schemaRefs/>
</ds:datastoreItem>
</file>

<file path=customXml/itemProps16.xml><?xml version="1.0" encoding="utf-8"?>
<ds:datastoreItem xmlns:ds="http://schemas.openxmlformats.org/officeDocument/2006/customXml" ds:itemID="{E348BA41-0F5E-4847-AEB6-0887CA0B0746}">
  <ds:schemaRefs/>
</ds:datastoreItem>
</file>

<file path=customXml/itemProps17.xml><?xml version="1.0" encoding="utf-8"?>
<ds:datastoreItem xmlns:ds="http://schemas.openxmlformats.org/officeDocument/2006/customXml" ds:itemID="{0115A8E5-4C36-4D7C-8001-BEA26AC8C834}">
  <ds:schemaRefs/>
</ds:datastoreItem>
</file>

<file path=customXml/itemProps18.xml><?xml version="1.0" encoding="utf-8"?>
<ds:datastoreItem xmlns:ds="http://schemas.openxmlformats.org/officeDocument/2006/customXml" ds:itemID="{158C93EC-658C-4A48-B241-4C772F94FC63}">
  <ds:schemaRefs/>
</ds:datastoreItem>
</file>

<file path=customXml/itemProps2.xml><?xml version="1.0" encoding="utf-8"?>
<ds:datastoreItem xmlns:ds="http://schemas.openxmlformats.org/officeDocument/2006/customXml" ds:itemID="{683567B9-693E-4C60-94D5-44ACC601E82C}">
  <ds:schemaRefs/>
</ds:datastoreItem>
</file>

<file path=customXml/itemProps3.xml><?xml version="1.0" encoding="utf-8"?>
<ds:datastoreItem xmlns:ds="http://schemas.openxmlformats.org/officeDocument/2006/customXml" ds:itemID="{3B3F53FE-20F9-4B70-8C15-DC547C5D4D52}">
  <ds:schemaRefs/>
</ds:datastoreItem>
</file>

<file path=customXml/itemProps4.xml><?xml version="1.0" encoding="utf-8"?>
<ds:datastoreItem xmlns:ds="http://schemas.openxmlformats.org/officeDocument/2006/customXml" ds:itemID="{47B73775-18E2-41CE-A0E8-BC07C73290E8}">
  <ds:schemaRefs/>
</ds:datastoreItem>
</file>

<file path=customXml/itemProps5.xml><?xml version="1.0" encoding="utf-8"?>
<ds:datastoreItem xmlns:ds="http://schemas.openxmlformats.org/officeDocument/2006/customXml" ds:itemID="{FF5B3E73-935A-44A4-8E3A-38B1F8E45BF9}">
  <ds:schemaRefs/>
</ds:datastoreItem>
</file>

<file path=customXml/itemProps6.xml><?xml version="1.0" encoding="utf-8"?>
<ds:datastoreItem xmlns:ds="http://schemas.openxmlformats.org/officeDocument/2006/customXml" ds:itemID="{3CC2BEED-B199-4427-AD2E-71D3437EA3EC}">
  <ds:schemaRefs/>
</ds:datastoreItem>
</file>

<file path=customXml/itemProps7.xml><?xml version="1.0" encoding="utf-8"?>
<ds:datastoreItem xmlns:ds="http://schemas.openxmlformats.org/officeDocument/2006/customXml" ds:itemID="{966B6076-D6D5-473B-BA10-9FF2A4029BF1}">
  <ds:schemaRefs/>
</ds:datastoreItem>
</file>

<file path=customXml/itemProps8.xml><?xml version="1.0" encoding="utf-8"?>
<ds:datastoreItem xmlns:ds="http://schemas.openxmlformats.org/officeDocument/2006/customXml" ds:itemID="{42986238-A50A-4AC2-B73B-1E4FCA935799}">
  <ds:schemaRefs/>
</ds:datastoreItem>
</file>

<file path=customXml/itemProps9.xml><?xml version="1.0" encoding="utf-8"?>
<ds:datastoreItem xmlns:ds="http://schemas.openxmlformats.org/officeDocument/2006/customXml" ds:itemID="{A63E06ED-37E8-43FE-94F1-E3743133E30C}">
  <ds:schemaRefs/>
</ds:datastoreItem>
</file>

<file path=docProps/app.xml><?xml version="1.0" encoding="utf-8"?>
<Properties xmlns="http://schemas.openxmlformats.org/officeDocument/2006/extended-properties" xmlns:vt="http://schemas.openxmlformats.org/officeDocument/2006/docPropsVTypes">
  <Template>Normal</Template>
  <Pages>30</Pages>
  <Words>1883</Words>
  <Characters>10739</Characters>
  <Lines>89</Lines>
  <Paragraphs>25</Paragraphs>
  <TotalTime>0</TotalTime>
  <ScaleCrop>false</ScaleCrop>
  <LinksUpToDate>false</LinksUpToDate>
  <CharactersWithSpaces>12597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lenovo</dc:creator>
  <cp:lastModifiedBy>Administrator</cp:lastModifiedBy>
  <dcterms:modified xsi:type="dcterms:W3CDTF">2024-01-11T01:49:07Z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9681B6926A594999AEF33FD46AE57AEE</vt:lpwstr>
  </property>
</Properties>
</file>