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31</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293.22</w:t>
            </w:r>
          </w:p>
        </w:tc>
        <w:tc>
          <w:tcPr>
            <w:tcW w:w="4535" w:type="dxa"/>
            <w:vAlign w:val="center"/>
          </w:tcPr>
          <w:p>
            <w:pPr>
              <w:pStyle w:val="17"/>
            </w:pPr>
            <w:r>
              <w:t>一、一般公共服务支出</w:t>
            </w:r>
          </w:p>
        </w:tc>
        <w:tc>
          <w:tcPr>
            <w:tcW w:w="2126" w:type="dxa"/>
            <w:vAlign w:val="center"/>
          </w:tcPr>
          <w:p>
            <w:pPr>
              <w:pStyle w:val="16"/>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293.22</w:t>
            </w:r>
          </w:p>
        </w:tc>
        <w:tc>
          <w:tcPr>
            <w:tcW w:w="4535" w:type="dxa"/>
            <w:vAlign w:val="center"/>
          </w:tcPr>
          <w:p>
            <w:pPr>
              <w:pStyle w:val="19"/>
            </w:pPr>
            <w:r>
              <w:t>本年支出合计</w:t>
            </w:r>
          </w:p>
        </w:tc>
        <w:tc>
          <w:tcPr>
            <w:tcW w:w="2126" w:type="dxa"/>
            <w:vAlign w:val="center"/>
          </w:tcPr>
          <w:p>
            <w:pPr>
              <w:pStyle w:val="20"/>
            </w:pPr>
            <w:r>
              <w:t>293.22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293.22</w:t>
            </w:r>
          </w:p>
        </w:tc>
        <w:tc>
          <w:tcPr>
            <w:tcW w:w="4535" w:type="dxa"/>
            <w:vAlign w:val="center"/>
          </w:tcPr>
          <w:p>
            <w:pPr>
              <w:pStyle w:val="19"/>
            </w:pPr>
            <w:r>
              <w:t>支出总计</w:t>
            </w:r>
          </w:p>
        </w:tc>
        <w:tc>
          <w:tcPr>
            <w:tcW w:w="2126" w:type="dxa"/>
            <w:vAlign w:val="center"/>
          </w:tcPr>
          <w:p>
            <w:pPr>
              <w:pStyle w:val="20"/>
            </w:pPr>
            <w:r>
              <w:t>293.22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293.22</w:t>
            </w:r>
          </w:p>
        </w:tc>
        <w:tc>
          <w:tcPr>
            <w:tcW w:w="1134" w:type="dxa"/>
            <w:vAlign w:val="center"/>
          </w:tcPr>
          <w:p>
            <w:pPr>
              <w:pStyle w:val="20"/>
            </w:pPr>
            <w:r>
              <w:t>293.22</w:t>
            </w:r>
          </w:p>
        </w:tc>
        <w:tc>
          <w:tcPr>
            <w:tcW w:w="1134" w:type="dxa"/>
            <w:vAlign w:val="center"/>
          </w:tcPr>
          <w:p>
            <w:pPr>
              <w:pStyle w:val="20"/>
            </w:pPr>
            <w:r>
              <w:t>293.22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224.82</w:t>
            </w:r>
          </w:p>
        </w:tc>
        <w:tc>
          <w:tcPr>
            <w:tcW w:w="1134" w:type="dxa"/>
            <w:vAlign w:val="center"/>
          </w:tcPr>
          <w:p>
            <w:pPr>
              <w:pStyle w:val="16"/>
            </w:pPr>
            <w:r>
              <w:t>224.82</w:t>
            </w:r>
          </w:p>
        </w:tc>
        <w:tc>
          <w:tcPr>
            <w:tcW w:w="1134" w:type="dxa"/>
            <w:vAlign w:val="center"/>
          </w:tcPr>
          <w:p>
            <w:pPr>
              <w:pStyle w:val="16"/>
            </w:pPr>
            <w:r>
              <w:t>224.82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0.24</w:t>
            </w:r>
          </w:p>
        </w:tc>
        <w:tc>
          <w:tcPr>
            <w:tcW w:w="1134" w:type="dxa"/>
            <w:vAlign w:val="center"/>
          </w:tcPr>
          <w:p>
            <w:pPr>
              <w:pStyle w:val="16"/>
            </w:pPr>
            <w:r>
              <w:t>0.24</w:t>
            </w:r>
          </w:p>
        </w:tc>
        <w:tc>
          <w:tcPr>
            <w:tcW w:w="1134" w:type="dxa"/>
            <w:vAlign w:val="center"/>
          </w:tcPr>
          <w:p>
            <w:pPr>
              <w:pStyle w:val="16"/>
            </w:pPr>
            <w:r>
              <w:t>0.24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2010399</w:t>
            </w:r>
          </w:p>
        </w:tc>
        <w:tc>
          <w:tcPr>
            <w:tcW w:w="1559" w:type="dxa"/>
            <w:vAlign w:val="center"/>
          </w:tcPr>
          <w:p>
            <w:pPr>
              <w:pStyle w:val="17"/>
            </w:pPr>
            <w:r>
              <w:t>其他政府办公厅（室）及相关机构事务支出</w:t>
            </w:r>
          </w:p>
        </w:tc>
        <w:tc>
          <w:tcPr>
            <w:tcW w:w="1134" w:type="dxa"/>
            <w:vAlign w:val="center"/>
          </w:tcPr>
          <w:p>
            <w:pPr>
              <w:pStyle w:val="16"/>
            </w:pPr>
            <w:r>
              <w:t>0.24</w:t>
            </w:r>
          </w:p>
        </w:tc>
        <w:tc>
          <w:tcPr>
            <w:tcW w:w="1134" w:type="dxa"/>
            <w:vAlign w:val="center"/>
          </w:tcPr>
          <w:p>
            <w:pPr>
              <w:pStyle w:val="16"/>
            </w:pPr>
            <w:r>
              <w:t>0.24</w:t>
            </w:r>
          </w:p>
        </w:tc>
        <w:tc>
          <w:tcPr>
            <w:tcW w:w="1134" w:type="dxa"/>
            <w:vAlign w:val="center"/>
          </w:tcPr>
          <w:p>
            <w:pPr>
              <w:pStyle w:val="16"/>
            </w:pPr>
            <w:r>
              <w:t>0.24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20134</w:t>
            </w:r>
          </w:p>
        </w:tc>
        <w:tc>
          <w:tcPr>
            <w:tcW w:w="1559" w:type="dxa"/>
            <w:vAlign w:val="center"/>
          </w:tcPr>
          <w:p>
            <w:pPr>
              <w:pStyle w:val="17"/>
            </w:pPr>
            <w:r>
              <w:t>统战事务</w:t>
            </w:r>
          </w:p>
        </w:tc>
        <w:tc>
          <w:tcPr>
            <w:tcW w:w="1134" w:type="dxa"/>
            <w:vAlign w:val="center"/>
          </w:tcPr>
          <w:p>
            <w:pPr>
              <w:pStyle w:val="16"/>
            </w:pPr>
            <w:r>
              <w:t>224.58</w:t>
            </w:r>
          </w:p>
        </w:tc>
        <w:tc>
          <w:tcPr>
            <w:tcW w:w="1134" w:type="dxa"/>
            <w:vAlign w:val="center"/>
          </w:tcPr>
          <w:p>
            <w:pPr>
              <w:pStyle w:val="16"/>
            </w:pPr>
            <w:r>
              <w:t>224.58</w:t>
            </w:r>
          </w:p>
        </w:tc>
        <w:tc>
          <w:tcPr>
            <w:tcW w:w="1134" w:type="dxa"/>
            <w:vAlign w:val="center"/>
          </w:tcPr>
          <w:p>
            <w:pPr>
              <w:pStyle w:val="16"/>
            </w:pPr>
            <w:r>
              <w:t>224.58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2013401</w:t>
            </w:r>
          </w:p>
        </w:tc>
        <w:tc>
          <w:tcPr>
            <w:tcW w:w="1559" w:type="dxa"/>
            <w:vAlign w:val="center"/>
          </w:tcPr>
          <w:p>
            <w:pPr>
              <w:pStyle w:val="17"/>
            </w:pPr>
            <w:r>
              <w:t>行政运行</w:t>
            </w:r>
          </w:p>
        </w:tc>
        <w:tc>
          <w:tcPr>
            <w:tcW w:w="1134" w:type="dxa"/>
            <w:vAlign w:val="center"/>
          </w:tcPr>
          <w:p>
            <w:pPr>
              <w:pStyle w:val="16"/>
            </w:pPr>
            <w:r>
              <w:t>209.58</w:t>
            </w:r>
          </w:p>
        </w:tc>
        <w:tc>
          <w:tcPr>
            <w:tcW w:w="1134" w:type="dxa"/>
            <w:vAlign w:val="center"/>
          </w:tcPr>
          <w:p>
            <w:pPr>
              <w:pStyle w:val="16"/>
            </w:pPr>
            <w:r>
              <w:t>209.58</w:t>
            </w:r>
          </w:p>
        </w:tc>
        <w:tc>
          <w:tcPr>
            <w:tcW w:w="1134" w:type="dxa"/>
            <w:vAlign w:val="center"/>
          </w:tcPr>
          <w:p>
            <w:pPr>
              <w:pStyle w:val="16"/>
            </w:pPr>
            <w:r>
              <w:t>209.58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2013404</w:t>
            </w:r>
          </w:p>
        </w:tc>
        <w:tc>
          <w:tcPr>
            <w:tcW w:w="1559" w:type="dxa"/>
            <w:vAlign w:val="center"/>
          </w:tcPr>
          <w:p>
            <w:pPr>
              <w:pStyle w:val="17"/>
            </w:pPr>
            <w:r>
              <w:t>宗教事务</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22.46</w:t>
            </w:r>
          </w:p>
        </w:tc>
        <w:tc>
          <w:tcPr>
            <w:tcW w:w="1134" w:type="dxa"/>
            <w:vAlign w:val="center"/>
          </w:tcPr>
          <w:p>
            <w:pPr>
              <w:pStyle w:val="16"/>
            </w:pPr>
            <w:r>
              <w:t>22.46</w:t>
            </w:r>
          </w:p>
        </w:tc>
        <w:tc>
          <w:tcPr>
            <w:tcW w:w="1134" w:type="dxa"/>
            <w:vAlign w:val="center"/>
          </w:tcPr>
          <w:p>
            <w:pPr>
              <w:pStyle w:val="16"/>
            </w:pPr>
            <w:r>
              <w:t>22.46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21.66</w:t>
            </w:r>
          </w:p>
        </w:tc>
        <w:tc>
          <w:tcPr>
            <w:tcW w:w="1134" w:type="dxa"/>
            <w:vAlign w:val="center"/>
          </w:tcPr>
          <w:p>
            <w:pPr>
              <w:pStyle w:val="16"/>
            </w:pPr>
            <w:r>
              <w:t>21.66</w:t>
            </w:r>
          </w:p>
        </w:tc>
        <w:tc>
          <w:tcPr>
            <w:tcW w:w="1134" w:type="dxa"/>
            <w:vAlign w:val="center"/>
          </w:tcPr>
          <w:p>
            <w:pPr>
              <w:pStyle w:val="16"/>
            </w:pPr>
            <w:r>
              <w:t>21.66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r>
              <w:t>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r>
              <w:t>17.74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293.22</w:t>
            </w:r>
          </w:p>
        </w:tc>
        <w:tc>
          <w:tcPr>
            <w:tcW w:w="1361" w:type="dxa"/>
            <w:vAlign w:val="center"/>
          </w:tcPr>
          <w:p>
            <w:pPr>
              <w:pStyle w:val="20"/>
            </w:pPr>
            <w:r>
              <w:t>277.98</w:t>
            </w:r>
          </w:p>
        </w:tc>
        <w:tc>
          <w:tcPr>
            <w:tcW w:w="1361" w:type="dxa"/>
            <w:vAlign w:val="center"/>
          </w:tcPr>
          <w:p>
            <w:pPr>
              <w:pStyle w:val="20"/>
            </w:pPr>
            <w:r>
              <w:t>15.24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224.82</w:t>
            </w:r>
          </w:p>
        </w:tc>
        <w:tc>
          <w:tcPr>
            <w:tcW w:w="1361" w:type="dxa"/>
            <w:vAlign w:val="center"/>
          </w:tcPr>
          <w:p>
            <w:pPr>
              <w:pStyle w:val="16"/>
            </w:pPr>
            <w:r>
              <w:t>209.58</w:t>
            </w:r>
          </w:p>
        </w:tc>
        <w:tc>
          <w:tcPr>
            <w:tcW w:w="1361" w:type="dxa"/>
            <w:vAlign w:val="center"/>
          </w:tcPr>
          <w:p>
            <w:pPr>
              <w:pStyle w:val="16"/>
            </w:pPr>
            <w:r>
              <w:t>15.24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0.24</w:t>
            </w:r>
          </w:p>
        </w:tc>
        <w:tc>
          <w:tcPr>
            <w:tcW w:w="1361" w:type="dxa"/>
            <w:vAlign w:val="center"/>
          </w:tcPr>
          <w:p>
            <w:pPr>
              <w:pStyle w:val="16"/>
            </w:pPr>
          </w:p>
        </w:tc>
        <w:tc>
          <w:tcPr>
            <w:tcW w:w="1361" w:type="dxa"/>
            <w:vAlign w:val="center"/>
          </w:tcPr>
          <w:p>
            <w:pPr>
              <w:pStyle w:val="16"/>
            </w:pPr>
            <w:r>
              <w:t>0.24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2010399</w:t>
            </w:r>
          </w:p>
        </w:tc>
        <w:tc>
          <w:tcPr>
            <w:tcW w:w="4535" w:type="dxa"/>
            <w:vAlign w:val="center"/>
          </w:tcPr>
          <w:p>
            <w:pPr>
              <w:pStyle w:val="17"/>
            </w:pPr>
            <w:r>
              <w:t>其他政府办公厅（室）及相关机构事务支出</w:t>
            </w:r>
          </w:p>
        </w:tc>
        <w:tc>
          <w:tcPr>
            <w:tcW w:w="1361" w:type="dxa"/>
            <w:vAlign w:val="center"/>
          </w:tcPr>
          <w:p>
            <w:pPr>
              <w:pStyle w:val="16"/>
            </w:pPr>
            <w:r>
              <w:t>0.24</w:t>
            </w:r>
          </w:p>
        </w:tc>
        <w:tc>
          <w:tcPr>
            <w:tcW w:w="1361" w:type="dxa"/>
            <w:vAlign w:val="center"/>
          </w:tcPr>
          <w:p>
            <w:pPr>
              <w:pStyle w:val="16"/>
            </w:pPr>
          </w:p>
        </w:tc>
        <w:tc>
          <w:tcPr>
            <w:tcW w:w="1361" w:type="dxa"/>
            <w:vAlign w:val="center"/>
          </w:tcPr>
          <w:p>
            <w:pPr>
              <w:pStyle w:val="16"/>
            </w:pPr>
            <w:r>
              <w:t>0.24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20134</w:t>
            </w:r>
          </w:p>
        </w:tc>
        <w:tc>
          <w:tcPr>
            <w:tcW w:w="4535" w:type="dxa"/>
            <w:vAlign w:val="center"/>
          </w:tcPr>
          <w:p>
            <w:pPr>
              <w:pStyle w:val="17"/>
            </w:pPr>
            <w:r>
              <w:t>统战事务</w:t>
            </w:r>
          </w:p>
        </w:tc>
        <w:tc>
          <w:tcPr>
            <w:tcW w:w="1361" w:type="dxa"/>
            <w:vAlign w:val="center"/>
          </w:tcPr>
          <w:p>
            <w:pPr>
              <w:pStyle w:val="16"/>
            </w:pPr>
            <w:r>
              <w:t>224.58</w:t>
            </w:r>
          </w:p>
        </w:tc>
        <w:tc>
          <w:tcPr>
            <w:tcW w:w="1361" w:type="dxa"/>
            <w:vAlign w:val="center"/>
          </w:tcPr>
          <w:p>
            <w:pPr>
              <w:pStyle w:val="16"/>
            </w:pPr>
            <w:r>
              <w:t>209.58</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2013401</w:t>
            </w:r>
          </w:p>
        </w:tc>
        <w:tc>
          <w:tcPr>
            <w:tcW w:w="4535" w:type="dxa"/>
            <w:vAlign w:val="center"/>
          </w:tcPr>
          <w:p>
            <w:pPr>
              <w:pStyle w:val="17"/>
            </w:pPr>
            <w:r>
              <w:t>行政运行</w:t>
            </w:r>
          </w:p>
        </w:tc>
        <w:tc>
          <w:tcPr>
            <w:tcW w:w="1361" w:type="dxa"/>
            <w:vAlign w:val="center"/>
          </w:tcPr>
          <w:p>
            <w:pPr>
              <w:pStyle w:val="16"/>
            </w:pPr>
            <w:r>
              <w:t>209.58</w:t>
            </w:r>
          </w:p>
        </w:tc>
        <w:tc>
          <w:tcPr>
            <w:tcW w:w="1361" w:type="dxa"/>
            <w:vAlign w:val="center"/>
          </w:tcPr>
          <w:p>
            <w:pPr>
              <w:pStyle w:val="16"/>
            </w:pPr>
            <w:r>
              <w:t>209.58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2013404</w:t>
            </w:r>
          </w:p>
        </w:tc>
        <w:tc>
          <w:tcPr>
            <w:tcW w:w="4535" w:type="dxa"/>
            <w:vAlign w:val="center"/>
          </w:tcPr>
          <w:p>
            <w:pPr>
              <w:pStyle w:val="17"/>
            </w:pPr>
            <w:r>
              <w:t>宗教事务</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22.46</w:t>
            </w:r>
          </w:p>
        </w:tc>
        <w:tc>
          <w:tcPr>
            <w:tcW w:w="1361" w:type="dxa"/>
            <w:vAlign w:val="center"/>
          </w:tcPr>
          <w:p>
            <w:pPr>
              <w:pStyle w:val="16"/>
            </w:pPr>
            <w:r>
              <w:t>22.46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21.66</w:t>
            </w:r>
          </w:p>
        </w:tc>
        <w:tc>
          <w:tcPr>
            <w:tcW w:w="1361" w:type="dxa"/>
            <w:vAlign w:val="center"/>
          </w:tcPr>
          <w:p>
            <w:pPr>
              <w:pStyle w:val="16"/>
            </w:pPr>
            <w:r>
              <w:t>21.66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6.54</w:t>
            </w:r>
          </w:p>
        </w:tc>
        <w:tc>
          <w:tcPr>
            <w:tcW w:w="1361" w:type="dxa"/>
            <w:vAlign w:val="center"/>
          </w:tcPr>
          <w:p>
            <w:pPr>
              <w:pStyle w:val="16"/>
            </w:pPr>
            <w:r>
              <w:t>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6.54</w:t>
            </w:r>
          </w:p>
        </w:tc>
        <w:tc>
          <w:tcPr>
            <w:tcW w:w="1361" w:type="dxa"/>
            <w:vAlign w:val="center"/>
          </w:tcPr>
          <w:p>
            <w:pPr>
              <w:pStyle w:val="16"/>
            </w:pPr>
            <w:r>
              <w:t>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6.54</w:t>
            </w:r>
          </w:p>
        </w:tc>
        <w:tc>
          <w:tcPr>
            <w:tcW w:w="1361" w:type="dxa"/>
            <w:vAlign w:val="center"/>
          </w:tcPr>
          <w:p>
            <w:pPr>
              <w:pStyle w:val="16"/>
            </w:pPr>
            <w:r>
              <w:t>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17.74</w:t>
            </w:r>
          </w:p>
        </w:tc>
        <w:tc>
          <w:tcPr>
            <w:tcW w:w="1361" w:type="dxa"/>
            <w:vAlign w:val="center"/>
          </w:tcPr>
          <w:p>
            <w:pPr>
              <w:pStyle w:val="16"/>
            </w:pPr>
            <w:r>
              <w:t>17.74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17.74</w:t>
            </w:r>
          </w:p>
        </w:tc>
        <w:tc>
          <w:tcPr>
            <w:tcW w:w="1361" w:type="dxa"/>
            <w:vAlign w:val="center"/>
          </w:tcPr>
          <w:p>
            <w:pPr>
              <w:pStyle w:val="16"/>
            </w:pPr>
            <w:r>
              <w:t>17.74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17.74</w:t>
            </w:r>
          </w:p>
        </w:tc>
        <w:tc>
          <w:tcPr>
            <w:tcW w:w="1361" w:type="dxa"/>
            <w:vAlign w:val="center"/>
          </w:tcPr>
          <w:p>
            <w:pPr>
              <w:pStyle w:val="16"/>
            </w:pPr>
            <w:r>
              <w:t>17.74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293.22</w:t>
            </w:r>
          </w:p>
        </w:tc>
        <w:tc>
          <w:tcPr>
            <w:tcW w:w="3402" w:type="dxa"/>
            <w:vAlign w:val="center"/>
          </w:tcPr>
          <w:p>
            <w:pPr>
              <w:pStyle w:val="17"/>
            </w:pPr>
            <w:r>
              <w:t>一、一般公共服务支出</w:t>
            </w:r>
          </w:p>
        </w:tc>
        <w:tc>
          <w:tcPr>
            <w:tcW w:w="1474" w:type="dxa"/>
            <w:vAlign w:val="center"/>
          </w:tcPr>
          <w:p>
            <w:pPr>
              <w:pStyle w:val="16"/>
            </w:pPr>
            <w:r>
              <w:t>224.82</w:t>
            </w:r>
          </w:p>
        </w:tc>
        <w:tc>
          <w:tcPr>
            <w:tcW w:w="1474" w:type="dxa"/>
            <w:vAlign w:val="center"/>
          </w:tcPr>
          <w:p>
            <w:pPr>
              <w:pStyle w:val="16"/>
            </w:pPr>
            <w:r>
              <w:t>224.82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44.11</w:t>
            </w:r>
          </w:p>
        </w:tc>
        <w:tc>
          <w:tcPr>
            <w:tcW w:w="1474" w:type="dxa"/>
            <w:vAlign w:val="center"/>
          </w:tcPr>
          <w:p>
            <w:pPr>
              <w:pStyle w:val="16"/>
            </w:pPr>
            <w:r>
              <w:t>44.11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6.54</w:t>
            </w:r>
          </w:p>
        </w:tc>
        <w:tc>
          <w:tcPr>
            <w:tcW w:w="1474" w:type="dxa"/>
            <w:vAlign w:val="center"/>
          </w:tcPr>
          <w:p>
            <w:pPr>
              <w:pStyle w:val="16"/>
            </w:pPr>
            <w:r>
              <w:t>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17.74</w:t>
            </w:r>
          </w:p>
        </w:tc>
        <w:tc>
          <w:tcPr>
            <w:tcW w:w="1474" w:type="dxa"/>
            <w:vAlign w:val="center"/>
          </w:tcPr>
          <w:p>
            <w:pPr>
              <w:pStyle w:val="16"/>
            </w:pPr>
            <w:r>
              <w:t>17.74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293.22</w:t>
            </w:r>
          </w:p>
        </w:tc>
        <w:tc>
          <w:tcPr>
            <w:tcW w:w="3402" w:type="dxa"/>
            <w:vAlign w:val="center"/>
          </w:tcPr>
          <w:p>
            <w:pPr>
              <w:pStyle w:val="19"/>
            </w:pPr>
            <w:r>
              <w:t>本年支出合计</w:t>
            </w:r>
          </w:p>
        </w:tc>
        <w:tc>
          <w:tcPr>
            <w:tcW w:w="1474" w:type="dxa"/>
            <w:vAlign w:val="center"/>
          </w:tcPr>
          <w:p>
            <w:pPr>
              <w:pStyle w:val="20"/>
            </w:pPr>
            <w:r>
              <w:t>293.22</w:t>
            </w:r>
          </w:p>
        </w:tc>
        <w:tc>
          <w:tcPr>
            <w:tcW w:w="1474" w:type="dxa"/>
            <w:vAlign w:val="center"/>
          </w:tcPr>
          <w:p>
            <w:pPr>
              <w:pStyle w:val="20"/>
            </w:pPr>
            <w:r>
              <w:t>293.22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293.22</w:t>
            </w:r>
          </w:p>
        </w:tc>
        <w:tc>
          <w:tcPr>
            <w:tcW w:w="3402" w:type="dxa"/>
            <w:vAlign w:val="center"/>
          </w:tcPr>
          <w:p>
            <w:pPr>
              <w:pStyle w:val="19"/>
            </w:pPr>
            <w:r>
              <w:t>支出总计</w:t>
            </w:r>
          </w:p>
        </w:tc>
        <w:tc>
          <w:tcPr>
            <w:tcW w:w="1474" w:type="dxa"/>
            <w:vAlign w:val="center"/>
          </w:tcPr>
          <w:p>
            <w:pPr>
              <w:pStyle w:val="20"/>
            </w:pPr>
            <w:r>
              <w:t>293.22</w:t>
            </w:r>
          </w:p>
        </w:tc>
        <w:tc>
          <w:tcPr>
            <w:tcW w:w="1474" w:type="dxa"/>
            <w:vAlign w:val="center"/>
          </w:tcPr>
          <w:p>
            <w:pPr>
              <w:pStyle w:val="20"/>
            </w:pPr>
            <w:r>
              <w:t>293.22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293.22</w:t>
            </w:r>
          </w:p>
        </w:tc>
        <w:tc>
          <w:tcPr>
            <w:tcW w:w="2551" w:type="dxa"/>
            <w:vAlign w:val="center"/>
          </w:tcPr>
          <w:p>
            <w:pPr>
              <w:pStyle w:val="20"/>
            </w:pPr>
            <w:r>
              <w:t>277.98</w:t>
            </w:r>
          </w:p>
        </w:tc>
        <w:tc>
          <w:tcPr>
            <w:tcW w:w="2551" w:type="dxa"/>
            <w:vAlign w:val="center"/>
          </w:tcPr>
          <w:p>
            <w:pPr>
              <w:pStyle w:val="20"/>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224.82</w:t>
            </w:r>
          </w:p>
        </w:tc>
        <w:tc>
          <w:tcPr>
            <w:tcW w:w="2551" w:type="dxa"/>
            <w:vAlign w:val="center"/>
          </w:tcPr>
          <w:p>
            <w:pPr>
              <w:pStyle w:val="16"/>
            </w:pPr>
            <w:r>
              <w:t>209.58</w:t>
            </w:r>
          </w:p>
        </w:tc>
        <w:tc>
          <w:tcPr>
            <w:tcW w:w="2551" w:type="dxa"/>
            <w:vAlign w:val="center"/>
          </w:tcPr>
          <w:p>
            <w:pPr>
              <w:pStyle w:val="16"/>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0.24</w:t>
            </w:r>
          </w:p>
        </w:tc>
        <w:tc>
          <w:tcPr>
            <w:tcW w:w="2551" w:type="dxa"/>
            <w:vAlign w:val="center"/>
          </w:tcPr>
          <w:p>
            <w:pPr>
              <w:pStyle w:val="16"/>
            </w:pPr>
          </w:p>
        </w:tc>
        <w:tc>
          <w:tcPr>
            <w:tcW w:w="2551" w:type="dxa"/>
            <w:vAlign w:val="center"/>
          </w:tcPr>
          <w:p>
            <w:pPr>
              <w:pStyle w:val="16"/>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2010399</w:t>
            </w:r>
          </w:p>
        </w:tc>
        <w:tc>
          <w:tcPr>
            <w:tcW w:w="4535" w:type="dxa"/>
            <w:vAlign w:val="center"/>
          </w:tcPr>
          <w:p>
            <w:pPr>
              <w:pStyle w:val="17"/>
            </w:pPr>
            <w:r>
              <w:t>其他政府办公厅（室）及相关机构事务支出</w:t>
            </w:r>
          </w:p>
        </w:tc>
        <w:tc>
          <w:tcPr>
            <w:tcW w:w="2551" w:type="dxa"/>
            <w:vAlign w:val="center"/>
          </w:tcPr>
          <w:p>
            <w:pPr>
              <w:pStyle w:val="16"/>
            </w:pPr>
            <w:r>
              <w:t>0.24</w:t>
            </w:r>
          </w:p>
        </w:tc>
        <w:tc>
          <w:tcPr>
            <w:tcW w:w="2551" w:type="dxa"/>
            <w:vAlign w:val="center"/>
          </w:tcPr>
          <w:p>
            <w:pPr>
              <w:pStyle w:val="16"/>
            </w:pPr>
          </w:p>
        </w:tc>
        <w:tc>
          <w:tcPr>
            <w:tcW w:w="2551" w:type="dxa"/>
            <w:vAlign w:val="center"/>
          </w:tcPr>
          <w:p>
            <w:pPr>
              <w:pStyle w:val="16"/>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20134</w:t>
            </w:r>
          </w:p>
        </w:tc>
        <w:tc>
          <w:tcPr>
            <w:tcW w:w="4535" w:type="dxa"/>
            <w:vAlign w:val="center"/>
          </w:tcPr>
          <w:p>
            <w:pPr>
              <w:pStyle w:val="17"/>
            </w:pPr>
            <w:r>
              <w:t>统战事务</w:t>
            </w:r>
          </w:p>
        </w:tc>
        <w:tc>
          <w:tcPr>
            <w:tcW w:w="2551" w:type="dxa"/>
            <w:vAlign w:val="center"/>
          </w:tcPr>
          <w:p>
            <w:pPr>
              <w:pStyle w:val="16"/>
            </w:pPr>
            <w:r>
              <w:t>224.58</w:t>
            </w:r>
          </w:p>
        </w:tc>
        <w:tc>
          <w:tcPr>
            <w:tcW w:w="2551" w:type="dxa"/>
            <w:vAlign w:val="center"/>
          </w:tcPr>
          <w:p>
            <w:pPr>
              <w:pStyle w:val="16"/>
            </w:pPr>
            <w:r>
              <w:t>209.58</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2013401</w:t>
            </w:r>
          </w:p>
        </w:tc>
        <w:tc>
          <w:tcPr>
            <w:tcW w:w="4535" w:type="dxa"/>
            <w:vAlign w:val="center"/>
          </w:tcPr>
          <w:p>
            <w:pPr>
              <w:pStyle w:val="17"/>
            </w:pPr>
            <w:r>
              <w:t>行政运行</w:t>
            </w:r>
          </w:p>
        </w:tc>
        <w:tc>
          <w:tcPr>
            <w:tcW w:w="2551" w:type="dxa"/>
            <w:vAlign w:val="center"/>
          </w:tcPr>
          <w:p>
            <w:pPr>
              <w:pStyle w:val="16"/>
            </w:pPr>
            <w:r>
              <w:t>209.58</w:t>
            </w:r>
          </w:p>
        </w:tc>
        <w:tc>
          <w:tcPr>
            <w:tcW w:w="2551" w:type="dxa"/>
            <w:vAlign w:val="center"/>
          </w:tcPr>
          <w:p>
            <w:pPr>
              <w:pStyle w:val="16"/>
            </w:pPr>
            <w:r>
              <w:t>209.58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2013404</w:t>
            </w:r>
          </w:p>
        </w:tc>
        <w:tc>
          <w:tcPr>
            <w:tcW w:w="4535" w:type="dxa"/>
            <w:vAlign w:val="center"/>
          </w:tcPr>
          <w:p>
            <w:pPr>
              <w:pStyle w:val="17"/>
            </w:pPr>
            <w:r>
              <w:t>宗教事务</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22.46</w:t>
            </w:r>
          </w:p>
        </w:tc>
        <w:tc>
          <w:tcPr>
            <w:tcW w:w="2551" w:type="dxa"/>
            <w:vAlign w:val="center"/>
          </w:tcPr>
          <w:p>
            <w:pPr>
              <w:pStyle w:val="16"/>
            </w:pPr>
            <w:r>
              <w:t>22.46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21.66</w:t>
            </w:r>
          </w:p>
        </w:tc>
        <w:tc>
          <w:tcPr>
            <w:tcW w:w="2551" w:type="dxa"/>
            <w:vAlign w:val="center"/>
          </w:tcPr>
          <w:p>
            <w:pPr>
              <w:pStyle w:val="16"/>
            </w:pPr>
            <w:r>
              <w:t>21.66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6.54</w:t>
            </w:r>
          </w:p>
        </w:tc>
        <w:tc>
          <w:tcPr>
            <w:tcW w:w="2551" w:type="dxa"/>
            <w:vAlign w:val="center"/>
          </w:tcPr>
          <w:p>
            <w:pPr>
              <w:pStyle w:val="16"/>
            </w:pPr>
            <w:r>
              <w:t>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6.54</w:t>
            </w:r>
          </w:p>
        </w:tc>
        <w:tc>
          <w:tcPr>
            <w:tcW w:w="2551" w:type="dxa"/>
            <w:vAlign w:val="center"/>
          </w:tcPr>
          <w:p>
            <w:pPr>
              <w:pStyle w:val="16"/>
            </w:pPr>
            <w:r>
              <w:t>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6.54</w:t>
            </w:r>
          </w:p>
        </w:tc>
        <w:tc>
          <w:tcPr>
            <w:tcW w:w="2551" w:type="dxa"/>
            <w:vAlign w:val="center"/>
          </w:tcPr>
          <w:p>
            <w:pPr>
              <w:pStyle w:val="16"/>
            </w:pPr>
            <w:r>
              <w:t>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17.74</w:t>
            </w:r>
          </w:p>
        </w:tc>
        <w:tc>
          <w:tcPr>
            <w:tcW w:w="2551" w:type="dxa"/>
            <w:vAlign w:val="center"/>
          </w:tcPr>
          <w:p>
            <w:pPr>
              <w:pStyle w:val="16"/>
            </w:pPr>
            <w:r>
              <w:t>17.74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17.74</w:t>
            </w:r>
          </w:p>
        </w:tc>
        <w:tc>
          <w:tcPr>
            <w:tcW w:w="2551" w:type="dxa"/>
            <w:vAlign w:val="center"/>
          </w:tcPr>
          <w:p>
            <w:pPr>
              <w:pStyle w:val="16"/>
            </w:pPr>
            <w:r>
              <w:t>17.74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17.74</w:t>
            </w:r>
          </w:p>
        </w:tc>
        <w:tc>
          <w:tcPr>
            <w:tcW w:w="2551" w:type="dxa"/>
            <w:vAlign w:val="center"/>
          </w:tcPr>
          <w:p>
            <w:pPr>
              <w:pStyle w:val="16"/>
            </w:pPr>
            <w:r>
              <w:t>17.74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277.98</w:t>
            </w:r>
          </w:p>
        </w:tc>
        <w:tc>
          <w:tcPr>
            <w:tcW w:w="2551" w:type="dxa"/>
            <w:vAlign w:val="center"/>
          </w:tcPr>
          <w:p>
            <w:pPr>
              <w:pStyle w:val="20"/>
            </w:pPr>
            <w:r>
              <w:t>247.00</w:t>
            </w:r>
          </w:p>
        </w:tc>
        <w:tc>
          <w:tcPr>
            <w:tcW w:w="2551" w:type="dxa"/>
            <w:vAlign w:val="center"/>
          </w:tcPr>
          <w:p>
            <w:pPr>
              <w:pStyle w:val="20"/>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224.53</w:t>
            </w:r>
          </w:p>
        </w:tc>
        <w:tc>
          <w:tcPr>
            <w:tcW w:w="2551" w:type="dxa"/>
            <w:vAlign w:val="center"/>
          </w:tcPr>
          <w:p>
            <w:pPr>
              <w:pStyle w:val="16"/>
            </w:pPr>
            <w:r>
              <w:t>224.53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63.31</w:t>
            </w:r>
          </w:p>
        </w:tc>
        <w:tc>
          <w:tcPr>
            <w:tcW w:w="2551" w:type="dxa"/>
            <w:vAlign w:val="center"/>
          </w:tcPr>
          <w:p>
            <w:pPr>
              <w:pStyle w:val="16"/>
            </w:pPr>
            <w:r>
              <w:t>63.31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67.47</w:t>
            </w:r>
          </w:p>
        </w:tc>
        <w:tc>
          <w:tcPr>
            <w:tcW w:w="2551" w:type="dxa"/>
            <w:vAlign w:val="center"/>
          </w:tcPr>
          <w:p>
            <w:pPr>
              <w:pStyle w:val="16"/>
            </w:pPr>
            <w:r>
              <w:t>67.47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43.63</w:t>
            </w:r>
          </w:p>
        </w:tc>
        <w:tc>
          <w:tcPr>
            <w:tcW w:w="2551" w:type="dxa"/>
            <w:vAlign w:val="center"/>
          </w:tcPr>
          <w:p>
            <w:pPr>
              <w:pStyle w:val="16"/>
            </w:pPr>
            <w:r>
              <w:t>43.63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3.41</w:t>
            </w:r>
          </w:p>
        </w:tc>
        <w:tc>
          <w:tcPr>
            <w:tcW w:w="2551" w:type="dxa"/>
            <w:vAlign w:val="center"/>
          </w:tcPr>
          <w:p>
            <w:pPr>
              <w:pStyle w:val="16"/>
            </w:pPr>
            <w:r>
              <w:t>3.41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21.66</w:t>
            </w:r>
          </w:p>
        </w:tc>
        <w:tc>
          <w:tcPr>
            <w:tcW w:w="2551" w:type="dxa"/>
            <w:vAlign w:val="center"/>
          </w:tcPr>
          <w:p>
            <w:pPr>
              <w:pStyle w:val="16"/>
            </w:pPr>
            <w:r>
              <w:t>21.66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6.46</w:t>
            </w:r>
          </w:p>
        </w:tc>
        <w:tc>
          <w:tcPr>
            <w:tcW w:w="2551" w:type="dxa"/>
            <w:vAlign w:val="center"/>
          </w:tcPr>
          <w:p>
            <w:pPr>
              <w:pStyle w:val="16"/>
            </w:pPr>
            <w:r>
              <w:t>6.46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0.62</w:t>
            </w:r>
          </w:p>
        </w:tc>
        <w:tc>
          <w:tcPr>
            <w:tcW w:w="2551" w:type="dxa"/>
            <w:vAlign w:val="center"/>
          </w:tcPr>
          <w:p>
            <w:pPr>
              <w:pStyle w:val="16"/>
            </w:pPr>
            <w:r>
              <w:t>0.62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17.74</w:t>
            </w:r>
          </w:p>
        </w:tc>
        <w:tc>
          <w:tcPr>
            <w:tcW w:w="2551" w:type="dxa"/>
            <w:vAlign w:val="center"/>
          </w:tcPr>
          <w:p>
            <w:pPr>
              <w:pStyle w:val="16"/>
            </w:pPr>
            <w:r>
              <w:t>17.74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30.98</w:t>
            </w:r>
          </w:p>
        </w:tc>
        <w:tc>
          <w:tcPr>
            <w:tcW w:w="2551" w:type="dxa"/>
            <w:vAlign w:val="center"/>
          </w:tcPr>
          <w:p>
            <w:pPr>
              <w:pStyle w:val="16"/>
            </w:pPr>
          </w:p>
        </w:tc>
        <w:tc>
          <w:tcPr>
            <w:tcW w:w="2551" w:type="dxa"/>
            <w:vAlign w:val="center"/>
          </w:tcPr>
          <w:p>
            <w:pPr>
              <w:pStyle w:val="16"/>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1.17</w:t>
            </w:r>
          </w:p>
        </w:tc>
        <w:tc>
          <w:tcPr>
            <w:tcW w:w="2551" w:type="dxa"/>
            <w:vAlign w:val="center"/>
          </w:tcPr>
          <w:p>
            <w:pPr>
              <w:pStyle w:val="16"/>
            </w:pPr>
          </w:p>
        </w:tc>
        <w:tc>
          <w:tcPr>
            <w:tcW w:w="2551" w:type="dxa"/>
            <w:vAlign w:val="center"/>
          </w:tcPr>
          <w:p>
            <w:pPr>
              <w:pStyle w:val="16"/>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7.97</w:t>
            </w:r>
          </w:p>
        </w:tc>
        <w:tc>
          <w:tcPr>
            <w:tcW w:w="2551" w:type="dxa"/>
            <w:vAlign w:val="center"/>
          </w:tcPr>
          <w:p>
            <w:pPr>
              <w:pStyle w:val="16"/>
            </w:pPr>
          </w:p>
        </w:tc>
        <w:tc>
          <w:tcPr>
            <w:tcW w:w="2551" w:type="dxa"/>
            <w:vAlign w:val="center"/>
          </w:tcPr>
          <w:p>
            <w:pPr>
              <w:pStyle w:val="16"/>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0.75</w:t>
            </w:r>
          </w:p>
        </w:tc>
        <w:tc>
          <w:tcPr>
            <w:tcW w:w="2551" w:type="dxa"/>
            <w:vAlign w:val="center"/>
          </w:tcPr>
          <w:p>
            <w:pPr>
              <w:pStyle w:val="16"/>
            </w:pPr>
          </w:p>
        </w:tc>
        <w:tc>
          <w:tcPr>
            <w:tcW w:w="2551"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0.13</w:t>
            </w:r>
          </w:p>
        </w:tc>
        <w:tc>
          <w:tcPr>
            <w:tcW w:w="2551" w:type="dxa"/>
            <w:vAlign w:val="center"/>
          </w:tcPr>
          <w:p>
            <w:pPr>
              <w:pStyle w:val="16"/>
            </w:pPr>
          </w:p>
        </w:tc>
        <w:tc>
          <w:tcPr>
            <w:tcW w:w="2551" w:type="dxa"/>
            <w:vAlign w:val="center"/>
          </w:tcPr>
          <w:p>
            <w:pPr>
              <w:pStyle w:val="16"/>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1.25</w:t>
            </w:r>
          </w:p>
        </w:tc>
        <w:tc>
          <w:tcPr>
            <w:tcW w:w="2551" w:type="dxa"/>
            <w:vAlign w:val="center"/>
          </w:tcPr>
          <w:p>
            <w:pPr>
              <w:pStyle w:val="16"/>
            </w:pPr>
          </w:p>
        </w:tc>
        <w:tc>
          <w:tcPr>
            <w:tcW w:w="2551"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1.17</w:t>
            </w:r>
          </w:p>
        </w:tc>
        <w:tc>
          <w:tcPr>
            <w:tcW w:w="2551" w:type="dxa"/>
            <w:vAlign w:val="center"/>
          </w:tcPr>
          <w:p>
            <w:pPr>
              <w:pStyle w:val="16"/>
            </w:pPr>
          </w:p>
        </w:tc>
        <w:tc>
          <w:tcPr>
            <w:tcW w:w="2551" w:type="dxa"/>
            <w:vAlign w:val="center"/>
          </w:tcPr>
          <w:p>
            <w:pPr>
              <w:pStyle w:val="16"/>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9.42</w:t>
            </w:r>
          </w:p>
        </w:tc>
        <w:tc>
          <w:tcPr>
            <w:tcW w:w="2551" w:type="dxa"/>
            <w:vAlign w:val="center"/>
          </w:tcPr>
          <w:p>
            <w:pPr>
              <w:pStyle w:val="16"/>
            </w:pPr>
          </w:p>
        </w:tc>
        <w:tc>
          <w:tcPr>
            <w:tcW w:w="2551" w:type="dxa"/>
            <w:vAlign w:val="center"/>
          </w:tcPr>
          <w:p>
            <w:pPr>
              <w:pStyle w:val="16"/>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22.47</w:t>
            </w:r>
          </w:p>
        </w:tc>
        <w:tc>
          <w:tcPr>
            <w:tcW w:w="2551" w:type="dxa"/>
            <w:vAlign w:val="center"/>
          </w:tcPr>
          <w:p>
            <w:pPr>
              <w:pStyle w:val="16"/>
            </w:pPr>
            <w:r>
              <w:t>22.47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22.46</w:t>
            </w:r>
          </w:p>
        </w:tc>
        <w:tc>
          <w:tcPr>
            <w:tcW w:w="2551" w:type="dxa"/>
            <w:vAlign w:val="center"/>
          </w:tcPr>
          <w:p>
            <w:pPr>
              <w:pStyle w:val="16"/>
            </w:pPr>
            <w:r>
              <w:t>22.46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中国共产党廊坊市广阳区委员会统一战线工作部2023年部门预算信息公开情况说明</w:t>
      </w:r>
    </w:p>
    <w:p>
      <w:pPr>
        <w:jc w:val="center"/>
      </w:pPr>
      <w:r>
        <w:rPr>
          <w:rFonts w:ascii="方正小标宋_GBK" w:hAnsi="方正小标宋_GBK" w:eastAsia="方正小标宋_GBK" w:cs="方正小标宋_GBK"/>
          <w:color w:val="000000"/>
          <w:sz w:val="44"/>
        </w:rPr>
        <w:t>中国共产党廊坊市广阳区委员会统一战线工作部2023年部门预算信息公开情况说明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预算法》、《地方预决算公开操作规程》和《关于进一步推进预算公开工作的实施意见》规定，现将中国共产党廊坊市广阳区委员会统一战线工作部2023年部门预算公开如下：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（一）组织贯彻执行统一战线的方针、政策；向区委反映统一战线全面情况，提出开展统战工作的意见和建议；检查统战政策执行情况，协调统一战线各方面的关系。</w:t>
      </w:r>
    </w:p>
    <w:p>
      <w:pPr>
        <w:pStyle w:val="22"/>
      </w:pPr>
      <w:r>
        <w:t>（二）协助民主党派县委、县工商联和县有关统战团体做好干部管理工作。</w:t>
      </w:r>
    </w:p>
    <w:p>
      <w:pPr>
        <w:pStyle w:val="22"/>
      </w:pPr>
      <w:r>
        <w:t>（三）会同有关部门统筹协调和指导对台经济工作，组织重要台商的投资活动；参与政府大型招商活动;协调指导全区各领域赴台交流的立项、审批、管理和我区赴台交流往来人员的行前教育工作。会同有关部门统筹协调和指导对台经济工作，组织重要台商的投资活动；参与政府大型招商活动;协调指导全区各领域赴台交流的立项、审批、管理和我区赴台交流往来人员的行前教育工作。</w:t>
      </w:r>
    </w:p>
    <w:p>
      <w:pPr>
        <w:pStyle w:val="22"/>
      </w:pPr>
      <w:r>
        <w:t>（四）调研台湾形势和冀台经济文化交流发展动向，提出对策建议；协调有关部门研究、草拟地方涉台法规，管理涉台法律事务；负责全区对台宣传和涉台教育工作，受理台胞来冀定居审批，协调处理涉台重大突发事件和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中国共产党廊坊市广阳区委员会统一战线工作部本级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按照预算管理有关规定，目前我区部门预算的编制实行综合预算管理，即全部收入和支出都反映在预算中。中国共产党廊坊市广阳区委员会统一战线工作部机关及所属事业单位的收支包含在部门预算中。</w:t>
      </w:r>
    </w:p>
    <w:p>
      <w:pPr>
        <w:pStyle w:val="23"/>
      </w:pPr>
      <w:r>
        <w:t>1、收入说明</w:t>
      </w:r>
    </w:p>
    <w:p>
      <w:pPr>
        <w:pStyle w:val="23"/>
      </w:pPr>
      <w:r>
        <w:t>反映本部门当年全部收入。2023年预算收入万元，其中：一般公共预算收入293.22万元，基金预算收入0万元，财政专户核拨收入0万元，其他来源收入0万元，上年结转0万元。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中国共产党廊坊市广阳区委员会统一战线工作部2023年度部门预算中支出预算的总体情况。2023年支出预算293.22万元，其中：基本支出277.98万元，包括人员经费247万元和日常公用经费30.98万元；项目支出15.24万元，全部为本级支出，主要为宗教综合治理工作经费、归国华侨退休生活补贴经费等项目。</w:t>
      </w:r>
    </w:p>
    <w:p>
      <w:pPr>
        <w:pStyle w:val="23"/>
      </w:pPr>
      <w:r>
        <w:t>3、比上年增减情况</w:t>
      </w:r>
    </w:p>
    <w:p>
      <w:pPr>
        <w:pStyle w:val="23"/>
      </w:pPr>
      <w:r>
        <w:t>2023年预算收支安排293.22万元，较2022年预算减少10.67万元，其中：基本支出增加43.12万元，增加原因主要为人员经费支出增加；项目支出减少53.79万元，减少原因主要为减少省市清真寺整改项目。</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2023年，我部门运行经费共计安排30.98万元，主要用于办公区的日常维修、办公费用、办公用房水电费、办公用房取暖费、邮电费、差旅费、办公用房物业管理费、公务用车运行维护费等日常运行支出。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依法管理民族宗教事务，促进民族团结进步，助推少数民族地区经济社会发展，维护宗教领域安全稳定，引导宗教与社会主义社会相适应。促进非公经济人士健康成长和非公经济健康发展。提升党外干部队伍整体素质，增强党外干部政治把握能力、参政议政能力、组织领导能力和合作共事能力。不断优化我区投资环境，促进落户台企健康发展和产业结构调整。开展对台招商活动，加大招商引资力度，提高招商引资成效。推动与台间文化双向互动，增强两岸同胞同为炎黄子孙的民族认同感和民族凝聚力。妥善处置各类涉台事务。</w:t>
      </w:r>
    </w:p>
    <w:p>
      <w:pPr>
        <w:spacing w:line="500" w:lineRule="exact"/>
        <w:ind w:firstLine="560"/>
      </w:pPr>
      <w:r>
        <w:rPr>
          <w:rFonts w:eastAsia="方正仿宋_GBK"/>
          <w:color w:val="000000"/>
          <w:sz w:val="28"/>
        </w:rPr>
        <w:t>（二）分项绩效目标</w:t>
      </w:r>
    </w:p>
    <w:p>
      <w:pPr>
        <w:pStyle w:val="27"/>
      </w:pPr>
      <w:r>
        <w:t>1、巩固多党合作，推动多党合作政治协商事业发展。</w:t>
      </w:r>
    </w:p>
    <w:p>
      <w:pPr>
        <w:pStyle w:val="27"/>
      </w:pPr>
      <w:r>
        <w:t>绩效目标：完善与各民主党派政治协商制度，联系各民主党派成员，通报情况、反映意见，推动多党合作政治协商事业发展。</w:t>
      </w:r>
    </w:p>
    <w:p>
      <w:pPr>
        <w:pStyle w:val="27"/>
      </w:pPr>
      <w:r>
        <w:t>绩效指标：年度内完成与各民主党派政治协商次数不低于1次。</w:t>
      </w:r>
    </w:p>
    <w:p>
      <w:pPr>
        <w:pStyle w:val="27"/>
      </w:pPr>
      <w:r>
        <w:t>2、促进非公有制经济健康发展和非公有制经济人士健康成长。</w:t>
      </w:r>
    </w:p>
    <w:p>
      <w:pPr>
        <w:pStyle w:val="27"/>
      </w:pPr>
      <w:r>
        <w:t>绩效目标：联系、培养民营经济代表人士，开展思想政治工作，适时召开民营经济领域统战工作会议或研讨会议、指导民营企业党组织做好企业内部统战工作。</w:t>
      </w:r>
    </w:p>
    <w:p>
      <w:pPr>
        <w:pStyle w:val="27"/>
      </w:pPr>
      <w:r>
        <w:t>绩效指标：完成并实施贯彻落实上级关于民营经济统战工作文件精神实施意见，举办政企沟通交流会次数不低于1次。</w:t>
      </w:r>
    </w:p>
    <w:p>
      <w:pPr>
        <w:pStyle w:val="27"/>
      </w:pPr>
      <w:r>
        <w:t>3、加强党外知识分子统战工作。</w:t>
      </w:r>
    </w:p>
    <w:p>
      <w:pPr>
        <w:pStyle w:val="27"/>
      </w:pPr>
      <w: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pStyle w:val="27"/>
      </w:pPr>
      <w:r>
        <w:t>绩效指标：定期不定期召集不同领域党外知识分子召开座谈、协商等会议不低于2次。调研了解各地各领域党外知识分子和新的社会阶层人士情况不低于2次。</w:t>
      </w:r>
    </w:p>
    <w:p>
      <w:pPr>
        <w:pStyle w:val="27"/>
      </w:pPr>
      <w:r>
        <w:t>4、加强党外代表人士队伍建设。</w:t>
      </w:r>
    </w:p>
    <w:p>
      <w:pPr>
        <w:pStyle w:val="27"/>
      </w:pPr>
      <w: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pStyle w:val="27"/>
      </w:pPr>
      <w:r>
        <w:t>绩效指标：加强与党外代表人士的联谊沟通，定期走访看望，谈心交流次数不低于1次。</w:t>
      </w:r>
    </w:p>
    <w:p>
      <w:pPr>
        <w:pStyle w:val="27"/>
      </w:pPr>
      <w:r>
        <w:t>5、推动侨务管理工作。</w:t>
      </w:r>
    </w:p>
    <w:p>
      <w:pPr>
        <w:pStyle w:val="27"/>
      </w:pPr>
      <w:r>
        <w:t>绩效目标：做好海外侨胞的基础性工作，摸清底数。加强对侨务工作的调研，加强与海外华侨华人及社团的联系。</w:t>
      </w:r>
    </w:p>
    <w:p>
      <w:pPr>
        <w:pStyle w:val="27"/>
      </w:pPr>
      <w:r>
        <w:t>绩效指标：完成年度侨务工作调研不低于1次。</w:t>
      </w:r>
    </w:p>
    <w:p>
      <w:pPr>
        <w:spacing w:line="500" w:lineRule="exact"/>
        <w:ind w:firstLine="560"/>
      </w:pPr>
      <w:r>
        <w:rPr>
          <w:rFonts w:eastAsia="方正仿宋_GBK"/>
          <w:color w:val="000000"/>
          <w:sz w:val="28"/>
        </w:rPr>
        <w:t>（三）工作保障措施</w:t>
      </w:r>
    </w:p>
    <w:p>
      <w:pPr>
        <w:pStyle w:val="28"/>
      </w:pPr>
      <w:r>
        <w:t>1、加强政治理论学习，坚决夯实统一战线工作共同思想政治基础。</w:t>
      </w:r>
    </w:p>
    <w:p>
      <w:pPr>
        <w:pStyle w:val="28"/>
      </w:pPr>
      <w:r>
        <w:t>2、履行党建主体责任，打牢统一战线工作齐抓共管格局。</w:t>
      </w:r>
    </w:p>
    <w:p>
      <w:pPr>
        <w:pStyle w:val="28"/>
      </w:pPr>
      <w:r>
        <w:t>3、紧扣年度任务目标，主动发挥统一战线作用融入全区发展大局。</w:t>
      </w:r>
    </w:p>
    <w:p>
      <w:pPr>
        <w:pStyle w:val="28"/>
      </w:pPr>
      <w:r>
        <w:t>4、强化思想政治引导，广泛凝聚统一战线工作对象工作共识。</w:t>
      </w:r>
    </w:p>
    <w:p>
      <w:pPr>
        <w:pStyle w:val="28"/>
      </w:pPr>
      <w:r>
        <w:t>5、强化深化交流合作，不断巩固统一战线工作最广泛爱国力量。</w:t>
      </w:r>
    </w:p>
    <w:p>
      <w:pPr>
        <w:pStyle w:val="28"/>
      </w:pPr>
      <w:r>
        <w:t>6、持续加强队伍建设，坚决提升统一战线工作服务效能。</w:t>
      </w:r>
    </w:p>
    <w:p>
      <w:pPr>
        <w:pStyle w:val="28"/>
      </w:pPr>
      <w:r>
        <w:t>7、不断深化</w:t>
      </w:r>
      <w:r>
        <w:rPr>
          <w:rFonts w:hint="eastAsia"/>
          <w:lang w:eastAsia="zh-CN"/>
        </w:rPr>
        <w:t>正风肃纪</w:t>
      </w:r>
      <w:r>
        <w:t>，持续营造统一战线工作风清气正服务环境。</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56"/>
        <w:gridCol w:w="1056"/>
        <w:gridCol w:w="1590"/>
        <w:gridCol w:w="2052"/>
        <w:gridCol w:w="4852"/>
        <w:gridCol w:w="1056"/>
        <w:gridCol w:w="1056"/>
        <w:gridCol w:w="1056"/>
        <w:gridCol w:w="105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lang w:eastAsia="zh-CN"/>
              </w:rPr>
            </w:pPr>
            <w:r>
              <w:rPr>
                <w:rFonts w:hint="eastAsia" w:ascii="方正书宋_GBK" w:eastAsia="方正书宋_GBK"/>
                <w:b/>
                <w:bCs/>
                <w:color w:val="000000"/>
                <w:sz w:val="21"/>
                <w:szCs w:val="21"/>
              </w:rPr>
              <w:t>一级指标</w:t>
            </w:r>
          </w:p>
        </w:tc>
        <w:tc>
          <w:tcPr>
            <w:tcW w:w="35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二级</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w:t>
            </w:r>
          </w:p>
        </w:tc>
        <w:tc>
          <w:tcPr>
            <w:tcW w:w="53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三级指标</w:t>
            </w:r>
          </w:p>
        </w:tc>
        <w:tc>
          <w:tcPr>
            <w:tcW w:w="692"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评（扣）分标准</w:t>
            </w:r>
          </w:p>
        </w:tc>
        <w:tc>
          <w:tcPr>
            <w:tcW w:w="163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绩效指标描述</w:t>
            </w:r>
          </w:p>
        </w:tc>
        <w:tc>
          <w:tcPr>
            <w:tcW w:w="1068"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tc>
        <w:tc>
          <w:tcPr>
            <w:tcW w:w="35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shd w:val="clear" w:color="auto" w:fill="auto"/>
            <w:vAlign w:val="center"/>
          </w:tcPr>
          <w:p>
            <w:pPr>
              <w:rPr>
                <w:rFonts w:ascii="方正书宋_GBK" w:hAnsi="宋体" w:eastAsia="方正书宋_GBK" w:cs="宋体"/>
                <w:b/>
                <w:bCs/>
                <w:color w:val="000000"/>
                <w:sz w:val="21"/>
                <w:szCs w:val="21"/>
              </w:rPr>
            </w:pPr>
          </w:p>
        </w:tc>
        <w:tc>
          <w:tcPr>
            <w:tcW w:w="356"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c>
          <w:tcPr>
            <w:tcW w:w="536" w:type="pct"/>
            <w:vMerge w:val="continue"/>
            <w:shd w:val="clear" w:color="auto" w:fill="auto"/>
            <w:vAlign w:val="center"/>
          </w:tcPr>
          <w:p>
            <w:pPr>
              <w:rPr>
                <w:rFonts w:ascii="方正书宋_GBK" w:hAnsi="宋体" w:eastAsia="方正书宋_GBK" w:cs="宋体"/>
                <w:b/>
                <w:bCs/>
                <w:color w:val="000000"/>
                <w:sz w:val="21"/>
                <w:szCs w:val="21"/>
              </w:rPr>
            </w:pPr>
          </w:p>
        </w:tc>
        <w:tc>
          <w:tcPr>
            <w:tcW w:w="692" w:type="pct"/>
            <w:vMerge w:val="continue"/>
            <w:shd w:val="clear" w:color="auto" w:fill="auto"/>
            <w:vAlign w:val="center"/>
          </w:tcPr>
          <w:p>
            <w:pPr>
              <w:rPr>
                <w:rFonts w:ascii="方正书宋_GBK" w:hAnsi="宋体" w:eastAsia="方正书宋_GBK" w:cs="宋体"/>
                <w:b/>
                <w:bCs/>
                <w:color w:val="000000"/>
                <w:sz w:val="21"/>
                <w:szCs w:val="21"/>
              </w:rPr>
            </w:pPr>
          </w:p>
        </w:tc>
        <w:tc>
          <w:tcPr>
            <w:tcW w:w="1636" w:type="pct"/>
            <w:vMerge w:val="continue"/>
            <w:shd w:val="clear" w:color="auto" w:fill="auto"/>
            <w:vAlign w:val="center"/>
          </w:tcPr>
          <w:p>
            <w:pPr>
              <w:rPr>
                <w:rFonts w:ascii="方正书宋_GBK" w:hAnsi="宋体" w:eastAsia="方正书宋_GBK" w:cs="宋体"/>
                <w:b/>
                <w:bCs/>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符号</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值</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单位</w:t>
            </w:r>
          </w:p>
        </w:tc>
        <w:tc>
          <w:tcPr>
            <w:tcW w:w="356"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各项工作完成率</w:t>
            </w:r>
          </w:p>
        </w:tc>
        <w:tc>
          <w:tcPr>
            <w:tcW w:w="6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20分</w:t>
            </w:r>
          </w:p>
        </w:tc>
        <w:tc>
          <w:tcPr>
            <w:tcW w:w="16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按照要求和计划完成研究任务的项目在所有立项项目中的比例（百分比）</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85</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质量</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开展外宣活动数量</w:t>
            </w:r>
          </w:p>
        </w:tc>
        <w:tc>
          <w:tcPr>
            <w:tcW w:w="69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反映开展外宣活动情况</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时效</w:t>
            </w:r>
          </w:p>
        </w:tc>
        <w:tc>
          <w:tcPr>
            <w:tcW w:w="536"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各项资金发放完成时间</w:t>
            </w:r>
          </w:p>
        </w:tc>
        <w:tc>
          <w:tcPr>
            <w:tcW w:w="692" w:type="pct"/>
            <w:shd w:val="clear" w:color="auto" w:fill="auto"/>
            <w:tcMar>
              <w:top w:w="15" w:type="dxa"/>
              <w:left w:w="15" w:type="dxa"/>
              <w:bottom w:w="0" w:type="dxa"/>
              <w:right w:w="15" w:type="dxa"/>
            </w:tcMar>
          </w:tcPr>
          <w:p>
            <w:pPr>
              <w:jc w:val="center"/>
              <w:rPr>
                <w:sz w:val="20"/>
                <w:szCs w:val="20"/>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规定时间内完成各项资金发放的比率</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控制项目成本</w:t>
            </w:r>
          </w:p>
        </w:tc>
        <w:tc>
          <w:tcPr>
            <w:tcW w:w="6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预算金额内完成各项工作占全部工作的比率的</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按照预算项目资金数额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46" w:hRule="atLeast"/>
          <w:jc w:val="center"/>
        </w:trPr>
        <w:tc>
          <w:tcPr>
            <w:tcW w:w="356"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社会稳定水平</w:t>
            </w:r>
          </w:p>
        </w:tc>
        <w:tc>
          <w:tcPr>
            <w:tcW w:w="6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稳步推进社会稳定水平，确保辖区宗教和谐稳定</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稳步推进</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提高统战对象的经济收入</w:t>
            </w:r>
          </w:p>
        </w:tc>
        <w:tc>
          <w:tcPr>
            <w:tcW w:w="6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提高经济收入，提升统战对象的生活质量</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稳步推进</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可持续</w:t>
            </w:r>
          </w:p>
          <w:p>
            <w:pPr>
              <w:jc w:val="center"/>
              <w:rPr>
                <w:rFonts w:ascii="方正书宋_GBK" w:eastAsia="方正书宋_GBK"/>
                <w:color w:val="000000"/>
                <w:sz w:val="21"/>
                <w:szCs w:val="21"/>
              </w:rPr>
            </w:pPr>
            <w:r>
              <w:rPr>
                <w:rFonts w:hint="eastAsia" w:ascii="方正书宋_GBK" w:eastAsia="方正书宋_GBK"/>
                <w:color w:val="000000"/>
                <w:sz w:val="21"/>
                <w:szCs w:val="21"/>
              </w:rPr>
              <w:t>影响</w:t>
            </w:r>
          </w:p>
        </w:tc>
        <w:tc>
          <w:tcPr>
            <w:tcW w:w="5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长期使用性</w:t>
            </w:r>
          </w:p>
        </w:tc>
        <w:tc>
          <w:tcPr>
            <w:tcW w:w="692"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10分</w:t>
            </w:r>
          </w:p>
        </w:tc>
        <w:tc>
          <w:tcPr>
            <w:tcW w:w="163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能够长期较好地开展统战工作，更好的服务人民群众的需求。</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稳步推进</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shd w:val="clear" w:color="auto" w:fill="auto"/>
            <w:vAlign w:val="center"/>
          </w:tcPr>
          <w:p>
            <w:pPr>
              <w:rPr>
                <w:rFonts w:ascii="方正书宋_GBK" w:hAnsi="宋体" w:eastAsia="方正书宋_GBK" w:cs="宋体"/>
                <w:color w:val="000000"/>
                <w:sz w:val="21"/>
                <w:szCs w:val="21"/>
              </w:rPr>
            </w:pP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536"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统战对象满意度</w:t>
            </w:r>
          </w:p>
        </w:tc>
        <w:tc>
          <w:tcPr>
            <w:tcW w:w="692"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20分</w:t>
            </w:r>
          </w:p>
        </w:tc>
        <w:tc>
          <w:tcPr>
            <w:tcW w:w="1636" w:type="pc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统战对象满意数量占总数的比例。</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356" w:type="pc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按照上级部门工作目标</w:t>
            </w:r>
          </w:p>
        </w:tc>
      </w:tr>
    </w:tbl>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1、归国华侨退休生活补贴经费绩效目标表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1.根据关于归侨职工退休后发放生活补贴的通知，按要求做好符合条件的归侨职工退休后发放生活补贴事宜。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发放生活补贴</w:t>
            </w:r>
          </w:p>
        </w:tc>
        <w:tc>
          <w:tcPr>
            <w:tcW w:w="2835" w:type="dxa"/>
            <w:vAlign w:val="center"/>
          </w:tcPr>
          <w:p>
            <w:pPr>
              <w:pStyle w:val="17"/>
            </w:pPr>
            <w:r>
              <w:t>按照文件要求做好两名归国华侨补贴发放工作</w:t>
            </w:r>
          </w:p>
        </w:tc>
        <w:tc>
          <w:tcPr>
            <w:tcW w:w="2551" w:type="dxa"/>
            <w:vAlign w:val="center"/>
          </w:tcPr>
          <w:p>
            <w:pPr>
              <w:pStyle w:val="17"/>
            </w:pPr>
            <w:r>
              <w:t>2名</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生活补贴足额发放率</w:t>
            </w:r>
          </w:p>
        </w:tc>
        <w:tc>
          <w:tcPr>
            <w:tcW w:w="2835" w:type="dxa"/>
            <w:vAlign w:val="center"/>
          </w:tcPr>
          <w:p>
            <w:pPr>
              <w:pStyle w:val="17"/>
            </w:pPr>
            <w:r>
              <w:t>足额发放补贴的月数占全年月数的比率</w:t>
            </w:r>
          </w:p>
        </w:tc>
        <w:tc>
          <w:tcPr>
            <w:tcW w:w="2551" w:type="dxa"/>
            <w:vAlign w:val="center"/>
          </w:tcPr>
          <w:p>
            <w:pPr>
              <w:pStyle w:val="17"/>
            </w:pPr>
            <w:r>
              <w:t>≥90%</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及时发放生活补贴占全年12个月的比率</w:t>
            </w:r>
          </w:p>
        </w:tc>
        <w:tc>
          <w:tcPr>
            <w:tcW w:w="2551" w:type="dxa"/>
            <w:vAlign w:val="center"/>
          </w:tcPr>
          <w:p>
            <w:pPr>
              <w:pStyle w:val="17"/>
            </w:pPr>
            <w:r>
              <w:t>≥90%</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控制项目成本</w:t>
            </w:r>
          </w:p>
        </w:tc>
        <w:tc>
          <w:tcPr>
            <w:tcW w:w="2835" w:type="dxa"/>
            <w:vAlign w:val="center"/>
          </w:tcPr>
          <w:p>
            <w:pPr>
              <w:pStyle w:val="17"/>
            </w:pPr>
            <w:r>
              <w:t>控制本项工作不超项目预算</w:t>
            </w:r>
          </w:p>
        </w:tc>
        <w:tc>
          <w:tcPr>
            <w:tcW w:w="2551" w:type="dxa"/>
            <w:vAlign w:val="center"/>
          </w:tcPr>
          <w:p>
            <w:pPr>
              <w:pStyle w:val="17"/>
            </w:pPr>
            <w:r>
              <w:t>2400元</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切实服务归国华侨，提高幸福高归属感</w:t>
            </w:r>
          </w:p>
        </w:tc>
        <w:tc>
          <w:tcPr>
            <w:tcW w:w="2835" w:type="dxa"/>
            <w:vAlign w:val="center"/>
          </w:tcPr>
          <w:p>
            <w:pPr>
              <w:pStyle w:val="17"/>
            </w:pPr>
            <w:r>
              <w:t>发放符合条件的归国华侨生活补贴，体现党对归国华侨的关心、关怀，提高他们的获得感和幸福感</w:t>
            </w:r>
          </w:p>
        </w:tc>
        <w:tc>
          <w:tcPr>
            <w:tcW w:w="2551" w:type="dxa"/>
            <w:vAlign w:val="center"/>
          </w:tcPr>
          <w:p>
            <w:pPr>
              <w:pStyle w:val="17"/>
            </w:pPr>
            <w:r>
              <w:t>稳步推进</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每月做好归国华侨生活补贴发放工作</w:t>
            </w:r>
          </w:p>
        </w:tc>
        <w:tc>
          <w:tcPr>
            <w:tcW w:w="2835" w:type="dxa"/>
            <w:vAlign w:val="center"/>
          </w:tcPr>
          <w:p>
            <w:pPr>
              <w:pStyle w:val="17"/>
            </w:pPr>
            <w:r>
              <w:t>做好归侨侨眷的贴心人，切实为侨服务</w:t>
            </w:r>
          </w:p>
        </w:tc>
        <w:tc>
          <w:tcPr>
            <w:tcW w:w="2551" w:type="dxa"/>
            <w:vAlign w:val="center"/>
          </w:tcPr>
          <w:p>
            <w:pPr>
              <w:pStyle w:val="17"/>
            </w:pPr>
            <w:r>
              <w:t>稳步推进</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提高归国华侨的经济收入</w:t>
            </w:r>
          </w:p>
        </w:tc>
        <w:tc>
          <w:tcPr>
            <w:tcW w:w="2835" w:type="dxa"/>
            <w:vAlign w:val="center"/>
          </w:tcPr>
          <w:p>
            <w:pPr>
              <w:pStyle w:val="17"/>
            </w:pPr>
            <w:r>
              <w:t>提高经济收入，提升归国华侨的生活质量</w:t>
            </w:r>
          </w:p>
        </w:tc>
        <w:tc>
          <w:tcPr>
            <w:tcW w:w="2551" w:type="dxa"/>
            <w:vAlign w:val="center"/>
          </w:tcPr>
          <w:p>
            <w:pPr>
              <w:pStyle w:val="17"/>
            </w:pPr>
            <w:r>
              <w:t>稳步推进</w:t>
            </w:r>
          </w:p>
        </w:tc>
        <w:tc>
          <w:tcPr>
            <w:tcW w:w="2268" w:type="dxa"/>
            <w:vAlign w:val="center"/>
          </w:tcPr>
          <w:p>
            <w:pPr>
              <w:pStyle w:val="17"/>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归国华侨满意度</w:t>
            </w:r>
          </w:p>
        </w:tc>
        <w:tc>
          <w:tcPr>
            <w:tcW w:w="2835" w:type="dxa"/>
            <w:vAlign w:val="center"/>
          </w:tcPr>
          <w:p>
            <w:pPr>
              <w:pStyle w:val="17"/>
            </w:pPr>
            <w:r>
              <w:t>发放生活补贴的归国华侨占辖区全部归国华侨满意度的比率</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2、宗教综合治理工作经费绩效目标表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1.开展宗教领域问题系统治理和专项整治。从根本上遏制宗教渗透蔓延，构建长效管理机制。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开展治理工作次数完成率</w:t>
            </w:r>
          </w:p>
        </w:tc>
        <w:tc>
          <w:tcPr>
            <w:tcW w:w="2835" w:type="dxa"/>
            <w:vAlign w:val="center"/>
          </w:tcPr>
          <w:p>
            <w:pPr>
              <w:pStyle w:val="17"/>
            </w:pPr>
            <w:r>
              <w:t>村、镇、区级开展治理工作的次数与文件要求开展治理工作次数的比例</w:t>
            </w:r>
          </w:p>
        </w:tc>
        <w:tc>
          <w:tcPr>
            <w:tcW w:w="2551" w:type="dxa"/>
            <w:vAlign w:val="center"/>
          </w:tcPr>
          <w:p>
            <w:pPr>
              <w:pStyle w:val="17"/>
            </w:pPr>
            <w:r>
              <w:t>≥98%</w:t>
            </w:r>
          </w:p>
        </w:tc>
        <w:tc>
          <w:tcPr>
            <w:tcW w:w="2268" w:type="dxa"/>
            <w:vAlign w:val="center"/>
          </w:tcPr>
          <w:p>
            <w:pPr>
              <w:pStyle w:val="17"/>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开展治理工作质量达标率</w:t>
            </w:r>
          </w:p>
        </w:tc>
        <w:tc>
          <w:tcPr>
            <w:tcW w:w="2835" w:type="dxa"/>
            <w:vAlign w:val="center"/>
          </w:tcPr>
          <w:p>
            <w:pPr>
              <w:pStyle w:val="17"/>
            </w:pPr>
            <w:r>
              <w:t>治理工作质量达标的次数与文件要求开展治理工作次数的比例</w:t>
            </w:r>
          </w:p>
        </w:tc>
        <w:tc>
          <w:tcPr>
            <w:tcW w:w="2551" w:type="dxa"/>
            <w:vAlign w:val="center"/>
          </w:tcPr>
          <w:p>
            <w:pPr>
              <w:pStyle w:val="17"/>
            </w:pPr>
            <w:r>
              <w:t>≥98%</w:t>
            </w:r>
          </w:p>
        </w:tc>
        <w:tc>
          <w:tcPr>
            <w:tcW w:w="2268" w:type="dxa"/>
            <w:vAlign w:val="center"/>
          </w:tcPr>
          <w:p>
            <w:pPr>
              <w:pStyle w:val="17"/>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开展治理工作及时率</w:t>
            </w:r>
          </w:p>
        </w:tc>
        <w:tc>
          <w:tcPr>
            <w:tcW w:w="2835" w:type="dxa"/>
            <w:vAlign w:val="center"/>
          </w:tcPr>
          <w:p>
            <w:pPr>
              <w:pStyle w:val="17"/>
            </w:pPr>
            <w:r>
              <w:t>及时开展治理工作的次数与文件要求开展治理工作次数的比例</w:t>
            </w:r>
          </w:p>
        </w:tc>
        <w:tc>
          <w:tcPr>
            <w:tcW w:w="2551" w:type="dxa"/>
            <w:vAlign w:val="center"/>
          </w:tcPr>
          <w:p>
            <w:pPr>
              <w:pStyle w:val="17"/>
            </w:pPr>
            <w:r>
              <w:t>≥98%</w:t>
            </w:r>
          </w:p>
        </w:tc>
        <w:tc>
          <w:tcPr>
            <w:tcW w:w="2268" w:type="dxa"/>
            <w:vAlign w:val="center"/>
          </w:tcPr>
          <w:p>
            <w:pPr>
              <w:pStyle w:val="17"/>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项目实际支出金额与预算金额的比例</w:t>
            </w:r>
          </w:p>
        </w:tc>
        <w:tc>
          <w:tcPr>
            <w:tcW w:w="2551" w:type="dxa"/>
            <w:vAlign w:val="center"/>
          </w:tcPr>
          <w:p>
            <w:pPr>
              <w:pStyle w:val="17"/>
            </w:pPr>
            <w:r>
              <w:t>≤100%</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宗教领域重大突发案件降低率</w:t>
            </w:r>
          </w:p>
        </w:tc>
        <w:tc>
          <w:tcPr>
            <w:tcW w:w="2835" w:type="dxa"/>
            <w:vAlign w:val="center"/>
          </w:tcPr>
          <w:p>
            <w:pPr>
              <w:pStyle w:val="17"/>
            </w:pPr>
            <w:r>
              <w:t>宗教领域重大突发案件较去年降低的比例</w:t>
            </w:r>
          </w:p>
        </w:tc>
        <w:tc>
          <w:tcPr>
            <w:tcW w:w="2551" w:type="dxa"/>
            <w:vAlign w:val="center"/>
          </w:tcPr>
          <w:p>
            <w:pPr>
              <w:pStyle w:val="17"/>
            </w:pPr>
            <w:r>
              <w:t>≥10%</w:t>
            </w:r>
          </w:p>
        </w:tc>
        <w:tc>
          <w:tcPr>
            <w:tcW w:w="2268" w:type="dxa"/>
            <w:vAlign w:val="center"/>
          </w:tcPr>
          <w:p>
            <w:pPr>
              <w:pStyle w:val="17"/>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宗教信访案件降低率</w:t>
            </w:r>
          </w:p>
        </w:tc>
        <w:tc>
          <w:tcPr>
            <w:tcW w:w="2835" w:type="dxa"/>
            <w:vAlign w:val="center"/>
          </w:tcPr>
          <w:p>
            <w:pPr>
              <w:pStyle w:val="17"/>
            </w:pPr>
            <w:r>
              <w:t>宗教信访案件较去年降低的比例</w:t>
            </w:r>
          </w:p>
        </w:tc>
        <w:tc>
          <w:tcPr>
            <w:tcW w:w="2551" w:type="dxa"/>
            <w:vAlign w:val="center"/>
          </w:tcPr>
          <w:p>
            <w:pPr>
              <w:pStyle w:val="17"/>
            </w:pPr>
            <w:r>
              <w:t>≥10%</w:t>
            </w:r>
          </w:p>
        </w:tc>
        <w:tc>
          <w:tcPr>
            <w:tcW w:w="2268" w:type="dxa"/>
            <w:vAlign w:val="center"/>
          </w:tcPr>
          <w:p>
            <w:pPr>
              <w:pStyle w:val="17"/>
            </w:pPr>
            <w:r>
              <w:t>稳步推进宗教领域和谐稳定局面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监管宗教场所经济收入合理化</w:t>
            </w:r>
          </w:p>
        </w:tc>
        <w:tc>
          <w:tcPr>
            <w:tcW w:w="2835" w:type="dxa"/>
            <w:vAlign w:val="center"/>
          </w:tcPr>
          <w:p>
            <w:pPr>
              <w:pStyle w:val="17"/>
            </w:pPr>
            <w:r>
              <w:t>监管宗教场所开支流程合理规范</w:t>
            </w:r>
          </w:p>
        </w:tc>
        <w:tc>
          <w:tcPr>
            <w:tcW w:w="2551" w:type="dxa"/>
            <w:vAlign w:val="center"/>
          </w:tcPr>
          <w:p>
            <w:pPr>
              <w:pStyle w:val="17"/>
            </w:pPr>
            <w:r>
              <w:t>稳步推进</w:t>
            </w:r>
          </w:p>
        </w:tc>
        <w:tc>
          <w:tcPr>
            <w:tcW w:w="2268" w:type="dxa"/>
            <w:vAlign w:val="center"/>
          </w:tcPr>
          <w:p>
            <w:pPr>
              <w:pStyle w:val="17"/>
            </w:pPr>
            <w: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信教群众满意度</w:t>
            </w:r>
          </w:p>
        </w:tc>
        <w:tc>
          <w:tcPr>
            <w:tcW w:w="2835" w:type="dxa"/>
            <w:vAlign w:val="center"/>
          </w:tcPr>
          <w:p>
            <w:pPr>
              <w:pStyle w:val="17"/>
            </w:pPr>
            <w:r>
              <w:t>回复满意的人数占抽查到的信教群众人数的比例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2023年，中国共产党廊坊市广阳区委员会统一战线工作部安排政府采购预算0.00万元。具体内容见下表。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中国共产党廊坊市广阳区委员会统一战线工作部（含所属单位）上年末固定资产金额为54.94万元（详见下表）。本年度拟购置固定资产总额为0.00万元，已按要求列入政府采购预算，详见政府采购预算表。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275中国共产党廊坊市广阳区委员会统一战线工作部</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70</w:t>
            </w:r>
          </w:p>
        </w:tc>
        <w:tc>
          <w:tcPr>
            <w:tcW w:w="2835" w:type="dxa"/>
            <w:vAlign w:val="center"/>
          </w:tcPr>
          <w:p>
            <w:pPr>
              <w:pStyle w:val="16"/>
            </w:pPr>
            <w:r>
              <w:t>26.88</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F71A7"/>
    <w:rsid w:val="00323C2D"/>
    <w:rsid w:val="004F71A7"/>
    <w:rsid w:val="006378E1"/>
    <w:rsid w:val="00667010"/>
    <w:rsid w:val="006B7238"/>
    <w:rsid w:val="00952A71"/>
    <w:rsid w:val="009B07AB"/>
    <w:rsid w:val="00B41720"/>
    <w:rsid w:val="11C00F82"/>
    <w:rsid w:val="3AB1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2023-03-13T11:05:28Z</dcterms:created>
  <dcterms:modified xsi:type="dcterms:W3CDTF">2023-03-13T03:05:28Z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2023-03-13T11:05:31Z</dcterms:created>
  <dcterms:modified xsi:type="dcterms:W3CDTF">2023-03-13T03:05:31Z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2023-03-13T11:05:32Z</dcterms:created>
  <dcterms:modified xsi:type="dcterms:W3CDTF">2023-03-13T03:05:32Z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2023-03-13T11:05:28Z</dcterms:created>
  <dcterms:modified xsi:type="dcterms:W3CDTF">2023-03-13T03:05:28Z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2023-03-13T11:05:33Z</dcterms:created>
  <dcterms:modified xsi:type="dcterms:W3CDTF">2023-03-13T03:05:33Z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2023-03-13T11:05:32Z</dcterms:created>
  <dcterms:modified xsi:type="dcterms:W3CDTF">2023-03-13T03:05:32Z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80F172-638F-4825-8953-10FB95B2A856}">
  <ds:schemaRefs/>
</ds:datastoreItem>
</file>

<file path=customXml/itemProps10.xml><?xml version="1.0" encoding="utf-8"?>
<ds:datastoreItem xmlns:ds="http://schemas.openxmlformats.org/officeDocument/2006/customXml" ds:itemID="{546D68CD-EFF6-4F0D-A044-14D71319F355}">
  <ds:schemaRefs/>
</ds:datastoreItem>
</file>

<file path=customXml/itemProps11.xml><?xml version="1.0" encoding="utf-8"?>
<ds:datastoreItem xmlns:ds="http://schemas.openxmlformats.org/officeDocument/2006/customXml" ds:itemID="{3B7EA808-B1B5-430E-A4D5-E6733811A5C4}">
  <ds:schemaRefs/>
</ds:datastoreItem>
</file>

<file path=customXml/itemProps12.xml><?xml version="1.0" encoding="utf-8"?>
<ds:datastoreItem xmlns:ds="http://schemas.openxmlformats.org/officeDocument/2006/customXml" ds:itemID="{EFCBD095-A6FB-48CC-BCFD-170DF2A1E805}">
  <ds:schemaRefs/>
</ds:datastoreItem>
</file>

<file path=customXml/itemProps13.xml><?xml version="1.0" encoding="utf-8"?>
<ds:datastoreItem xmlns:ds="http://schemas.openxmlformats.org/officeDocument/2006/customXml" ds:itemID="{34C45EFC-B5B1-4D90-9418-D1CAD1A1AD5A}">
  <ds:schemaRefs/>
</ds:datastoreItem>
</file>

<file path=customXml/itemProps14.xml><?xml version="1.0" encoding="utf-8"?>
<ds:datastoreItem xmlns:ds="http://schemas.openxmlformats.org/officeDocument/2006/customXml" ds:itemID="{40E2BDC6-300C-4B0A-824A-939B6B9264F3}">
  <ds:schemaRefs/>
</ds:datastoreItem>
</file>

<file path=customXml/itemProps15.xml><?xml version="1.0" encoding="utf-8"?>
<ds:datastoreItem xmlns:ds="http://schemas.openxmlformats.org/officeDocument/2006/customXml" ds:itemID="{C931C63E-91CC-4601-A5B2-3AE91B3F036D}">
  <ds:schemaRefs/>
</ds:datastoreItem>
</file>

<file path=customXml/itemProps16.xml><?xml version="1.0" encoding="utf-8"?>
<ds:datastoreItem xmlns:ds="http://schemas.openxmlformats.org/officeDocument/2006/customXml" ds:itemID="{2CAE4D1B-FA28-4284-A5FF-61CD6FDB9B87}">
  <ds:schemaRefs/>
</ds:datastoreItem>
</file>

<file path=customXml/itemProps17.xml><?xml version="1.0" encoding="utf-8"?>
<ds:datastoreItem xmlns:ds="http://schemas.openxmlformats.org/officeDocument/2006/customXml" ds:itemID="{8D2ED972-F3A4-4180-BF37-EE2FB22A3926}">
  <ds:schemaRefs/>
</ds:datastoreItem>
</file>

<file path=customXml/itemProps18.xml><?xml version="1.0" encoding="utf-8"?>
<ds:datastoreItem xmlns:ds="http://schemas.openxmlformats.org/officeDocument/2006/customXml" ds:itemID="{C7E20197-F71F-434A-85EC-48557B38BE1E}">
  <ds:schemaRefs/>
</ds:datastoreItem>
</file>

<file path=customXml/itemProps2.xml><?xml version="1.0" encoding="utf-8"?>
<ds:datastoreItem xmlns:ds="http://schemas.openxmlformats.org/officeDocument/2006/customXml" ds:itemID="{68D35814-70DA-4C0E-B4C7-BE3F5A6DEEAF}">
  <ds:schemaRefs/>
</ds:datastoreItem>
</file>

<file path=customXml/itemProps3.xml><?xml version="1.0" encoding="utf-8"?>
<ds:datastoreItem xmlns:ds="http://schemas.openxmlformats.org/officeDocument/2006/customXml" ds:itemID="{E81866C3-B35A-4FD0-A3EB-CB70BEFAB5ED}">
  <ds:schemaRefs/>
</ds:datastoreItem>
</file>

<file path=customXml/itemProps4.xml><?xml version="1.0" encoding="utf-8"?>
<ds:datastoreItem xmlns:ds="http://schemas.openxmlformats.org/officeDocument/2006/customXml" ds:itemID="{53D17127-C988-4BD7-93C9-34970FFCC85C}">
  <ds:schemaRefs/>
</ds:datastoreItem>
</file>

<file path=customXml/itemProps5.xml><?xml version="1.0" encoding="utf-8"?>
<ds:datastoreItem xmlns:ds="http://schemas.openxmlformats.org/officeDocument/2006/customXml" ds:itemID="{C9B5E94F-5EC3-49A5-8A72-66376E4FCFCE}">
  <ds:schemaRefs/>
</ds:datastoreItem>
</file>

<file path=customXml/itemProps6.xml><?xml version="1.0" encoding="utf-8"?>
<ds:datastoreItem xmlns:ds="http://schemas.openxmlformats.org/officeDocument/2006/customXml" ds:itemID="{189102E3-99E6-464B-9C9D-0AC576BCFF83}">
  <ds:schemaRefs/>
</ds:datastoreItem>
</file>

<file path=customXml/itemProps7.xml><?xml version="1.0" encoding="utf-8"?>
<ds:datastoreItem xmlns:ds="http://schemas.openxmlformats.org/officeDocument/2006/customXml" ds:itemID="{F19C45F2-4DE7-4D20-9F37-3DD02CCEB18F}">
  <ds:schemaRefs/>
</ds:datastoreItem>
</file>

<file path=customXml/itemProps8.xml><?xml version="1.0" encoding="utf-8"?>
<ds:datastoreItem xmlns:ds="http://schemas.openxmlformats.org/officeDocument/2006/customXml" ds:itemID="{AB563804-6D58-4FEB-957F-9D1E8C0746F8}">
  <ds:schemaRefs/>
</ds:datastoreItem>
</file>

<file path=customXml/itemProps9.xml><?xml version="1.0" encoding="utf-8"?>
<ds:datastoreItem xmlns:ds="http://schemas.openxmlformats.org/officeDocument/2006/customXml" ds:itemID="{3B4F1A3F-9F79-4CC4-B9B2-089722E0AB06}">
  <ds:schemaRefs/>
</ds:datastoreItem>
</file>

<file path=docProps/app.xml><?xml version="1.0" encoding="utf-8"?>
<Properties xmlns="http://schemas.openxmlformats.org/officeDocument/2006/extended-properties" xmlns:vt="http://schemas.openxmlformats.org/officeDocument/2006/docPropsVTypes">
  <Template>Normal</Template>
  <Pages>31</Pages>
  <Words>1878</Words>
  <Characters>10711</Characters>
  <Lines>89</Lines>
  <Paragraphs>25</Paragraphs>
  <TotalTime>15</TotalTime>
  <ScaleCrop>false</ScaleCrop>
  <LinksUpToDate>false</LinksUpToDate>
  <CharactersWithSpaces>12564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111</cp:lastModifiedBy>
  <dcterms:modified xsi:type="dcterms:W3CDTF">2024-05-14T07:53:54Z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50E48779C0AC4F0A9AFE5B9BEEE938C9</vt:lpwstr>
  </property>
</Properties>
</file>