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部门预算收支总表</w:t>
      </w:r>
      <w:r>
        <w:rPr>
          <w:rStyle w:val="9"/>
        </w:rPr>
        <w:tab/>
      </w:r>
      <w:r>
        <w:rPr>
          <w:rStyle w:val="9"/>
        </w:rPr>
        <w:t>3</w:t>
      </w:r>
      <w:r>
        <w:rPr>
          <w:rStyle w:val="9"/>
        </w:rPr>
        <w:fldChar w:fldCharType="end"/>
      </w:r>
    </w:p>
    <w:p>
      <w:pPr>
        <w:pStyle w:val="3"/>
        <w:tabs>
          <w:tab w:val="right" w:leader="dot" w:pos="14562"/>
        </w:tabs>
      </w:pPr>
      <w:r>
        <w:fldChar w:fldCharType="begin"/>
      </w:r>
      <w:r>
        <w:instrText xml:space="preserve"> HYPERLINK \l "tz_0001_0002" </w:instrText>
      </w:r>
      <w:r>
        <w:fldChar w:fldCharType="separate"/>
      </w:r>
      <w:r>
        <w:rPr>
          <w:rStyle w:val="9"/>
        </w:rPr>
        <w:t>部门预算收入总表</w:t>
      </w:r>
      <w:r>
        <w:rPr>
          <w:rStyle w:val="9"/>
        </w:rPr>
        <w:tab/>
      </w:r>
      <w:r>
        <w:rPr>
          <w:rStyle w:val="9"/>
        </w:rPr>
        <w:t>5</w:t>
      </w:r>
      <w:r>
        <w:rPr>
          <w:rStyle w:val="9"/>
        </w:rPr>
        <w:fldChar w:fldCharType="end"/>
      </w:r>
    </w:p>
    <w:p>
      <w:pPr>
        <w:pStyle w:val="3"/>
        <w:tabs>
          <w:tab w:val="right" w:leader="dot" w:pos="14562"/>
        </w:tabs>
      </w:pPr>
      <w:r>
        <w:fldChar w:fldCharType="begin"/>
      </w:r>
      <w:r>
        <w:instrText xml:space="preserve"> HYPERLINK \l "tz_0001_0003" </w:instrText>
      </w:r>
      <w:r>
        <w:fldChar w:fldCharType="separate"/>
      </w:r>
      <w:r>
        <w:rPr>
          <w:rStyle w:val="9"/>
        </w:rPr>
        <w:t>部门预算支出总表</w:t>
      </w:r>
      <w:r>
        <w:rPr>
          <w:rStyle w:val="9"/>
        </w:rPr>
        <w:tab/>
      </w:r>
      <w:r>
        <w:rPr>
          <w:rStyle w:val="9"/>
        </w:rPr>
        <w:t>7</w:t>
      </w:r>
      <w:r>
        <w:rPr>
          <w:rStyle w:val="9"/>
        </w:rPr>
        <w:fldChar w:fldCharType="end"/>
      </w:r>
    </w:p>
    <w:p>
      <w:pPr>
        <w:pStyle w:val="3"/>
        <w:tabs>
          <w:tab w:val="right" w:leader="dot" w:pos="14562"/>
        </w:tabs>
      </w:pPr>
      <w:r>
        <w:fldChar w:fldCharType="begin"/>
      </w:r>
      <w:r>
        <w:instrText xml:space="preserve"> HYPERLINK \l "tz_0001_0004" </w:instrText>
      </w:r>
      <w:r>
        <w:fldChar w:fldCharType="separate"/>
      </w:r>
      <w:r>
        <w:rPr>
          <w:rStyle w:val="9"/>
        </w:rPr>
        <w:t>部门预算财政拨款收支总表</w:t>
      </w:r>
      <w:r>
        <w:rPr>
          <w:rStyle w:val="9"/>
        </w:rPr>
        <w:tab/>
      </w:r>
      <w:r>
        <w:rPr>
          <w:rStyle w:val="9"/>
        </w:rPr>
        <w:t>9</w:t>
      </w:r>
      <w:r>
        <w:rPr>
          <w:rStyle w:val="9"/>
        </w:rPr>
        <w:fldChar w:fldCharType="end"/>
      </w:r>
    </w:p>
    <w:p>
      <w:pPr>
        <w:pStyle w:val="3"/>
        <w:tabs>
          <w:tab w:val="right" w:leader="dot" w:pos="14562"/>
        </w:tabs>
      </w:pPr>
      <w:r>
        <w:fldChar w:fldCharType="begin"/>
      </w:r>
      <w:r>
        <w:instrText xml:space="preserve"> HYPERLINK \l "tz_0001_0005" </w:instrText>
      </w:r>
      <w:r>
        <w:fldChar w:fldCharType="separate"/>
      </w:r>
      <w:r>
        <w:rPr>
          <w:rStyle w:val="9"/>
        </w:rPr>
        <w:t>部门预算一般公共预算财政拨款支出表</w:t>
      </w:r>
      <w:r>
        <w:rPr>
          <w:rStyle w:val="9"/>
        </w:rPr>
        <w:tab/>
      </w:r>
      <w:r>
        <w:rPr>
          <w:rStyle w:val="9"/>
        </w:rPr>
        <w:t>12</w:t>
      </w:r>
      <w:r>
        <w:rPr>
          <w:rStyle w:val="9"/>
        </w:rPr>
        <w:fldChar w:fldCharType="end"/>
      </w:r>
    </w:p>
    <w:p>
      <w:pPr>
        <w:pStyle w:val="3"/>
        <w:tabs>
          <w:tab w:val="right" w:leader="dot" w:pos="14562"/>
        </w:tabs>
      </w:pPr>
      <w:r>
        <w:fldChar w:fldCharType="begin"/>
      </w:r>
      <w:r>
        <w:instrText xml:space="preserve"> HYPERLINK \l "tz_0001_0006" </w:instrText>
      </w:r>
      <w:r>
        <w:fldChar w:fldCharType="separate"/>
      </w:r>
      <w:r>
        <w:rPr>
          <w:rStyle w:val="9"/>
        </w:rPr>
        <w:t>部门预算一般公共预算财政拨款基本支出表</w:t>
      </w:r>
      <w:r>
        <w:rPr>
          <w:rStyle w:val="9"/>
        </w:rPr>
        <w:tab/>
      </w:r>
      <w:r>
        <w:rPr>
          <w:rStyle w:val="9"/>
        </w:rPr>
        <w:t>13</w:t>
      </w:r>
      <w:r>
        <w:rPr>
          <w:rStyle w:val="9"/>
        </w:rPr>
        <w:fldChar w:fldCharType="end"/>
      </w:r>
    </w:p>
    <w:p>
      <w:pPr>
        <w:pStyle w:val="3"/>
        <w:tabs>
          <w:tab w:val="right" w:leader="dot" w:pos="14562"/>
        </w:tabs>
      </w:pPr>
      <w:r>
        <w:fldChar w:fldCharType="begin"/>
      </w:r>
      <w:r>
        <w:instrText xml:space="preserve"> HYPERLINK \l "tz_0001_0007" </w:instrText>
      </w:r>
      <w:r>
        <w:fldChar w:fldCharType="separate"/>
      </w:r>
      <w:r>
        <w:rPr>
          <w:rStyle w:val="9"/>
        </w:rPr>
        <w:t>部门预算政府基金预算财政拨款支出表</w:t>
      </w:r>
      <w:r>
        <w:rPr>
          <w:rStyle w:val="9"/>
        </w:rPr>
        <w:tab/>
      </w:r>
      <w:r>
        <w:rPr>
          <w:rStyle w:val="9"/>
        </w:rPr>
        <w:t>15</w:t>
      </w:r>
      <w:r>
        <w:rPr>
          <w:rStyle w:val="9"/>
        </w:rPr>
        <w:fldChar w:fldCharType="end"/>
      </w:r>
    </w:p>
    <w:p>
      <w:pPr>
        <w:pStyle w:val="3"/>
        <w:tabs>
          <w:tab w:val="right" w:leader="dot" w:pos="14562"/>
        </w:tabs>
      </w:pPr>
      <w:r>
        <w:fldChar w:fldCharType="begin"/>
      </w:r>
      <w:r>
        <w:instrText xml:space="preserve"> HYPERLINK \l "tz_0001_0008" </w:instrText>
      </w:r>
      <w:r>
        <w:fldChar w:fldCharType="separate"/>
      </w:r>
      <w:r>
        <w:rPr>
          <w:rStyle w:val="9"/>
        </w:rPr>
        <w:t>部门预算国有资本经营预算财政拨款支出表</w:t>
      </w:r>
      <w:r>
        <w:rPr>
          <w:rStyle w:val="9"/>
        </w:rPr>
        <w:tab/>
      </w:r>
      <w:r>
        <w:rPr>
          <w:rStyle w:val="9"/>
        </w:rPr>
        <w:t>16</w:t>
      </w:r>
      <w:r>
        <w:rPr>
          <w:rStyle w:val="9"/>
        </w:rPr>
        <w:fldChar w:fldCharType="end"/>
      </w:r>
    </w:p>
    <w:p>
      <w:pPr>
        <w:pStyle w:val="3"/>
        <w:tabs>
          <w:tab w:val="right" w:leader="dot" w:pos="14562"/>
        </w:tabs>
      </w:pPr>
      <w:r>
        <w:fldChar w:fldCharType="begin"/>
      </w:r>
      <w:r>
        <w:instrText xml:space="preserve"> HYPERLINK \l "tz_0001_0009" </w:instrText>
      </w:r>
      <w:r>
        <w:fldChar w:fldCharType="separate"/>
      </w:r>
      <w:r>
        <w:rPr>
          <w:rStyle w:val="9"/>
        </w:rPr>
        <w:t>部门预算财政拨款“三公”经费支出表</w:t>
      </w:r>
      <w:r>
        <w:rPr>
          <w:rStyle w:val="9"/>
        </w:rPr>
        <w:tab/>
      </w:r>
      <w:r>
        <w:rPr>
          <w:rStyle w:val="9"/>
        </w:rPr>
        <w:t>17</w:t>
      </w:r>
      <w:r>
        <w:rPr>
          <w:rStyle w:val="9"/>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一、部门职责及机构设置情况</w:t>
      </w:r>
      <w:r>
        <w:rPr>
          <w:rStyle w:val="9"/>
        </w:rPr>
        <w:tab/>
      </w:r>
      <w:r>
        <w:rPr>
          <w:rStyle w:val="9"/>
        </w:rPr>
        <w:t>18</w:t>
      </w:r>
      <w:r>
        <w:rPr>
          <w:rStyle w:val="9"/>
        </w:rPr>
        <w:fldChar w:fldCharType="end"/>
      </w:r>
    </w:p>
    <w:p>
      <w:pPr>
        <w:pStyle w:val="3"/>
        <w:tabs>
          <w:tab w:val="right" w:leader="dot" w:pos="14562"/>
        </w:tabs>
      </w:pPr>
      <w:r>
        <w:fldChar w:fldCharType="begin"/>
      </w:r>
      <w:r>
        <w:instrText xml:space="preserve"> HYPERLINK \l "tz_0002_0002" </w:instrText>
      </w:r>
      <w:r>
        <w:fldChar w:fldCharType="separate"/>
      </w:r>
      <w:r>
        <w:rPr>
          <w:rStyle w:val="9"/>
        </w:rPr>
        <w:t>二、部门预算安排的总体情况</w:t>
      </w:r>
      <w:r>
        <w:rPr>
          <w:rStyle w:val="9"/>
        </w:rPr>
        <w:tab/>
      </w:r>
      <w:r>
        <w:rPr>
          <w:rStyle w:val="9"/>
        </w:rPr>
        <w:t>20</w:t>
      </w:r>
      <w:r>
        <w:rPr>
          <w:rStyle w:val="9"/>
        </w:rPr>
        <w:fldChar w:fldCharType="end"/>
      </w:r>
    </w:p>
    <w:p>
      <w:pPr>
        <w:pStyle w:val="3"/>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20</w:t>
      </w:r>
      <w:r>
        <w:rPr>
          <w:rStyle w:val="9"/>
        </w:rPr>
        <w:fldChar w:fldCharType="end"/>
      </w:r>
    </w:p>
    <w:p>
      <w:pPr>
        <w:pStyle w:val="3"/>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21</w:t>
      </w:r>
      <w:r>
        <w:rPr>
          <w:rStyle w:val="9"/>
        </w:rPr>
        <w:fldChar w:fldCharType="end"/>
      </w:r>
    </w:p>
    <w:p>
      <w:pPr>
        <w:pStyle w:val="3"/>
        <w:tabs>
          <w:tab w:val="right" w:leader="dot" w:pos="14562"/>
        </w:tabs>
      </w:pPr>
      <w:r>
        <w:fldChar w:fldCharType="begin"/>
      </w:r>
      <w:r>
        <w:instrText xml:space="preserve"> HYPERLINK \l "tz_0002_0005" </w:instrText>
      </w:r>
      <w:r>
        <w:fldChar w:fldCharType="separate"/>
      </w:r>
      <w:r>
        <w:rPr>
          <w:rStyle w:val="9"/>
        </w:rPr>
        <w:t>五、预算绩效信息</w:t>
      </w:r>
      <w:r>
        <w:rPr>
          <w:rStyle w:val="9"/>
        </w:rPr>
        <w:tab/>
      </w:r>
      <w:r>
        <w:rPr>
          <w:rStyle w:val="9"/>
        </w:rPr>
        <w:t>21</w:t>
      </w:r>
      <w:r>
        <w:rPr>
          <w:rStyle w:val="9"/>
        </w:rPr>
        <w:fldChar w:fldCharType="end"/>
      </w:r>
    </w:p>
    <w:p>
      <w:pPr>
        <w:pStyle w:val="3"/>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28</w:t>
      </w:r>
      <w:r>
        <w:rPr>
          <w:rStyle w:val="9"/>
        </w:rPr>
        <w:fldChar w:fldCharType="end"/>
      </w:r>
    </w:p>
    <w:p>
      <w:pPr>
        <w:pStyle w:val="3"/>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28</w:t>
      </w:r>
      <w:r>
        <w:rPr>
          <w:rStyle w:val="9"/>
        </w:rPr>
        <w:fldChar w:fldCharType="end"/>
      </w:r>
    </w:p>
    <w:p>
      <w:pPr>
        <w:pStyle w:val="3"/>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29</w:t>
      </w:r>
      <w:r>
        <w:rPr>
          <w:rStyle w:val="9"/>
        </w:rPr>
        <w:fldChar w:fldCharType="end"/>
      </w:r>
    </w:p>
    <w:p>
      <w:pPr>
        <w:pStyle w:val="3"/>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30</w:t>
      </w:r>
      <w:r>
        <w:rPr>
          <w:rStyle w:val="9"/>
        </w:rPr>
        <w:fldChar w:fldCharType="end"/>
      </w:r>
    </w:p>
    <w:p>
      <w:r>
        <w:fldChar w:fldCharType="end"/>
      </w:r>
    </w:p>
    <w:p>
      <w:pPr>
        <w:pStyle w:val="3"/>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161廊坊市广阳区行政审批局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901.95</w:t>
            </w:r>
          </w:p>
        </w:tc>
        <w:tc>
          <w:tcPr>
            <w:tcW w:w="4535" w:type="dxa"/>
            <w:vAlign w:val="center"/>
          </w:tcPr>
          <w:p>
            <w:pPr>
              <w:pStyle w:val="15"/>
            </w:pPr>
            <w:r>
              <w:t>一、一般公共服务支出</w:t>
            </w:r>
          </w:p>
        </w:tc>
        <w:tc>
          <w:tcPr>
            <w:tcW w:w="2126" w:type="dxa"/>
            <w:vAlign w:val="center"/>
          </w:tcPr>
          <w:p>
            <w:pPr>
              <w:pStyle w:val="14"/>
            </w:pPr>
            <w:r>
              <w:t>762.85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901.95</w:t>
            </w:r>
          </w:p>
        </w:tc>
        <w:tc>
          <w:tcPr>
            <w:tcW w:w="4535" w:type="dxa"/>
            <w:vAlign w:val="center"/>
          </w:tcPr>
          <w:p>
            <w:pPr>
              <w:pStyle w:val="17"/>
            </w:pPr>
            <w:r>
              <w:t>本年支出合计</w:t>
            </w:r>
          </w:p>
        </w:tc>
        <w:tc>
          <w:tcPr>
            <w:tcW w:w="2126" w:type="dxa"/>
            <w:vAlign w:val="center"/>
          </w:tcPr>
          <w:p>
            <w:pPr>
              <w:pStyle w:val="18"/>
            </w:pPr>
            <w:r>
              <w:t>901.95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901.95</w:t>
            </w:r>
          </w:p>
        </w:tc>
        <w:tc>
          <w:tcPr>
            <w:tcW w:w="4535" w:type="dxa"/>
            <w:vAlign w:val="center"/>
          </w:tcPr>
          <w:p>
            <w:pPr>
              <w:pStyle w:val="17"/>
            </w:pPr>
            <w:r>
              <w:t>支出总计</w:t>
            </w:r>
          </w:p>
        </w:tc>
        <w:tc>
          <w:tcPr>
            <w:tcW w:w="2126" w:type="dxa"/>
            <w:vAlign w:val="center"/>
          </w:tcPr>
          <w:p>
            <w:pPr>
              <w:pStyle w:val="18"/>
            </w:pPr>
            <w:r>
              <w:t>901.95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161廊坊市广阳区行政审批局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901.95</w:t>
            </w:r>
          </w:p>
        </w:tc>
        <w:tc>
          <w:tcPr>
            <w:tcW w:w="1134" w:type="dxa"/>
            <w:vAlign w:val="center"/>
          </w:tcPr>
          <w:p>
            <w:pPr>
              <w:pStyle w:val="18"/>
            </w:pPr>
            <w:r>
              <w:t>901.95</w:t>
            </w:r>
          </w:p>
        </w:tc>
        <w:tc>
          <w:tcPr>
            <w:tcW w:w="1134" w:type="dxa"/>
            <w:vAlign w:val="center"/>
          </w:tcPr>
          <w:p>
            <w:pPr>
              <w:pStyle w:val="18"/>
            </w:pPr>
            <w:r>
              <w:t>901.95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762.85</w:t>
            </w:r>
          </w:p>
        </w:tc>
        <w:tc>
          <w:tcPr>
            <w:tcW w:w="1134" w:type="dxa"/>
            <w:vAlign w:val="center"/>
          </w:tcPr>
          <w:p>
            <w:pPr>
              <w:pStyle w:val="14"/>
            </w:pPr>
            <w:r>
              <w:t>762.85</w:t>
            </w:r>
          </w:p>
        </w:tc>
        <w:tc>
          <w:tcPr>
            <w:tcW w:w="1134" w:type="dxa"/>
            <w:vAlign w:val="center"/>
          </w:tcPr>
          <w:p>
            <w:pPr>
              <w:pStyle w:val="14"/>
            </w:pPr>
            <w:r>
              <w:t>762.85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762.85</w:t>
            </w:r>
          </w:p>
        </w:tc>
        <w:tc>
          <w:tcPr>
            <w:tcW w:w="1134" w:type="dxa"/>
            <w:vAlign w:val="center"/>
          </w:tcPr>
          <w:p>
            <w:pPr>
              <w:pStyle w:val="14"/>
            </w:pPr>
            <w:r>
              <w:t>762.85</w:t>
            </w:r>
          </w:p>
        </w:tc>
        <w:tc>
          <w:tcPr>
            <w:tcW w:w="1134" w:type="dxa"/>
            <w:vAlign w:val="center"/>
          </w:tcPr>
          <w:p>
            <w:pPr>
              <w:pStyle w:val="14"/>
            </w:pPr>
            <w:r>
              <w:t>762.85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762.85</w:t>
            </w:r>
          </w:p>
        </w:tc>
        <w:tc>
          <w:tcPr>
            <w:tcW w:w="1134" w:type="dxa"/>
            <w:vAlign w:val="center"/>
          </w:tcPr>
          <w:p>
            <w:pPr>
              <w:pStyle w:val="14"/>
            </w:pPr>
            <w:r>
              <w:t>762.85</w:t>
            </w:r>
          </w:p>
        </w:tc>
        <w:tc>
          <w:tcPr>
            <w:tcW w:w="1134" w:type="dxa"/>
            <w:vAlign w:val="center"/>
          </w:tcPr>
          <w:p>
            <w:pPr>
              <w:pStyle w:val="14"/>
            </w:pPr>
            <w:r>
              <w:t>762.85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68.86</w:t>
            </w:r>
          </w:p>
        </w:tc>
        <w:tc>
          <w:tcPr>
            <w:tcW w:w="1134" w:type="dxa"/>
            <w:vAlign w:val="center"/>
          </w:tcPr>
          <w:p>
            <w:pPr>
              <w:pStyle w:val="14"/>
            </w:pPr>
            <w:r>
              <w:t>68.86</w:t>
            </w:r>
          </w:p>
        </w:tc>
        <w:tc>
          <w:tcPr>
            <w:tcW w:w="1134" w:type="dxa"/>
            <w:vAlign w:val="center"/>
          </w:tcPr>
          <w:p>
            <w:pPr>
              <w:pStyle w:val="14"/>
            </w:pPr>
            <w:r>
              <w:t>68.86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68.86</w:t>
            </w:r>
          </w:p>
        </w:tc>
        <w:tc>
          <w:tcPr>
            <w:tcW w:w="1134" w:type="dxa"/>
            <w:vAlign w:val="center"/>
          </w:tcPr>
          <w:p>
            <w:pPr>
              <w:pStyle w:val="14"/>
            </w:pPr>
            <w:r>
              <w:t>68.86</w:t>
            </w:r>
          </w:p>
        </w:tc>
        <w:tc>
          <w:tcPr>
            <w:tcW w:w="1134" w:type="dxa"/>
            <w:vAlign w:val="center"/>
          </w:tcPr>
          <w:p>
            <w:pPr>
              <w:pStyle w:val="14"/>
            </w:pPr>
            <w:r>
              <w:t>68.86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7.94</w:t>
            </w:r>
          </w:p>
        </w:tc>
        <w:tc>
          <w:tcPr>
            <w:tcW w:w="1134" w:type="dxa"/>
            <w:vAlign w:val="center"/>
          </w:tcPr>
          <w:p>
            <w:pPr>
              <w:pStyle w:val="14"/>
            </w:pPr>
            <w:r>
              <w:t>7.94</w:t>
            </w:r>
          </w:p>
        </w:tc>
        <w:tc>
          <w:tcPr>
            <w:tcW w:w="1134" w:type="dxa"/>
            <w:vAlign w:val="center"/>
          </w:tcPr>
          <w:p>
            <w:pPr>
              <w:pStyle w:val="14"/>
            </w:pPr>
            <w:r>
              <w:t>7.94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60.92</w:t>
            </w:r>
          </w:p>
        </w:tc>
        <w:tc>
          <w:tcPr>
            <w:tcW w:w="1134" w:type="dxa"/>
            <w:vAlign w:val="center"/>
          </w:tcPr>
          <w:p>
            <w:pPr>
              <w:pStyle w:val="14"/>
            </w:pPr>
            <w:r>
              <w:t>60.92</w:t>
            </w:r>
          </w:p>
        </w:tc>
        <w:tc>
          <w:tcPr>
            <w:tcW w:w="1134" w:type="dxa"/>
            <w:vAlign w:val="center"/>
          </w:tcPr>
          <w:p>
            <w:pPr>
              <w:pStyle w:val="14"/>
            </w:pPr>
            <w:r>
              <w:t>60.92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19.72</w:t>
            </w:r>
          </w:p>
        </w:tc>
        <w:tc>
          <w:tcPr>
            <w:tcW w:w="1134" w:type="dxa"/>
            <w:vAlign w:val="center"/>
          </w:tcPr>
          <w:p>
            <w:pPr>
              <w:pStyle w:val="14"/>
            </w:pPr>
            <w:r>
              <w:t>19.72</w:t>
            </w:r>
          </w:p>
        </w:tc>
        <w:tc>
          <w:tcPr>
            <w:tcW w:w="1134" w:type="dxa"/>
            <w:vAlign w:val="center"/>
          </w:tcPr>
          <w:p>
            <w:pPr>
              <w:pStyle w:val="14"/>
            </w:pPr>
            <w:r>
              <w:t>19.72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19.72</w:t>
            </w:r>
          </w:p>
        </w:tc>
        <w:tc>
          <w:tcPr>
            <w:tcW w:w="1134" w:type="dxa"/>
            <w:vAlign w:val="center"/>
          </w:tcPr>
          <w:p>
            <w:pPr>
              <w:pStyle w:val="14"/>
            </w:pPr>
            <w:r>
              <w:t>19.72</w:t>
            </w:r>
          </w:p>
        </w:tc>
        <w:tc>
          <w:tcPr>
            <w:tcW w:w="1134" w:type="dxa"/>
            <w:vAlign w:val="center"/>
          </w:tcPr>
          <w:p>
            <w:pPr>
              <w:pStyle w:val="14"/>
            </w:pPr>
            <w:r>
              <w:t>19.72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19.72</w:t>
            </w:r>
          </w:p>
        </w:tc>
        <w:tc>
          <w:tcPr>
            <w:tcW w:w="1134" w:type="dxa"/>
            <w:vAlign w:val="center"/>
          </w:tcPr>
          <w:p>
            <w:pPr>
              <w:pStyle w:val="14"/>
            </w:pPr>
            <w:r>
              <w:t>19.72</w:t>
            </w:r>
          </w:p>
        </w:tc>
        <w:tc>
          <w:tcPr>
            <w:tcW w:w="1134" w:type="dxa"/>
            <w:vAlign w:val="center"/>
          </w:tcPr>
          <w:p>
            <w:pPr>
              <w:pStyle w:val="14"/>
            </w:pPr>
            <w:r>
              <w:t>19.72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50.53</w:t>
            </w:r>
          </w:p>
        </w:tc>
        <w:tc>
          <w:tcPr>
            <w:tcW w:w="1134" w:type="dxa"/>
            <w:vAlign w:val="center"/>
          </w:tcPr>
          <w:p>
            <w:pPr>
              <w:pStyle w:val="14"/>
            </w:pPr>
            <w:r>
              <w:t>50.53</w:t>
            </w:r>
          </w:p>
        </w:tc>
        <w:tc>
          <w:tcPr>
            <w:tcW w:w="1134" w:type="dxa"/>
            <w:vAlign w:val="center"/>
          </w:tcPr>
          <w:p>
            <w:pPr>
              <w:pStyle w:val="14"/>
            </w:pPr>
            <w:r>
              <w:t>50.53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50.53</w:t>
            </w:r>
          </w:p>
        </w:tc>
        <w:tc>
          <w:tcPr>
            <w:tcW w:w="1134" w:type="dxa"/>
            <w:vAlign w:val="center"/>
          </w:tcPr>
          <w:p>
            <w:pPr>
              <w:pStyle w:val="14"/>
            </w:pPr>
            <w:r>
              <w:t>50.53</w:t>
            </w:r>
          </w:p>
        </w:tc>
        <w:tc>
          <w:tcPr>
            <w:tcW w:w="1134" w:type="dxa"/>
            <w:vAlign w:val="center"/>
          </w:tcPr>
          <w:p>
            <w:pPr>
              <w:pStyle w:val="14"/>
            </w:pPr>
            <w:r>
              <w:t>50.53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50.53</w:t>
            </w:r>
          </w:p>
        </w:tc>
        <w:tc>
          <w:tcPr>
            <w:tcW w:w="1134" w:type="dxa"/>
            <w:vAlign w:val="center"/>
          </w:tcPr>
          <w:p>
            <w:pPr>
              <w:pStyle w:val="14"/>
            </w:pPr>
            <w:r>
              <w:t>50.53</w:t>
            </w:r>
          </w:p>
        </w:tc>
        <w:tc>
          <w:tcPr>
            <w:tcW w:w="1134" w:type="dxa"/>
            <w:vAlign w:val="center"/>
          </w:tcPr>
          <w:p>
            <w:pPr>
              <w:pStyle w:val="14"/>
            </w:pPr>
            <w:r>
              <w:t>50.53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161廊坊市广阳区行政审批局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901.95</w:t>
            </w:r>
          </w:p>
        </w:tc>
        <w:tc>
          <w:tcPr>
            <w:tcW w:w="1361" w:type="dxa"/>
            <w:vAlign w:val="center"/>
          </w:tcPr>
          <w:p>
            <w:pPr>
              <w:pStyle w:val="18"/>
            </w:pPr>
            <w:r>
              <w:t>817.19</w:t>
            </w:r>
          </w:p>
        </w:tc>
        <w:tc>
          <w:tcPr>
            <w:tcW w:w="1361" w:type="dxa"/>
            <w:vAlign w:val="center"/>
          </w:tcPr>
          <w:p>
            <w:pPr>
              <w:pStyle w:val="18"/>
            </w:pPr>
            <w:r>
              <w:t>84.76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762.85</w:t>
            </w:r>
          </w:p>
        </w:tc>
        <w:tc>
          <w:tcPr>
            <w:tcW w:w="1361" w:type="dxa"/>
            <w:vAlign w:val="center"/>
          </w:tcPr>
          <w:p>
            <w:pPr>
              <w:pStyle w:val="14"/>
            </w:pPr>
            <w:r>
              <w:t>678.09</w:t>
            </w:r>
          </w:p>
        </w:tc>
        <w:tc>
          <w:tcPr>
            <w:tcW w:w="1361" w:type="dxa"/>
            <w:vAlign w:val="center"/>
          </w:tcPr>
          <w:p>
            <w:pPr>
              <w:pStyle w:val="14"/>
            </w:pPr>
            <w:r>
              <w:t>84.76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762.85</w:t>
            </w:r>
          </w:p>
        </w:tc>
        <w:tc>
          <w:tcPr>
            <w:tcW w:w="1361" w:type="dxa"/>
            <w:vAlign w:val="center"/>
          </w:tcPr>
          <w:p>
            <w:pPr>
              <w:pStyle w:val="14"/>
            </w:pPr>
            <w:r>
              <w:t>678.09</w:t>
            </w:r>
          </w:p>
        </w:tc>
        <w:tc>
          <w:tcPr>
            <w:tcW w:w="1361" w:type="dxa"/>
            <w:vAlign w:val="center"/>
          </w:tcPr>
          <w:p>
            <w:pPr>
              <w:pStyle w:val="14"/>
            </w:pPr>
            <w:r>
              <w:t>84.76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762.85</w:t>
            </w:r>
          </w:p>
        </w:tc>
        <w:tc>
          <w:tcPr>
            <w:tcW w:w="1361" w:type="dxa"/>
            <w:vAlign w:val="center"/>
          </w:tcPr>
          <w:p>
            <w:pPr>
              <w:pStyle w:val="14"/>
            </w:pPr>
            <w:r>
              <w:t>678.09</w:t>
            </w:r>
          </w:p>
        </w:tc>
        <w:tc>
          <w:tcPr>
            <w:tcW w:w="1361" w:type="dxa"/>
            <w:vAlign w:val="center"/>
          </w:tcPr>
          <w:p>
            <w:pPr>
              <w:pStyle w:val="14"/>
            </w:pPr>
            <w:r>
              <w:t>84.76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68.86</w:t>
            </w:r>
          </w:p>
        </w:tc>
        <w:tc>
          <w:tcPr>
            <w:tcW w:w="1361" w:type="dxa"/>
            <w:vAlign w:val="center"/>
          </w:tcPr>
          <w:p>
            <w:pPr>
              <w:pStyle w:val="14"/>
            </w:pPr>
            <w:r>
              <w:t>68.86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68.86</w:t>
            </w:r>
          </w:p>
        </w:tc>
        <w:tc>
          <w:tcPr>
            <w:tcW w:w="1361" w:type="dxa"/>
            <w:vAlign w:val="center"/>
          </w:tcPr>
          <w:p>
            <w:pPr>
              <w:pStyle w:val="14"/>
            </w:pPr>
            <w:r>
              <w:t>68.86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7.94</w:t>
            </w:r>
          </w:p>
        </w:tc>
        <w:tc>
          <w:tcPr>
            <w:tcW w:w="1361" w:type="dxa"/>
            <w:vAlign w:val="center"/>
          </w:tcPr>
          <w:p>
            <w:pPr>
              <w:pStyle w:val="14"/>
            </w:pPr>
            <w:r>
              <w:t>7.94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60.92</w:t>
            </w:r>
          </w:p>
        </w:tc>
        <w:tc>
          <w:tcPr>
            <w:tcW w:w="1361" w:type="dxa"/>
            <w:vAlign w:val="center"/>
          </w:tcPr>
          <w:p>
            <w:pPr>
              <w:pStyle w:val="14"/>
            </w:pPr>
            <w:r>
              <w:t>60.92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19.72</w:t>
            </w:r>
          </w:p>
        </w:tc>
        <w:tc>
          <w:tcPr>
            <w:tcW w:w="1361" w:type="dxa"/>
            <w:vAlign w:val="center"/>
          </w:tcPr>
          <w:p>
            <w:pPr>
              <w:pStyle w:val="14"/>
            </w:pPr>
            <w:r>
              <w:t>19.72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19.72</w:t>
            </w:r>
          </w:p>
        </w:tc>
        <w:tc>
          <w:tcPr>
            <w:tcW w:w="1361" w:type="dxa"/>
            <w:vAlign w:val="center"/>
          </w:tcPr>
          <w:p>
            <w:pPr>
              <w:pStyle w:val="14"/>
            </w:pPr>
            <w:r>
              <w:t>19.72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19.72</w:t>
            </w:r>
          </w:p>
        </w:tc>
        <w:tc>
          <w:tcPr>
            <w:tcW w:w="1361" w:type="dxa"/>
            <w:vAlign w:val="center"/>
          </w:tcPr>
          <w:p>
            <w:pPr>
              <w:pStyle w:val="14"/>
            </w:pPr>
            <w:r>
              <w:t>19.72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50.53</w:t>
            </w:r>
          </w:p>
        </w:tc>
        <w:tc>
          <w:tcPr>
            <w:tcW w:w="1361" w:type="dxa"/>
            <w:vAlign w:val="center"/>
          </w:tcPr>
          <w:p>
            <w:pPr>
              <w:pStyle w:val="14"/>
            </w:pPr>
            <w:r>
              <w:t>50.53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50.53</w:t>
            </w:r>
          </w:p>
        </w:tc>
        <w:tc>
          <w:tcPr>
            <w:tcW w:w="1361" w:type="dxa"/>
            <w:vAlign w:val="center"/>
          </w:tcPr>
          <w:p>
            <w:pPr>
              <w:pStyle w:val="14"/>
            </w:pPr>
            <w:r>
              <w:t>50.53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50.53</w:t>
            </w:r>
          </w:p>
        </w:tc>
        <w:tc>
          <w:tcPr>
            <w:tcW w:w="1361" w:type="dxa"/>
            <w:vAlign w:val="center"/>
          </w:tcPr>
          <w:p>
            <w:pPr>
              <w:pStyle w:val="14"/>
            </w:pPr>
            <w:r>
              <w:t>50.53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161廊坊市广阳区行政审批局</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901.95</w:t>
            </w:r>
          </w:p>
        </w:tc>
        <w:tc>
          <w:tcPr>
            <w:tcW w:w="3402" w:type="dxa"/>
            <w:vAlign w:val="center"/>
          </w:tcPr>
          <w:p>
            <w:pPr>
              <w:pStyle w:val="15"/>
            </w:pPr>
            <w:r>
              <w:t>一、一般公共服务支出</w:t>
            </w:r>
          </w:p>
        </w:tc>
        <w:tc>
          <w:tcPr>
            <w:tcW w:w="1474" w:type="dxa"/>
            <w:vAlign w:val="center"/>
          </w:tcPr>
          <w:p>
            <w:pPr>
              <w:pStyle w:val="14"/>
            </w:pPr>
            <w:r>
              <w:t>762.85</w:t>
            </w:r>
          </w:p>
        </w:tc>
        <w:tc>
          <w:tcPr>
            <w:tcW w:w="1474" w:type="dxa"/>
            <w:vAlign w:val="center"/>
          </w:tcPr>
          <w:p>
            <w:pPr>
              <w:pStyle w:val="14"/>
            </w:pPr>
            <w:r>
              <w:t>762.85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68.86</w:t>
            </w:r>
          </w:p>
        </w:tc>
        <w:tc>
          <w:tcPr>
            <w:tcW w:w="1474" w:type="dxa"/>
            <w:vAlign w:val="center"/>
          </w:tcPr>
          <w:p>
            <w:pPr>
              <w:pStyle w:val="14"/>
            </w:pPr>
            <w:r>
              <w:t>68.86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19.72</w:t>
            </w:r>
          </w:p>
        </w:tc>
        <w:tc>
          <w:tcPr>
            <w:tcW w:w="1474" w:type="dxa"/>
            <w:vAlign w:val="center"/>
          </w:tcPr>
          <w:p>
            <w:pPr>
              <w:pStyle w:val="14"/>
            </w:pPr>
            <w:r>
              <w:t>19.72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50.53</w:t>
            </w:r>
          </w:p>
        </w:tc>
        <w:tc>
          <w:tcPr>
            <w:tcW w:w="1474" w:type="dxa"/>
            <w:vAlign w:val="center"/>
          </w:tcPr>
          <w:p>
            <w:pPr>
              <w:pStyle w:val="14"/>
            </w:pPr>
            <w:r>
              <w:t>50.53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901.95</w:t>
            </w:r>
          </w:p>
        </w:tc>
        <w:tc>
          <w:tcPr>
            <w:tcW w:w="3402" w:type="dxa"/>
            <w:vAlign w:val="center"/>
          </w:tcPr>
          <w:p>
            <w:pPr>
              <w:pStyle w:val="17"/>
            </w:pPr>
            <w:r>
              <w:t>本年支出合计</w:t>
            </w:r>
          </w:p>
        </w:tc>
        <w:tc>
          <w:tcPr>
            <w:tcW w:w="1474" w:type="dxa"/>
            <w:vAlign w:val="center"/>
          </w:tcPr>
          <w:p>
            <w:pPr>
              <w:pStyle w:val="18"/>
            </w:pPr>
            <w:r>
              <w:t>901.95</w:t>
            </w:r>
          </w:p>
        </w:tc>
        <w:tc>
          <w:tcPr>
            <w:tcW w:w="1474" w:type="dxa"/>
            <w:vAlign w:val="center"/>
          </w:tcPr>
          <w:p>
            <w:pPr>
              <w:pStyle w:val="18"/>
            </w:pPr>
            <w:r>
              <w:t>901.95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901.95</w:t>
            </w:r>
          </w:p>
        </w:tc>
        <w:tc>
          <w:tcPr>
            <w:tcW w:w="3402" w:type="dxa"/>
            <w:vAlign w:val="center"/>
          </w:tcPr>
          <w:p>
            <w:pPr>
              <w:pStyle w:val="17"/>
            </w:pPr>
            <w:r>
              <w:t>支出总计</w:t>
            </w:r>
          </w:p>
        </w:tc>
        <w:tc>
          <w:tcPr>
            <w:tcW w:w="1474" w:type="dxa"/>
            <w:vAlign w:val="center"/>
          </w:tcPr>
          <w:p>
            <w:pPr>
              <w:pStyle w:val="18"/>
            </w:pPr>
            <w:r>
              <w:t>901.95</w:t>
            </w:r>
          </w:p>
        </w:tc>
        <w:tc>
          <w:tcPr>
            <w:tcW w:w="1474" w:type="dxa"/>
            <w:vAlign w:val="center"/>
          </w:tcPr>
          <w:p>
            <w:pPr>
              <w:pStyle w:val="18"/>
            </w:pPr>
            <w:r>
              <w:t>901.95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161廊坊市广阳区行政审批局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901.95</w:t>
            </w:r>
          </w:p>
        </w:tc>
        <w:tc>
          <w:tcPr>
            <w:tcW w:w="2551" w:type="dxa"/>
            <w:vAlign w:val="center"/>
          </w:tcPr>
          <w:p>
            <w:pPr>
              <w:pStyle w:val="18"/>
            </w:pPr>
            <w:r>
              <w:t>817.19</w:t>
            </w:r>
          </w:p>
        </w:tc>
        <w:tc>
          <w:tcPr>
            <w:tcW w:w="2551" w:type="dxa"/>
            <w:vAlign w:val="center"/>
          </w:tcPr>
          <w:p>
            <w:pPr>
              <w:pStyle w:val="18"/>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762.85</w:t>
            </w:r>
          </w:p>
        </w:tc>
        <w:tc>
          <w:tcPr>
            <w:tcW w:w="2551" w:type="dxa"/>
            <w:vAlign w:val="center"/>
          </w:tcPr>
          <w:p>
            <w:pPr>
              <w:pStyle w:val="14"/>
            </w:pPr>
            <w:r>
              <w:t>678.09</w:t>
            </w:r>
          </w:p>
        </w:tc>
        <w:tc>
          <w:tcPr>
            <w:tcW w:w="2551" w:type="dxa"/>
            <w:vAlign w:val="center"/>
          </w:tcPr>
          <w:p>
            <w:pPr>
              <w:pStyle w:val="14"/>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762.85</w:t>
            </w:r>
          </w:p>
        </w:tc>
        <w:tc>
          <w:tcPr>
            <w:tcW w:w="2551" w:type="dxa"/>
            <w:vAlign w:val="center"/>
          </w:tcPr>
          <w:p>
            <w:pPr>
              <w:pStyle w:val="14"/>
            </w:pPr>
            <w:r>
              <w:t>678.09</w:t>
            </w:r>
          </w:p>
        </w:tc>
        <w:tc>
          <w:tcPr>
            <w:tcW w:w="2551" w:type="dxa"/>
            <w:vAlign w:val="center"/>
          </w:tcPr>
          <w:p>
            <w:pPr>
              <w:pStyle w:val="14"/>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762.85</w:t>
            </w:r>
          </w:p>
        </w:tc>
        <w:tc>
          <w:tcPr>
            <w:tcW w:w="2551" w:type="dxa"/>
            <w:vAlign w:val="center"/>
          </w:tcPr>
          <w:p>
            <w:pPr>
              <w:pStyle w:val="14"/>
            </w:pPr>
            <w:r>
              <w:t>678.09</w:t>
            </w:r>
          </w:p>
        </w:tc>
        <w:tc>
          <w:tcPr>
            <w:tcW w:w="2551" w:type="dxa"/>
            <w:vAlign w:val="center"/>
          </w:tcPr>
          <w:p>
            <w:pPr>
              <w:pStyle w:val="14"/>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68.86</w:t>
            </w:r>
          </w:p>
        </w:tc>
        <w:tc>
          <w:tcPr>
            <w:tcW w:w="2551" w:type="dxa"/>
            <w:vAlign w:val="center"/>
          </w:tcPr>
          <w:p>
            <w:pPr>
              <w:pStyle w:val="14"/>
            </w:pPr>
            <w:r>
              <w:t>68.86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68.86</w:t>
            </w:r>
          </w:p>
        </w:tc>
        <w:tc>
          <w:tcPr>
            <w:tcW w:w="2551" w:type="dxa"/>
            <w:vAlign w:val="center"/>
          </w:tcPr>
          <w:p>
            <w:pPr>
              <w:pStyle w:val="14"/>
            </w:pPr>
            <w:r>
              <w:t>68.86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7.94</w:t>
            </w:r>
          </w:p>
        </w:tc>
        <w:tc>
          <w:tcPr>
            <w:tcW w:w="2551" w:type="dxa"/>
            <w:vAlign w:val="center"/>
          </w:tcPr>
          <w:p>
            <w:pPr>
              <w:pStyle w:val="14"/>
            </w:pPr>
            <w:r>
              <w:t>7.94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60.92</w:t>
            </w:r>
          </w:p>
        </w:tc>
        <w:tc>
          <w:tcPr>
            <w:tcW w:w="2551" w:type="dxa"/>
            <w:vAlign w:val="center"/>
          </w:tcPr>
          <w:p>
            <w:pPr>
              <w:pStyle w:val="14"/>
            </w:pPr>
            <w:r>
              <w:t>60.92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19.72</w:t>
            </w:r>
          </w:p>
        </w:tc>
        <w:tc>
          <w:tcPr>
            <w:tcW w:w="2551" w:type="dxa"/>
            <w:vAlign w:val="center"/>
          </w:tcPr>
          <w:p>
            <w:pPr>
              <w:pStyle w:val="14"/>
            </w:pPr>
            <w:r>
              <w:t>19.72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19.72</w:t>
            </w:r>
          </w:p>
        </w:tc>
        <w:tc>
          <w:tcPr>
            <w:tcW w:w="2551" w:type="dxa"/>
            <w:vAlign w:val="center"/>
          </w:tcPr>
          <w:p>
            <w:pPr>
              <w:pStyle w:val="14"/>
            </w:pPr>
            <w:r>
              <w:t>19.72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19.72</w:t>
            </w:r>
          </w:p>
        </w:tc>
        <w:tc>
          <w:tcPr>
            <w:tcW w:w="2551" w:type="dxa"/>
            <w:vAlign w:val="center"/>
          </w:tcPr>
          <w:p>
            <w:pPr>
              <w:pStyle w:val="14"/>
            </w:pPr>
            <w:r>
              <w:t>19.72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50.53</w:t>
            </w:r>
          </w:p>
        </w:tc>
        <w:tc>
          <w:tcPr>
            <w:tcW w:w="2551" w:type="dxa"/>
            <w:vAlign w:val="center"/>
          </w:tcPr>
          <w:p>
            <w:pPr>
              <w:pStyle w:val="14"/>
            </w:pPr>
            <w:r>
              <w:t>50.53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50.53</w:t>
            </w:r>
          </w:p>
        </w:tc>
        <w:tc>
          <w:tcPr>
            <w:tcW w:w="2551" w:type="dxa"/>
            <w:vAlign w:val="center"/>
          </w:tcPr>
          <w:p>
            <w:pPr>
              <w:pStyle w:val="14"/>
            </w:pPr>
            <w:r>
              <w:t>50.53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50.53</w:t>
            </w:r>
          </w:p>
        </w:tc>
        <w:tc>
          <w:tcPr>
            <w:tcW w:w="2551" w:type="dxa"/>
            <w:vAlign w:val="center"/>
          </w:tcPr>
          <w:p>
            <w:pPr>
              <w:pStyle w:val="14"/>
            </w:pPr>
            <w:r>
              <w:t>50.53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161廊坊市广阳区行政审批局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817.19</w:t>
            </w:r>
          </w:p>
        </w:tc>
        <w:tc>
          <w:tcPr>
            <w:tcW w:w="2551" w:type="dxa"/>
            <w:vAlign w:val="center"/>
          </w:tcPr>
          <w:p>
            <w:pPr>
              <w:pStyle w:val="18"/>
            </w:pPr>
            <w:r>
              <w:t>654.64</w:t>
            </w:r>
          </w:p>
        </w:tc>
        <w:tc>
          <w:tcPr>
            <w:tcW w:w="2551" w:type="dxa"/>
            <w:vAlign w:val="center"/>
          </w:tcPr>
          <w:p>
            <w:pPr>
              <w:pStyle w:val="18"/>
            </w:pPr>
            <w:r>
              <w:t>162.55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646.67</w:t>
            </w:r>
          </w:p>
        </w:tc>
        <w:tc>
          <w:tcPr>
            <w:tcW w:w="2551" w:type="dxa"/>
            <w:vAlign w:val="center"/>
          </w:tcPr>
          <w:p>
            <w:pPr>
              <w:pStyle w:val="14"/>
            </w:pPr>
            <w:r>
              <w:t>646.67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175.14</w:t>
            </w:r>
          </w:p>
        </w:tc>
        <w:tc>
          <w:tcPr>
            <w:tcW w:w="2551" w:type="dxa"/>
            <w:vAlign w:val="center"/>
          </w:tcPr>
          <w:p>
            <w:pPr>
              <w:pStyle w:val="14"/>
            </w:pPr>
            <w:r>
              <w:t>175.14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168.56</w:t>
            </w:r>
          </w:p>
        </w:tc>
        <w:tc>
          <w:tcPr>
            <w:tcW w:w="2551" w:type="dxa"/>
            <w:vAlign w:val="center"/>
          </w:tcPr>
          <w:p>
            <w:pPr>
              <w:pStyle w:val="14"/>
            </w:pPr>
            <w:r>
              <w:t>168.56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125.61</w:t>
            </w:r>
          </w:p>
        </w:tc>
        <w:tc>
          <w:tcPr>
            <w:tcW w:w="2551" w:type="dxa"/>
            <w:vAlign w:val="center"/>
          </w:tcPr>
          <w:p>
            <w:pPr>
              <w:pStyle w:val="14"/>
            </w:pPr>
            <w:r>
              <w:t>125.61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44.10</w:t>
            </w:r>
          </w:p>
        </w:tc>
        <w:tc>
          <w:tcPr>
            <w:tcW w:w="2551" w:type="dxa"/>
            <w:vAlign w:val="center"/>
          </w:tcPr>
          <w:p>
            <w:pPr>
              <w:pStyle w:val="14"/>
            </w:pPr>
            <w:r>
              <w:t>44.10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60.92</w:t>
            </w:r>
          </w:p>
        </w:tc>
        <w:tc>
          <w:tcPr>
            <w:tcW w:w="2551" w:type="dxa"/>
            <w:vAlign w:val="center"/>
          </w:tcPr>
          <w:p>
            <w:pPr>
              <w:pStyle w:val="14"/>
            </w:pPr>
            <w:r>
              <w:t>60.92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19.46</w:t>
            </w:r>
          </w:p>
        </w:tc>
        <w:tc>
          <w:tcPr>
            <w:tcW w:w="2551" w:type="dxa"/>
            <w:vAlign w:val="center"/>
          </w:tcPr>
          <w:p>
            <w:pPr>
              <w:pStyle w:val="14"/>
            </w:pPr>
            <w:r>
              <w:t>19.46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1.78</w:t>
            </w:r>
          </w:p>
        </w:tc>
        <w:tc>
          <w:tcPr>
            <w:tcW w:w="2551" w:type="dxa"/>
            <w:vAlign w:val="center"/>
          </w:tcPr>
          <w:p>
            <w:pPr>
              <w:pStyle w:val="14"/>
            </w:pPr>
            <w:r>
              <w:t>1.78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50.53</w:t>
            </w:r>
          </w:p>
        </w:tc>
        <w:tc>
          <w:tcPr>
            <w:tcW w:w="2551" w:type="dxa"/>
            <w:vAlign w:val="center"/>
          </w:tcPr>
          <w:p>
            <w:pPr>
              <w:pStyle w:val="14"/>
            </w:pPr>
            <w:r>
              <w:t>50.53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0.58</w:t>
            </w:r>
          </w:p>
        </w:tc>
        <w:tc>
          <w:tcPr>
            <w:tcW w:w="2551" w:type="dxa"/>
            <w:vAlign w:val="center"/>
          </w:tcPr>
          <w:p>
            <w:pPr>
              <w:pStyle w:val="14"/>
            </w:pPr>
            <w:r>
              <w:t>0.58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162.55</w:t>
            </w:r>
          </w:p>
        </w:tc>
        <w:tc>
          <w:tcPr>
            <w:tcW w:w="2551" w:type="dxa"/>
            <w:vAlign w:val="center"/>
          </w:tcPr>
          <w:p>
            <w:pPr>
              <w:pStyle w:val="14"/>
            </w:pPr>
          </w:p>
        </w:tc>
        <w:tc>
          <w:tcPr>
            <w:tcW w:w="2551" w:type="dxa"/>
            <w:vAlign w:val="center"/>
          </w:tcPr>
          <w:p>
            <w:pPr>
              <w:pStyle w:val="14"/>
            </w:pPr>
            <w:r>
              <w:t>162.55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6.72</w:t>
            </w:r>
          </w:p>
        </w:tc>
        <w:tc>
          <w:tcPr>
            <w:tcW w:w="2551" w:type="dxa"/>
            <w:vAlign w:val="center"/>
          </w:tcPr>
          <w:p>
            <w:pPr>
              <w:pStyle w:val="14"/>
            </w:pPr>
          </w:p>
        </w:tc>
        <w:tc>
          <w:tcPr>
            <w:tcW w:w="2551" w:type="dxa"/>
            <w:vAlign w:val="center"/>
          </w:tcPr>
          <w:p>
            <w:pPr>
              <w:pStyle w:val="14"/>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1.34</w:t>
            </w:r>
          </w:p>
        </w:tc>
        <w:tc>
          <w:tcPr>
            <w:tcW w:w="2551" w:type="dxa"/>
            <w:vAlign w:val="center"/>
          </w:tcPr>
          <w:p>
            <w:pPr>
              <w:pStyle w:val="14"/>
            </w:pPr>
          </w:p>
        </w:tc>
        <w:tc>
          <w:tcPr>
            <w:tcW w:w="2551" w:type="dxa"/>
            <w:vAlign w:val="center"/>
          </w:tcPr>
          <w:p>
            <w:pPr>
              <w:pStyle w:val="14"/>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3.78</w:t>
            </w:r>
          </w:p>
        </w:tc>
        <w:tc>
          <w:tcPr>
            <w:tcW w:w="2551" w:type="dxa"/>
            <w:vAlign w:val="center"/>
          </w:tcPr>
          <w:p>
            <w:pPr>
              <w:pStyle w:val="14"/>
            </w:pPr>
          </w:p>
        </w:tc>
        <w:tc>
          <w:tcPr>
            <w:tcW w:w="2551" w:type="dxa"/>
            <w:vAlign w:val="center"/>
          </w:tcPr>
          <w:p>
            <w:pPr>
              <w:pStyle w:val="14"/>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17.95</w:t>
            </w:r>
          </w:p>
        </w:tc>
        <w:tc>
          <w:tcPr>
            <w:tcW w:w="2551" w:type="dxa"/>
            <w:vAlign w:val="center"/>
          </w:tcPr>
          <w:p>
            <w:pPr>
              <w:pStyle w:val="14"/>
            </w:pPr>
          </w:p>
        </w:tc>
        <w:tc>
          <w:tcPr>
            <w:tcW w:w="2551" w:type="dxa"/>
            <w:vAlign w:val="center"/>
          </w:tcPr>
          <w:p>
            <w:pPr>
              <w:pStyle w:val="14"/>
            </w:pPr>
            <w:r>
              <w:t>17.95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67.18</w:t>
            </w:r>
          </w:p>
        </w:tc>
        <w:tc>
          <w:tcPr>
            <w:tcW w:w="2551" w:type="dxa"/>
            <w:vAlign w:val="center"/>
          </w:tcPr>
          <w:p>
            <w:pPr>
              <w:pStyle w:val="14"/>
            </w:pPr>
          </w:p>
        </w:tc>
        <w:tc>
          <w:tcPr>
            <w:tcW w:w="2551" w:type="dxa"/>
            <w:vAlign w:val="center"/>
          </w:tcPr>
          <w:p>
            <w:pPr>
              <w:pStyle w:val="14"/>
            </w:pPr>
            <w:r>
              <w:t>67.18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2.44</w:t>
            </w:r>
          </w:p>
        </w:tc>
        <w:tc>
          <w:tcPr>
            <w:tcW w:w="2551" w:type="dxa"/>
            <w:vAlign w:val="center"/>
          </w:tcPr>
          <w:p>
            <w:pPr>
              <w:pStyle w:val="14"/>
            </w:pPr>
          </w:p>
        </w:tc>
        <w:tc>
          <w:tcPr>
            <w:tcW w:w="2551" w:type="dxa"/>
            <w:vAlign w:val="center"/>
          </w:tcPr>
          <w:p>
            <w:pPr>
              <w:pStyle w:val="14"/>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6.72</w:t>
            </w:r>
          </w:p>
        </w:tc>
        <w:tc>
          <w:tcPr>
            <w:tcW w:w="2551" w:type="dxa"/>
            <w:vAlign w:val="center"/>
          </w:tcPr>
          <w:p>
            <w:pPr>
              <w:pStyle w:val="14"/>
            </w:pPr>
          </w:p>
        </w:tc>
        <w:tc>
          <w:tcPr>
            <w:tcW w:w="2551" w:type="dxa"/>
            <w:vAlign w:val="center"/>
          </w:tcPr>
          <w:p>
            <w:pPr>
              <w:pStyle w:val="14"/>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0.42</w:t>
            </w:r>
          </w:p>
        </w:tc>
        <w:tc>
          <w:tcPr>
            <w:tcW w:w="2551" w:type="dxa"/>
            <w:vAlign w:val="center"/>
          </w:tcPr>
          <w:p>
            <w:pPr>
              <w:pStyle w:val="14"/>
            </w:pPr>
          </w:p>
        </w:tc>
        <w:tc>
          <w:tcPr>
            <w:tcW w:w="2551" w:type="dxa"/>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3.55</w:t>
            </w:r>
          </w:p>
        </w:tc>
        <w:tc>
          <w:tcPr>
            <w:tcW w:w="2551" w:type="dxa"/>
            <w:vAlign w:val="center"/>
          </w:tcPr>
          <w:p>
            <w:pPr>
              <w:pStyle w:val="14"/>
            </w:pPr>
          </w:p>
        </w:tc>
        <w:tc>
          <w:tcPr>
            <w:tcW w:w="2551" w:type="dxa"/>
            <w:vAlign w:val="center"/>
          </w:tcPr>
          <w:p>
            <w:pPr>
              <w:pStyle w:val="14"/>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3.20</w:t>
            </w:r>
          </w:p>
        </w:tc>
        <w:tc>
          <w:tcPr>
            <w:tcW w:w="2551" w:type="dxa"/>
            <w:vAlign w:val="center"/>
          </w:tcPr>
          <w:p>
            <w:pPr>
              <w:pStyle w:val="14"/>
            </w:pPr>
          </w:p>
        </w:tc>
        <w:tc>
          <w:tcPr>
            <w:tcW w:w="2551"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2.19</w:t>
            </w:r>
          </w:p>
        </w:tc>
        <w:tc>
          <w:tcPr>
            <w:tcW w:w="2551" w:type="dxa"/>
            <w:vAlign w:val="center"/>
          </w:tcPr>
          <w:p>
            <w:pPr>
              <w:pStyle w:val="14"/>
            </w:pPr>
          </w:p>
        </w:tc>
        <w:tc>
          <w:tcPr>
            <w:tcW w:w="2551" w:type="dxa"/>
            <w:vAlign w:val="center"/>
          </w:tcPr>
          <w:p>
            <w:pPr>
              <w:pStyle w:val="14"/>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16.56</w:t>
            </w:r>
          </w:p>
        </w:tc>
        <w:tc>
          <w:tcPr>
            <w:tcW w:w="2551" w:type="dxa"/>
            <w:vAlign w:val="center"/>
          </w:tcPr>
          <w:p>
            <w:pPr>
              <w:pStyle w:val="14"/>
            </w:pPr>
          </w:p>
        </w:tc>
        <w:tc>
          <w:tcPr>
            <w:tcW w:w="2551" w:type="dxa"/>
            <w:vAlign w:val="center"/>
          </w:tcPr>
          <w:p>
            <w:pPr>
              <w:pStyle w:val="14"/>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30.00</w:t>
            </w:r>
          </w:p>
        </w:tc>
        <w:tc>
          <w:tcPr>
            <w:tcW w:w="2551" w:type="dxa"/>
            <w:vAlign w:val="center"/>
          </w:tcPr>
          <w:p>
            <w:pPr>
              <w:pStyle w:val="14"/>
            </w:pP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7.98</w:t>
            </w:r>
          </w:p>
        </w:tc>
        <w:tc>
          <w:tcPr>
            <w:tcW w:w="2551" w:type="dxa"/>
            <w:vAlign w:val="center"/>
          </w:tcPr>
          <w:p>
            <w:pPr>
              <w:pStyle w:val="14"/>
            </w:pPr>
            <w:r>
              <w:t>7.98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7.94</w:t>
            </w:r>
          </w:p>
        </w:tc>
        <w:tc>
          <w:tcPr>
            <w:tcW w:w="2551" w:type="dxa"/>
            <w:vAlign w:val="center"/>
          </w:tcPr>
          <w:p>
            <w:pPr>
              <w:pStyle w:val="14"/>
            </w:pPr>
            <w:r>
              <w:t>7.94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0.04</w:t>
            </w:r>
          </w:p>
        </w:tc>
        <w:tc>
          <w:tcPr>
            <w:tcW w:w="2551" w:type="dxa"/>
            <w:vAlign w:val="center"/>
          </w:tcPr>
          <w:p>
            <w:pPr>
              <w:pStyle w:val="14"/>
            </w:pPr>
            <w:r>
              <w:t>0.04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161廊坊市广阳区行政审批局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161廊坊市广阳区行政审批局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161廊坊市广阳区行政审批局</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2.19</w:t>
            </w:r>
          </w:p>
        </w:tc>
        <w:tc>
          <w:tcPr>
            <w:tcW w:w="2381" w:type="dxa"/>
            <w:vAlign w:val="center"/>
          </w:tcPr>
          <w:p>
            <w:pPr>
              <w:pStyle w:val="18"/>
            </w:pPr>
            <w:r>
              <w:t>2.19</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廊坊市广阳区行政审批局2023年部门预算信息公开情况说明</w:t>
      </w:r>
    </w:p>
    <w:p>
      <w:pPr>
        <w:jc w:val="center"/>
      </w:pPr>
      <w:r>
        <w:rPr>
          <w:rFonts w:ascii="方正小标宋_GBK" w:hAnsi="方正小标宋_GBK" w:eastAsia="方正小标宋_GBK" w:cs="方正小标宋_GBK"/>
          <w:color w:val="000000"/>
          <w:sz w:val="44"/>
        </w:rPr>
        <w:t>廊坊市广阳区行政审批局2023年部门预算信息公开情况说明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预算法》、《地方预决算公开操作规程》和《关于进一步推进预算公开工作的实施意见》规定，现将廊坊市广阳区行政审批局2023年部门预算公开如下：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0"/>
      </w:pPr>
      <w:r>
        <w:t>（一）贯彻执行</w:t>
      </w:r>
      <w:r>
        <w:rPr>
          <w:rFonts w:hint="eastAsia"/>
          <w:lang w:eastAsia="zh-CN"/>
        </w:rPr>
        <w:t>党中央、国务院</w:t>
      </w:r>
      <w:r>
        <w:t>、省委省政府、市委市政府和区委区政府“放管服”改革、行政审批制度改革、政务服务管理、公共资源交易市场管理有关方针政策和法律法规。拟定有关政策，协调指导并监督实施。</w:t>
      </w:r>
    </w:p>
    <w:p>
      <w:pPr>
        <w:pStyle w:val="20"/>
      </w:pPr>
      <w:r>
        <w:t>（二）组织协调全区“放管服”改革工作。指导、督促贯彻落实</w:t>
      </w:r>
      <w:r>
        <w:rPr>
          <w:rFonts w:hint="eastAsia"/>
          <w:lang w:eastAsia="zh-CN"/>
        </w:rPr>
        <w:t>党中央、国务院</w:t>
      </w:r>
      <w:r>
        <w:t>、省委省政府、市委市政府和区委区政府有关“放管服”改革重要领域、关键环节重大措施，承担区推进政府职能转变和“放管服”改革协调小组的日常工作。</w:t>
      </w:r>
    </w:p>
    <w:p>
      <w:pPr>
        <w:pStyle w:val="20"/>
      </w:pPr>
      <w:r>
        <w:t>（三）指导协调全区行政审批制度改革工作。建立健全行政审批管理体系；推进简政放权，清理和规范各类行政许可等管理事项；协调推进行政审批标准化工作；承担区行政审批制度改革工作领导小组的日常工作。</w:t>
      </w:r>
    </w:p>
    <w:p>
      <w:pPr>
        <w:pStyle w:val="20"/>
      </w:pPr>
      <w:r>
        <w:t>（四）负责办理划转至区行政审批局的行政审批事项，并对审批行为承担相应的法律责任；负责对划入的行政审批事项进行流程再造和环节优化；负责与监督部门的联系沟通，建立健全审批与监管的有效衔接机制。</w:t>
      </w:r>
    </w:p>
    <w:p>
      <w:pPr>
        <w:pStyle w:val="20"/>
      </w:pPr>
      <w:r>
        <w:t>（五）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20"/>
      </w:pPr>
      <w:r>
        <w:t>（六）负责综合协调和监督管理区级各部门行政审批事项和公共服务事项的集中统一办理；推进重点项目审批服务的综合协调和督办；组织相关部门开展审批服务事项的联合办理和联审会办；研究推进并联审服务工作。</w:t>
      </w:r>
    </w:p>
    <w:p>
      <w:pPr>
        <w:pStyle w:val="20"/>
      </w:pPr>
      <w:r>
        <w:t>（七）协调指导全区公共资源交易市场工作。拟定全区公共资源交易市场管理制度和规则；编制全区公共资源交易目录；负责管理和利用统一的公共资源交易电子服务系统；负责推进全区公共资源交易领域信用体系建设；依据公共资源交易平台管理细则和办法等相关规定，履行管理和服务的职责；依法协调祥光部门开展区本级公共资源交易活动的联动执法工作。</w:t>
      </w:r>
    </w:p>
    <w:p>
      <w:pPr>
        <w:pStyle w:val="20"/>
      </w:pPr>
      <w:r>
        <w:t>（八）统筹推进全区“互联网+政务服务”工作，构建全区一体化政务服务平台。推行政务服务事项网上办理，形成管理机构、实体大厅、网上平台“三位一体”的管理模式；推进全区电子证照库建设‘推进全区政务服务平台规范化、标准化、集约化建设和互联互通、数据共享。</w:t>
      </w:r>
    </w:p>
    <w:p>
      <w:pPr>
        <w:pStyle w:val="20"/>
      </w:pPr>
      <w:r>
        <w:t>（九）建立健全全区行政审批服务、政务服务效能可量化的考核评价制度；对进驻政务服务大厅的部门进行综合考评，对进驻事项的办理情况、办理效能，以及办事人员的服务质量等进行监督；负责对垂管部门和有关单位派驻窗口的规范、管理和监督；负责受理对本单位及派驻单位行政审批行为的投诉举报，会同有关部门查处行政审批方面的违纪违规行为。</w:t>
      </w:r>
    </w:p>
    <w:p>
      <w:pPr>
        <w:pStyle w:val="20"/>
      </w:pPr>
      <w:r>
        <w:t>（十）不断优化行政审批、政务服务管理模式。指导和监督政务服务中心和公共资源交易规范化建设；协调市行政审批局与区有关部门，建立完善市县审批服务联动工作机制；指导全区政务服务大厅建设。</w:t>
      </w:r>
    </w:p>
    <w:p>
      <w:pPr>
        <w:pStyle w:val="20"/>
      </w:pPr>
      <w:r>
        <w:t>（十一）完成区委、区政府交办的其他任务。</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廊坊市广阳区行政审批局本级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按照预算管理有关规定，目前我区部门预算的编制实行综合预算管理，即全部收入和支出都反映在预算中。廊坊市广阳区行政审批局机关及所属事业单位的收支包含在部门预算中。</w:t>
      </w:r>
    </w:p>
    <w:p>
      <w:pPr>
        <w:pStyle w:val="21"/>
      </w:pPr>
      <w:r>
        <w:t>1、收入说明</w:t>
      </w:r>
    </w:p>
    <w:p>
      <w:pPr>
        <w:pStyle w:val="21"/>
      </w:pPr>
      <w:r>
        <w:t>反映本部门当年全部收入。2023年预算收入901.95万元，其中：一般公共预算收入901.95万元，基金预算收入0万元，财政专户核拨收入0万元，其他来源收入0万元，上年结转0万元。</w:t>
      </w:r>
    </w:p>
    <w:p>
      <w:pPr>
        <w:pStyle w:val="21"/>
      </w:pPr>
      <w:r>
        <w:t>2、支出说明</w:t>
      </w:r>
    </w:p>
    <w:p>
      <w:pPr>
        <w:pStyle w:val="21"/>
      </w:pPr>
      <w:r>
        <w:t>收支预算总表支出栏、基本支出表、项目支出表按经济分类和支出功能分类科目编制，反映廊坊市广阳区行政审批局2023年度部门预算中支出预算的总体情况。2023年支出预算901.95万元，其中：基本支出817.19万元，包括人员经费654.64万元和日常公用经费162.55万元；项目支出84.76万元。</w:t>
      </w:r>
    </w:p>
    <w:p>
      <w:pPr>
        <w:pStyle w:val="21"/>
      </w:pPr>
      <w:r>
        <w:t>3、比上年增减情况</w:t>
      </w:r>
    </w:p>
    <w:p>
      <w:pPr>
        <w:pStyle w:val="21"/>
      </w:pPr>
      <w:r>
        <w:t>2023年预算收支安排901.95万元，较2022年预算增加162.1万元，其中：基本支出增加209.09万元，增加原因主要为人员增加；项目支出减少46.99万元，减少原因主要为压减开支。</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2"/>
      </w:pPr>
      <w:r>
        <w:t>2023年，我部门运行经费共计安排162.55万元，主要用于办公区的日常维修、办公费用、办公用房水电费、办公用房取暖费、邮电费、差旅费、办公用房物业管理费、公务用车运行维护费等日常运行支出。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3"/>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4"/>
      </w:pPr>
      <w:r>
        <w:t>1、组织实施审批局各项规章制度和管理办法，做好深化行政审批制度改革、提高审批效率，优化政务服务环境;</w:t>
      </w:r>
    </w:p>
    <w:p>
      <w:pPr>
        <w:pStyle w:val="24"/>
      </w:pPr>
      <w:r>
        <w:t>2、完成全年审批业务申请受理，按照规定程序对行政审批事项进行要件审核，对符合规定条件的行政审批事项进行批准，完成对各工作人员的业务培训、教育培训、管理、监督和考核工作，加强档案管理；</w:t>
      </w:r>
    </w:p>
    <w:p>
      <w:pPr>
        <w:pStyle w:val="24"/>
      </w:pPr>
      <w:r>
        <w:t>3、配合上级部门完成政务服务平台建设，并有效管理和运用，深化互联网+政务服务改革；</w:t>
      </w:r>
    </w:p>
    <w:p>
      <w:pPr>
        <w:pStyle w:val="24"/>
      </w:pPr>
      <w:r>
        <w:t>4、完成各部门间业务交流和上级部门交办的工作，加强行政管理能力建设，促进自身建设、服务保障能力进一步提升。</w:t>
      </w:r>
    </w:p>
    <w:p>
      <w:pPr>
        <w:spacing w:line="500" w:lineRule="exact"/>
        <w:ind w:firstLine="560"/>
      </w:pPr>
      <w:r>
        <w:rPr>
          <w:rFonts w:eastAsia="方正仿宋_GBK"/>
          <w:color w:val="000000"/>
          <w:sz w:val="28"/>
        </w:rPr>
        <w:t>（二）分项绩效目标</w:t>
      </w:r>
    </w:p>
    <w:p>
      <w:pPr>
        <w:pStyle w:val="25"/>
      </w:pPr>
      <w:r>
        <w:t>1、审批制度管理</w:t>
      </w:r>
    </w:p>
    <w:p>
      <w:pPr>
        <w:pStyle w:val="25"/>
      </w:pPr>
      <w:r>
        <w:t>绩效目标：确保各项规章制度和管理办法的落实</w:t>
      </w:r>
    </w:p>
    <w:p>
      <w:pPr>
        <w:pStyle w:val="25"/>
      </w:pPr>
      <w:r>
        <w:t>绩效指标：</w:t>
      </w:r>
    </w:p>
    <w:p>
      <w:pPr>
        <w:pStyle w:val="25"/>
      </w:pPr>
      <w:r>
        <w:t>制度落实完成率（%）≥95%</w:t>
      </w:r>
    </w:p>
    <w:p>
      <w:pPr>
        <w:pStyle w:val="25"/>
      </w:pPr>
      <w:r>
        <w:t>科学设置行政审批局功能区满意度（%）≥95%</w:t>
      </w:r>
    </w:p>
    <w:p>
      <w:pPr>
        <w:pStyle w:val="25"/>
      </w:pPr>
      <w:r>
        <w:t>审批、服务事项按时办结率（%）≥95%</w:t>
      </w:r>
    </w:p>
    <w:p>
      <w:pPr>
        <w:pStyle w:val="25"/>
      </w:pPr>
      <w:r>
        <w:t>2、各项行政许可事项业务受理、审批，业务人员能力提升，工作人员管理考核</w:t>
      </w:r>
    </w:p>
    <w:p>
      <w:pPr>
        <w:pStyle w:val="25"/>
      </w:pPr>
      <w:r>
        <w:t>绩效目标：业务办结率、业务培训率、人眼考评合格率</w:t>
      </w:r>
    </w:p>
    <w:p>
      <w:pPr>
        <w:pStyle w:val="25"/>
      </w:pPr>
      <w:r>
        <w:t>绩效指标：</w:t>
      </w:r>
    </w:p>
    <w:p>
      <w:pPr>
        <w:pStyle w:val="25"/>
      </w:pPr>
      <w:r>
        <w:t>业务培训率(%)≥95%</w:t>
      </w:r>
    </w:p>
    <w:p>
      <w:pPr>
        <w:pStyle w:val="25"/>
      </w:pPr>
      <w:r>
        <w:t>人员考评合格率（%）100%</w:t>
      </w:r>
    </w:p>
    <w:p>
      <w:pPr>
        <w:pStyle w:val="25"/>
      </w:pPr>
      <w:r>
        <w:t>业务办结率（%）100%</w:t>
      </w:r>
    </w:p>
    <w:p>
      <w:pPr>
        <w:pStyle w:val="25"/>
      </w:pPr>
      <w:r>
        <w:t>3、政务环境建设工作、政务服务环境使用和提升及其他业务</w:t>
      </w:r>
    </w:p>
    <w:p>
      <w:pPr>
        <w:pStyle w:val="25"/>
      </w:pPr>
      <w:r>
        <w:t>绩效目标：完成政务服务平台建设，实现平台各项功能，合理布局各股室、档案室及办公服务区，不断完善服务环境及功能；维护政务服务平台的正常运转，维护更新日常审批工作所需设备设施，确保硬件环境功能到位；高效完成精神文明创建任务，落实</w:t>
      </w:r>
      <w:r>
        <w:rPr>
          <w:rFonts w:hint="eastAsia"/>
          <w:lang w:eastAsia="zh-CN"/>
        </w:rPr>
        <w:t>“放管服”改革</w:t>
      </w:r>
      <w:r>
        <w:t>工作，推进审批制度改革，做好宣传工作</w:t>
      </w:r>
    </w:p>
    <w:p>
      <w:pPr>
        <w:pStyle w:val="25"/>
      </w:pPr>
      <w:r>
        <w:t>绩效指标：</w:t>
      </w:r>
    </w:p>
    <w:p>
      <w:pPr>
        <w:pStyle w:val="25"/>
      </w:pPr>
      <w:r>
        <w:t>平台建设完成率（%）≥95%</w:t>
      </w:r>
    </w:p>
    <w:p>
      <w:pPr>
        <w:pStyle w:val="25"/>
      </w:pPr>
      <w:r>
        <w:t>各项整改工作完成率（%）100%</w:t>
      </w:r>
    </w:p>
    <w:p>
      <w:pPr>
        <w:pStyle w:val="25"/>
      </w:pPr>
      <w:r>
        <w:t>政务服务平台使用率（%）≥95%</w:t>
      </w:r>
    </w:p>
    <w:p>
      <w:pPr>
        <w:pStyle w:val="25"/>
      </w:pPr>
      <w:r>
        <w:t>4、综合管理业务及综合事务管理</w:t>
      </w:r>
    </w:p>
    <w:p>
      <w:pPr>
        <w:pStyle w:val="25"/>
      </w:pPr>
      <w:r>
        <w:t>绩效目标：各部门信息及时互通，保证各部门衔接工作在时限内完成；提高行政管理人员的业务能力、工作效率，加强科研和文化建设；提升保障能力及管理水平，基础设施设备正常运转，信息化保障，完成各项工作任务</w:t>
      </w:r>
    </w:p>
    <w:p>
      <w:pPr>
        <w:pStyle w:val="25"/>
      </w:pPr>
      <w:r>
        <w:t>绩效指标：</w:t>
      </w:r>
    </w:p>
    <w:p>
      <w:pPr>
        <w:pStyle w:val="25"/>
      </w:pPr>
      <w:r>
        <w:t>交流工作完成率（%）100%</w:t>
      </w:r>
    </w:p>
    <w:p>
      <w:pPr>
        <w:pStyle w:val="25"/>
      </w:pPr>
      <w:r>
        <w:t>综合业务管理工作完成率（%）100%</w:t>
      </w:r>
    </w:p>
    <w:p>
      <w:pPr>
        <w:pStyle w:val="25"/>
      </w:pPr>
      <w:r>
        <w:t>综合事务管理工作完成率（%）100%</w:t>
      </w:r>
    </w:p>
    <w:p>
      <w:pPr>
        <w:spacing w:line="500" w:lineRule="exact"/>
        <w:ind w:firstLine="560"/>
      </w:pPr>
      <w:r>
        <w:rPr>
          <w:rFonts w:eastAsia="方正仿宋_GBK"/>
          <w:color w:val="000000"/>
          <w:sz w:val="28"/>
        </w:rPr>
        <w:t>（三）工作保障措施</w:t>
      </w:r>
    </w:p>
    <w:p>
      <w:pPr>
        <w:pStyle w:val="26"/>
      </w:pPr>
      <w:r>
        <w:t>1、完善制度建设</w:t>
      </w:r>
    </w:p>
    <w:p>
      <w:pPr>
        <w:pStyle w:val="26"/>
      </w:pPr>
      <w:r>
        <w:t>严格执行绩效管理制度，完善管理体系，规范管理行为，提高管理质量，为目标绩效管理提供强力支撑。</w:t>
      </w:r>
    </w:p>
    <w:p>
      <w:pPr>
        <w:pStyle w:val="26"/>
      </w:pPr>
      <w:r>
        <w:t>2、加强支出管理</w:t>
      </w:r>
    </w:p>
    <w:p>
      <w:pPr>
        <w:pStyle w:val="26"/>
      </w:pPr>
      <w:r>
        <w:t>结合自身实际，明确目标任务，切实落实责任，细化工作措施，确保目标绩效管理工作扎实有效。</w:t>
      </w:r>
    </w:p>
    <w:p>
      <w:pPr>
        <w:pStyle w:val="26"/>
      </w:pPr>
      <w:r>
        <w:t>3、加强绩效运行监控</w:t>
      </w:r>
    </w:p>
    <w:p>
      <w:pPr>
        <w:pStyle w:val="26"/>
      </w:pPr>
      <w:r>
        <w:t>成立由局长担任主任的目标绩效管理小组，建立健全工作机制，负责谋划推进、部署协调、督查落实等工作。</w:t>
      </w:r>
    </w:p>
    <w:p>
      <w:pPr>
        <w:pStyle w:val="26"/>
      </w:pPr>
      <w:r>
        <w:t>4、做好绩效自评</w:t>
      </w:r>
    </w:p>
    <w:p>
      <w:pPr>
        <w:pStyle w:val="26"/>
      </w:pPr>
      <w:r>
        <w:t>加强目标绩效管理，作为改进机关作风、提高工作效能、规范内部管理的重要手段。</w:t>
      </w:r>
    </w:p>
    <w:p>
      <w:pPr>
        <w:pStyle w:val="26"/>
      </w:pPr>
      <w:r>
        <w:t>5、规范财务资产管理</w:t>
      </w:r>
    </w:p>
    <w:p>
      <w:pPr>
        <w:pStyle w:val="26"/>
      </w:pPr>
      <w:r>
        <w:t>严格财务支出审批流程，指定专人负责财务资产管理。</w:t>
      </w:r>
    </w:p>
    <w:p>
      <w:pPr>
        <w:pStyle w:val="26"/>
      </w:pPr>
      <w:r>
        <w:t>6、加强内部监督</w:t>
      </w:r>
    </w:p>
    <w:p>
      <w:pPr>
        <w:pStyle w:val="26"/>
      </w:pPr>
      <w:r>
        <w:t>进一步强化日常监督，加强党风廉政教育，切实增强服务意识。</w:t>
      </w:r>
    </w:p>
    <w:p>
      <w:pPr>
        <w:pStyle w:val="26"/>
      </w:pPr>
      <w:r>
        <w:t>7、加强宣传培训调研等</w:t>
      </w:r>
    </w:p>
    <w:p>
      <w:pPr>
        <w:pStyle w:val="26"/>
      </w:pPr>
      <w:r>
        <w:t>定期开展业务培训，认真学习同级、上级各部门各单位的先进经验，加强和各媒体的沟通，及时将取得成绩进行宣传报道，开展满意度调查等活动，确保各项工作能够取得办事企业的认可。</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6"/>
        <w:tblW w:w="14934"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60"/>
        <w:gridCol w:w="1275"/>
        <w:gridCol w:w="1134"/>
        <w:gridCol w:w="3527"/>
        <w:gridCol w:w="2552"/>
        <w:gridCol w:w="1275"/>
        <w:gridCol w:w="1560"/>
        <w:gridCol w:w="1134"/>
        <w:gridCol w:w="141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127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134" w:type="dxa"/>
            <w:vMerge w:val="restart"/>
            <w:shd w:val="clear" w:color="auto" w:fill="auto"/>
            <w:tcMar>
              <w:top w:w="15" w:type="dxa"/>
              <w:left w:w="15" w:type="dxa"/>
              <w:bottom w:w="0" w:type="dxa"/>
              <w:right w:w="15" w:type="dxa"/>
            </w:tcMar>
            <w:vAlign w:val="center"/>
          </w:tcPr>
          <w:p>
            <w:pPr>
              <w:rPr>
                <w:rFonts w:ascii="方正书宋_GBK" w:eastAsia="方正书宋_GBK"/>
                <w:b/>
                <w:bCs/>
                <w:color w:val="000000"/>
              </w:rPr>
            </w:pPr>
            <w:r>
              <w:rPr>
                <w:rFonts w:hint="eastAsia" w:ascii="方正书宋_GBK" w:eastAsia="方正书宋_GBK"/>
                <w:b/>
                <w:bCs/>
                <w:color w:val="000000"/>
              </w:rPr>
              <w:t>三级指标</w:t>
            </w:r>
          </w:p>
        </w:tc>
        <w:tc>
          <w:tcPr>
            <w:tcW w:w="352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3969"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41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方正书宋_GBK" w:hAnsi="宋体" w:eastAsia="方正书宋_GBK" w:cs="宋体"/>
                <w:b/>
                <w:bCs/>
                <w:color w:val="000000"/>
              </w:rPr>
            </w:pPr>
          </w:p>
        </w:tc>
        <w:tc>
          <w:tcPr>
            <w:tcW w:w="127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134" w:type="dxa"/>
            <w:vMerge w:val="continue"/>
            <w:shd w:val="clear" w:color="auto" w:fill="auto"/>
            <w:vAlign w:val="center"/>
          </w:tcPr>
          <w:p>
            <w:pPr>
              <w:rPr>
                <w:rFonts w:ascii="方正书宋_GBK" w:hAnsi="宋体" w:eastAsia="方正书宋_GBK" w:cs="宋体"/>
                <w:b/>
                <w:bCs/>
                <w:color w:val="000000"/>
              </w:rPr>
            </w:pPr>
          </w:p>
        </w:tc>
        <w:tc>
          <w:tcPr>
            <w:tcW w:w="3527" w:type="dxa"/>
            <w:shd w:val="clear" w:color="auto" w:fill="auto"/>
            <w:vAlign w:val="center"/>
          </w:tcPr>
          <w:p>
            <w:pPr>
              <w:rPr>
                <w:rFonts w:ascii="方正书宋_GBK" w:hAnsi="宋体" w:eastAsia="方正书宋_GBK" w:cs="宋体"/>
                <w:b/>
                <w:bCs/>
                <w:color w:val="000000"/>
              </w:rPr>
            </w:pPr>
          </w:p>
        </w:tc>
        <w:tc>
          <w:tcPr>
            <w:tcW w:w="2552" w:type="dxa"/>
            <w:shd w:val="clear" w:color="auto" w:fill="auto"/>
            <w:vAlign w:val="center"/>
          </w:tcPr>
          <w:p>
            <w:pPr>
              <w:rPr>
                <w:rFonts w:ascii="方正书宋_GBK" w:hAnsi="宋体" w:eastAsia="方正书宋_GBK" w:cs="宋体"/>
                <w:b/>
                <w:bCs/>
                <w:color w:val="000000"/>
              </w:rPr>
            </w:pPr>
          </w:p>
        </w:tc>
        <w:tc>
          <w:tcPr>
            <w:tcW w:w="127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56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41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部门产出</w:t>
            </w:r>
          </w:p>
        </w:tc>
        <w:tc>
          <w:tcPr>
            <w:tcW w:w="127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预算绩效目标管理覆盖率</w:t>
            </w: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2"/>
                <w:rFonts w:hint="default"/>
              </w:rPr>
              <w:t>达到目标值得权重分的100%，每降低1%扣10%权重分，扣完为止</w:t>
            </w:r>
            <w:r>
              <w:rPr>
                <w:rStyle w:val="33"/>
                <w:rFonts w:hint="default"/>
              </w:rPr>
              <w:t>。</w:t>
            </w:r>
          </w:p>
        </w:tc>
        <w:tc>
          <w:tcPr>
            <w:tcW w:w="2552"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纳入绩效目标管理的部门和项目占所有部门和项目的比例</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vMerge w:val="continue"/>
            <w:shd w:val="clear" w:color="auto" w:fill="auto"/>
            <w:vAlign w:val="center"/>
          </w:tcPr>
          <w:p>
            <w:pPr>
              <w:rPr>
                <w:rFonts w:ascii="仿宋_GB2312" w:hAnsi="宋体" w:eastAsia="仿宋_GB2312" w:cs="宋体"/>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深化指尖办数量</w:t>
            </w: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完成目标得权重分值的100%，每降低5%，扣权重分</w:t>
            </w:r>
            <w:r>
              <w:rPr>
                <w:rFonts w:hint="eastAsia" w:ascii="仿宋_GB2312" w:eastAsia="仿宋_GB2312"/>
                <w:color w:val="000000"/>
                <w:sz w:val="21"/>
                <w:szCs w:val="21"/>
                <w:lang w:eastAsia="zh-CN"/>
              </w:rPr>
              <w:t>的</w:t>
            </w:r>
            <w:r>
              <w:rPr>
                <w:rFonts w:hint="eastAsia" w:ascii="仿宋_GB2312" w:eastAsia="仿宋_GB2312"/>
                <w:color w:val="000000"/>
                <w:sz w:val="21"/>
                <w:szCs w:val="21"/>
              </w:rPr>
              <w:t>10%，扣完为止。</w:t>
            </w:r>
          </w:p>
        </w:tc>
        <w:tc>
          <w:tcPr>
            <w:tcW w:w="2552"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政务服务大厅事项上线“冀时办”数量</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240</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项</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实有情况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预决算公开工作准确</w:t>
            </w: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达标得满分，未达标不得分</w:t>
            </w:r>
          </w:p>
        </w:tc>
        <w:tc>
          <w:tcPr>
            <w:tcW w:w="2552"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2"/>
                <w:rFonts w:hint="default"/>
              </w:rPr>
              <w:t>考察部门预决算公开时间情况</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560" w:type="dxa"/>
            <w:shd w:val="clear" w:color="auto" w:fill="auto"/>
            <w:tcMar>
              <w:top w:w="15" w:type="dxa"/>
              <w:left w:w="15" w:type="dxa"/>
              <w:bottom w:w="0" w:type="dxa"/>
              <w:right w:w="15" w:type="dxa"/>
            </w:tcMar>
            <w:vAlign w:val="center"/>
          </w:tcPr>
          <w:p>
            <w:pPr>
              <w:jc w:val="center"/>
              <w:rPr>
                <w:sz w:val="20"/>
                <w:szCs w:val="20"/>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Style w:val="32"/>
                <w:rFonts w:hint="default"/>
              </w:rPr>
              <w:t>人大批准后</w:t>
            </w:r>
            <w:r>
              <w:rPr>
                <w:rStyle w:val="34"/>
                <w:rFonts w:eastAsia="仿宋_GB2312"/>
              </w:rPr>
              <w:t>20</w:t>
            </w:r>
            <w:r>
              <w:rPr>
                <w:rStyle w:val="32"/>
                <w:rFonts w:hint="default"/>
              </w:rPr>
              <w:t>日内</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134" w:type="dxa"/>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审批、服务事项按时办结率</w:t>
            </w:r>
          </w:p>
        </w:tc>
        <w:tc>
          <w:tcPr>
            <w:tcW w:w="3527" w:type="dxa"/>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达到目标值得权重分的100%，每降低10%，扣减权重分的20%。</w:t>
            </w:r>
          </w:p>
        </w:tc>
        <w:tc>
          <w:tcPr>
            <w:tcW w:w="2552" w:type="dxa"/>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简化审批流程，精简审批要件，压缩审批时限，提高审批效</w:t>
            </w:r>
          </w:p>
        </w:tc>
        <w:tc>
          <w:tcPr>
            <w:tcW w:w="1275" w:type="dxa"/>
            <w:shd w:val="clear" w:color="auto" w:fill="auto"/>
            <w:tcMar>
              <w:top w:w="15" w:type="dxa"/>
              <w:left w:w="15" w:type="dxa"/>
              <w:bottom w:w="0" w:type="dxa"/>
              <w:right w:w="15" w:type="dxa"/>
            </w:tcMar>
          </w:tcPr>
          <w:p>
            <w:pPr>
              <w:jc w:val="center"/>
              <w:rPr>
                <w:rFonts w:ascii="仿宋_GB2312" w:eastAsia="仿宋_GB2312"/>
                <w:color w:val="000000"/>
                <w:sz w:val="21"/>
                <w:szCs w:val="21"/>
              </w:rPr>
            </w:pPr>
          </w:p>
        </w:tc>
        <w:tc>
          <w:tcPr>
            <w:tcW w:w="1560" w:type="dxa"/>
            <w:shd w:val="clear" w:color="auto" w:fill="auto"/>
            <w:tcMar>
              <w:top w:w="15" w:type="dxa"/>
              <w:left w:w="15" w:type="dxa"/>
              <w:bottom w:w="0" w:type="dxa"/>
              <w:right w:w="15" w:type="dxa"/>
            </w:tcMar>
          </w:tcPr>
          <w:p>
            <w:pPr>
              <w:jc w:val="center"/>
              <w:rPr>
                <w:sz w:val="20"/>
                <w:szCs w:val="20"/>
              </w:rPr>
            </w:pPr>
          </w:p>
        </w:tc>
        <w:tc>
          <w:tcPr>
            <w:tcW w:w="1134" w:type="dxa"/>
            <w:shd w:val="clear" w:color="auto" w:fill="auto"/>
            <w:tcMar>
              <w:top w:w="15" w:type="dxa"/>
              <w:left w:w="15" w:type="dxa"/>
              <w:bottom w:w="0" w:type="dxa"/>
              <w:right w:w="15" w:type="dxa"/>
            </w:tcMar>
          </w:tcPr>
          <w:p>
            <w:pPr>
              <w:jc w:val="center"/>
              <w:rPr>
                <w:sz w:val="20"/>
                <w:szCs w:val="20"/>
              </w:rPr>
            </w:pPr>
          </w:p>
        </w:tc>
        <w:tc>
          <w:tcPr>
            <w:tcW w:w="1417"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vMerge w:val="continue"/>
            <w:shd w:val="clear" w:color="auto" w:fill="auto"/>
            <w:vAlign w:val="center"/>
          </w:tcPr>
          <w:p>
            <w:pPr>
              <w:rPr>
                <w:rFonts w:ascii="仿宋_GB2312" w:hAnsi="宋体" w:eastAsia="仿宋_GB2312" w:cs="宋体"/>
                <w:color w:val="000000"/>
                <w:sz w:val="21"/>
                <w:szCs w:val="21"/>
              </w:rPr>
            </w:pPr>
          </w:p>
        </w:tc>
        <w:tc>
          <w:tcPr>
            <w:tcW w:w="1134" w:type="dxa"/>
            <w:shd w:val="clear" w:color="auto" w:fill="auto"/>
            <w:vAlign w:val="center"/>
          </w:tcPr>
          <w:p>
            <w:pPr>
              <w:rPr>
                <w:rFonts w:ascii="仿宋_GB2312" w:hAnsi="宋体" w:eastAsia="仿宋_GB2312" w:cs="宋体"/>
                <w:color w:val="000000"/>
                <w:sz w:val="21"/>
                <w:szCs w:val="21"/>
              </w:rPr>
            </w:pPr>
          </w:p>
        </w:tc>
        <w:tc>
          <w:tcPr>
            <w:tcW w:w="3527" w:type="dxa"/>
            <w:shd w:val="clear" w:color="auto" w:fill="auto"/>
            <w:vAlign w:val="center"/>
          </w:tcPr>
          <w:p>
            <w:pPr>
              <w:rPr>
                <w:rFonts w:ascii="仿宋_GB2312" w:hAnsi="宋体" w:eastAsia="仿宋_GB2312" w:cs="宋体"/>
                <w:color w:val="000000"/>
                <w:sz w:val="21"/>
                <w:szCs w:val="21"/>
              </w:rPr>
            </w:pPr>
          </w:p>
        </w:tc>
        <w:tc>
          <w:tcPr>
            <w:tcW w:w="2552" w:type="dxa"/>
            <w:shd w:val="clear" w:color="auto" w:fill="auto"/>
            <w:vAlign w:val="center"/>
          </w:tcPr>
          <w:p>
            <w:pPr>
              <w:rPr>
                <w:rFonts w:ascii="仿宋_GB2312" w:hAnsi="宋体" w:eastAsia="仿宋_GB2312" w:cs="宋体"/>
                <w:color w:val="000000"/>
                <w:sz w:val="21"/>
                <w:szCs w:val="21"/>
              </w:rPr>
            </w:pPr>
          </w:p>
        </w:tc>
        <w:tc>
          <w:tcPr>
            <w:tcW w:w="1275" w:type="dxa"/>
            <w:shd w:val="clear" w:color="auto" w:fill="auto"/>
            <w:tcMar>
              <w:top w:w="15" w:type="dxa"/>
              <w:left w:w="15" w:type="dxa"/>
              <w:bottom w:w="0" w:type="dxa"/>
              <w:right w:w="15" w:type="dxa"/>
            </w:tcMar>
          </w:tcPr>
          <w:p>
            <w:pPr>
              <w:ind w:firstLine="210" w:firstLineChars="100"/>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95</w:t>
            </w:r>
          </w:p>
        </w:tc>
        <w:tc>
          <w:tcPr>
            <w:tcW w:w="1134" w:type="dxa"/>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417" w:type="dxa"/>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vMerge w:val="continue"/>
            <w:shd w:val="clear" w:color="auto" w:fill="auto"/>
            <w:vAlign w:val="center"/>
          </w:tcPr>
          <w:p>
            <w:pPr>
              <w:rPr>
                <w:rFonts w:ascii="仿宋_GB2312" w:hAnsi="宋体" w:eastAsia="仿宋_GB2312" w:cs="宋体"/>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企业开办时间</w:t>
            </w: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压缩至7个小时及以下得满分，未完成不得分。</w:t>
            </w:r>
          </w:p>
        </w:tc>
        <w:tc>
          <w:tcPr>
            <w:tcW w:w="2552"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反映企业开办时间</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7</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小时</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相关资料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公用经费控制率</w:t>
            </w: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1.三公经费实际支出数≤预算安排的三公经费数，得权重分的50%，否则不得分；</w:t>
            </w:r>
          </w:p>
        </w:tc>
        <w:tc>
          <w:tcPr>
            <w:tcW w:w="2552"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部门本年度实际支出的公用经费总额与预算安排的公用经费总额的比率，反映和考核部门对机构运转成本的实际可控制程度</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vMerge w:val="continue"/>
            <w:shd w:val="clear" w:color="auto" w:fill="auto"/>
            <w:vAlign w:val="center"/>
          </w:tcPr>
          <w:p>
            <w:pPr>
              <w:rPr>
                <w:rFonts w:ascii="仿宋_GB2312" w:hAnsi="宋体" w:eastAsia="仿宋_GB2312" w:cs="宋体"/>
                <w:color w:val="000000"/>
                <w:sz w:val="21"/>
                <w:szCs w:val="21"/>
              </w:rPr>
            </w:pPr>
          </w:p>
        </w:tc>
        <w:tc>
          <w:tcPr>
            <w:tcW w:w="1134" w:type="dxa"/>
            <w:shd w:val="clear" w:color="auto" w:fill="auto"/>
            <w:vAlign w:val="center"/>
          </w:tcPr>
          <w:p>
            <w:pPr>
              <w:rPr>
                <w:rFonts w:ascii="仿宋_GB2312" w:hAnsi="宋体" w:eastAsia="仿宋_GB2312" w:cs="宋体"/>
                <w:color w:val="000000"/>
                <w:sz w:val="21"/>
                <w:szCs w:val="21"/>
              </w:rPr>
            </w:pP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2.日常公用经费决算数≤日常公用经费调整预算数，得权重分的50%，否则不得分</w:t>
            </w:r>
          </w:p>
        </w:tc>
        <w:tc>
          <w:tcPr>
            <w:tcW w:w="2552" w:type="dxa"/>
            <w:shd w:val="clear" w:color="auto" w:fill="auto"/>
            <w:vAlign w:val="center"/>
          </w:tcPr>
          <w:p>
            <w:pPr>
              <w:rPr>
                <w:rFonts w:ascii="仿宋_GB2312" w:hAnsi="宋体" w:eastAsia="仿宋_GB2312" w:cs="宋体"/>
                <w:color w:val="000000"/>
                <w:sz w:val="21"/>
                <w:szCs w:val="21"/>
              </w:rPr>
            </w:pPr>
          </w:p>
        </w:tc>
        <w:tc>
          <w:tcPr>
            <w:tcW w:w="1275" w:type="dxa"/>
            <w:shd w:val="clear" w:color="auto" w:fill="auto"/>
            <w:vAlign w:val="center"/>
          </w:tcPr>
          <w:p>
            <w:pPr>
              <w:rPr>
                <w:rFonts w:ascii="仿宋_GB2312" w:hAnsi="宋体" w:eastAsia="仿宋_GB2312" w:cs="宋体"/>
                <w:color w:val="000000"/>
                <w:sz w:val="21"/>
                <w:szCs w:val="21"/>
              </w:rPr>
            </w:pPr>
          </w:p>
        </w:tc>
        <w:tc>
          <w:tcPr>
            <w:tcW w:w="1560" w:type="dxa"/>
            <w:shd w:val="clear" w:color="auto" w:fill="auto"/>
            <w:vAlign w:val="center"/>
          </w:tcPr>
          <w:p>
            <w:pPr>
              <w:rPr>
                <w:rFonts w:ascii="仿宋_GB2312" w:hAnsi="宋体" w:eastAsia="仿宋_GB2312" w:cs="宋体"/>
                <w:color w:val="000000"/>
                <w:sz w:val="21"/>
                <w:szCs w:val="21"/>
              </w:rPr>
            </w:pPr>
          </w:p>
        </w:tc>
        <w:tc>
          <w:tcPr>
            <w:tcW w:w="1134" w:type="dxa"/>
            <w:shd w:val="clear" w:color="auto" w:fill="auto"/>
            <w:vAlign w:val="center"/>
          </w:tcPr>
          <w:p>
            <w:pPr>
              <w:rPr>
                <w:rFonts w:ascii="仿宋_GB2312" w:hAnsi="宋体" w:eastAsia="仿宋_GB2312" w:cs="宋体"/>
                <w:color w:val="000000"/>
                <w:sz w:val="21"/>
                <w:szCs w:val="21"/>
              </w:rPr>
            </w:pPr>
          </w:p>
        </w:tc>
        <w:tc>
          <w:tcPr>
            <w:tcW w:w="1417" w:type="dxa"/>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127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持续优化提升审批服务效能</w:t>
            </w: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达到目标值得权重分的100%，每提高10%，扣减权重分的20%，扣完为止。</w:t>
            </w:r>
          </w:p>
        </w:tc>
        <w:tc>
          <w:tcPr>
            <w:tcW w:w="2552"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反映压缩企业开办时间情况</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7</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小时</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相关资料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vMerge w:val="continue"/>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政务服务事项网上可办率</w:t>
            </w:r>
          </w:p>
        </w:tc>
        <w:tc>
          <w:tcPr>
            <w:tcW w:w="352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完成目标得权重分值的100%，每降低5%，扣权重分</w:t>
            </w:r>
            <w:r>
              <w:rPr>
                <w:rFonts w:hint="eastAsia" w:ascii="仿宋_GB2312" w:eastAsia="仿宋_GB2312"/>
                <w:color w:val="000000"/>
                <w:sz w:val="21"/>
                <w:szCs w:val="21"/>
                <w:lang w:eastAsia="zh-CN"/>
              </w:rPr>
              <w:t>的</w:t>
            </w:r>
            <w:r>
              <w:rPr>
                <w:rFonts w:hint="eastAsia" w:ascii="仿宋_GB2312" w:eastAsia="仿宋_GB2312"/>
                <w:color w:val="000000"/>
                <w:sz w:val="21"/>
                <w:szCs w:val="21"/>
              </w:rPr>
              <w:t>10%，扣完为止。</w:t>
            </w:r>
          </w:p>
        </w:tc>
        <w:tc>
          <w:tcPr>
            <w:tcW w:w="2552"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（网上可办理政务服务事项/全部政务服务事项）*100%</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shd w:val="clear" w:color="auto" w:fill="auto"/>
            <w:vAlign w:val="center"/>
          </w:tcPr>
          <w:p>
            <w:pPr>
              <w:rPr>
                <w:rFonts w:ascii="仿宋_GB2312" w:hAnsi="宋体" w:eastAsia="仿宋_GB2312" w:cs="宋体"/>
                <w:color w:val="000000"/>
                <w:sz w:val="21"/>
                <w:szCs w:val="21"/>
              </w:rPr>
            </w:pP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134" w:type="dxa"/>
            <w:shd w:val="clear" w:color="auto" w:fill="auto"/>
            <w:noWrap/>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社会群众满意度</w:t>
            </w:r>
          </w:p>
        </w:tc>
        <w:tc>
          <w:tcPr>
            <w:tcW w:w="3527" w:type="dxa"/>
            <w:shd w:val="clear" w:color="auto" w:fill="auto"/>
            <w:noWrap/>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达到目标得权重分的100%，每降低5%扣减权重分的10%，低于60%不得分</w:t>
            </w:r>
          </w:p>
        </w:tc>
        <w:tc>
          <w:tcPr>
            <w:tcW w:w="2552" w:type="dxa"/>
            <w:shd w:val="clear" w:color="auto" w:fill="auto"/>
            <w:noWrap/>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考察社会群众对审批局相关工作综合满意度</w:t>
            </w:r>
          </w:p>
        </w:tc>
        <w:tc>
          <w:tcPr>
            <w:tcW w:w="127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56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141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问询</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1、国防动员指挥培训基地物业服务费绩效目标表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1.目标内容1为政务中心院内各单位营造良好的工作环境，加强对公共秩序、车辆、环境等管理工作，保障院内各单位正常运行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配备物业服务人员数量</w:t>
            </w:r>
          </w:p>
        </w:tc>
        <w:tc>
          <w:tcPr>
            <w:tcW w:w="2835" w:type="dxa"/>
            <w:vAlign w:val="center"/>
          </w:tcPr>
          <w:p>
            <w:pPr>
              <w:pStyle w:val="15"/>
            </w:pPr>
            <w:r>
              <w:t>配备物业服务人员数量不少于</w:t>
            </w:r>
          </w:p>
        </w:tc>
        <w:tc>
          <w:tcPr>
            <w:tcW w:w="2551" w:type="dxa"/>
            <w:vAlign w:val="center"/>
          </w:tcPr>
          <w:p>
            <w:pPr>
              <w:pStyle w:val="15"/>
            </w:pPr>
            <w:r>
              <w:t>≥21人</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后勤保障率</w:t>
            </w:r>
          </w:p>
        </w:tc>
        <w:tc>
          <w:tcPr>
            <w:tcW w:w="2835" w:type="dxa"/>
            <w:vAlign w:val="center"/>
          </w:tcPr>
          <w:p>
            <w:pPr>
              <w:pStyle w:val="15"/>
            </w:pPr>
            <w:r>
              <w:t>后勤保障率</w:t>
            </w:r>
          </w:p>
        </w:tc>
        <w:tc>
          <w:tcPr>
            <w:tcW w:w="2551" w:type="dxa"/>
            <w:vAlign w:val="center"/>
          </w:tcPr>
          <w:p>
            <w:pPr>
              <w:pStyle w:val="15"/>
            </w:pPr>
            <w:r>
              <w:t>100%</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法定时效</w:t>
            </w:r>
          </w:p>
        </w:tc>
        <w:tc>
          <w:tcPr>
            <w:tcW w:w="2835" w:type="dxa"/>
            <w:vAlign w:val="center"/>
          </w:tcPr>
          <w:p>
            <w:pPr>
              <w:pStyle w:val="15"/>
            </w:pPr>
            <w:r>
              <w:t>按照合同规定时间</w:t>
            </w:r>
          </w:p>
        </w:tc>
        <w:tc>
          <w:tcPr>
            <w:tcW w:w="2551" w:type="dxa"/>
            <w:vAlign w:val="center"/>
          </w:tcPr>
          <w:p>
            <w:pPr>
              <w:pStyle w:val="15"/>
            </w:pPr>
            <w:r>
              <w:t>符合法定时效</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w:t>
            </w:r>
          </w:p>
        </w:tc>
        <w:tc>
          <w:tcPr>
            <w:tcW w:w="2551" w:type="dxa"/>
            <w:vAlign w:val="center"/>
          </w:tcPr>
          <w:p>
            <w:pPr>
              <w:pStyle w:val="15"/>
            </w:pPr>
            <w:r>
              <w:t>≤84.76万元</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促进经济增长</w:t>
            </w:r>
          </w:p>
        </w:tc>
        <w:tc>
          <w:tcPr>
            <w:tcW w:w="2835" w:type="dxa"/>
            <w:vAlign w:val="center"/>
          </w:tcPr>
          <w:p>
            <w:pPr>
              <w:pStyle w:val="15"/>
            </w:pPr>
            <w:r>
              <w:t>促进经济增长水平</w:t>
            </w:r>
          </w:p>
        </w:tc>
        <w:tc>
          <w:tcPr>
            <w:tcW w:w="2551" w:type="dxa"/>
            <w:vAlign w:val="center"/>
          </w:tcPr>
          <w:p>
            <w:pPr>
              <w:pStyle w:val="15"/>
            </w:pPr>
            <w:r>
              <w:t>有所提高</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通过完善后勤保障使社会稳定水平逐步提高</w:t>
            </w:r>
          </w:p>
        </w:tc>
        <w:tc>
          <w:tcPr>
            <w:tcW w:w="2551" w:type="dxa"/>
            <w:vAlign w:val="center"/>
          </w:tcPr>
          <w:p>
            <w:pPr>
              <w:pStyle w:val="15"/>
            </w:pPr>
            <w:r>
              <w:t>有所提高</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各服务单位满意度</w:t>
            </w:r>
          </w:p>
        </w:tc>
        <w:tc>
          <w:tcPr>
            <w:tcW w:w="2551" w:type="dxa"/>
            <w:vAlign w:val="center"/>
          </w:tcPr>
          <w:p>
            <w:pPr>
              <w:pStyle w:val="15"/>
            </w:pPr>
            <w:r>
              <w:t>≥95%</w:t>
            </w:r>
          </w:p>
        </w:tc>
        <w:tc>
          <w:tcPr>
            <w:tcW w:w="2268"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2023年，廊坊市广阳区行政审批局安排政府采购预算84.76万元。具体内容见下表。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161廊坊市广阳区行政审批局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84.76</w:t>
            </w:r>
          </w:p>
        </w:tc>
        <w:tc>
          <w:tcPr>
            <w:tcW w:w="964" w:type="dxa"/>
            <w:vAlign w:val="center"/>
          </w:tcPr>
          <w:p>
            <w:pPr>
              <w:pStyle w:val="18"/>
            </w:pPr>
            <w:r>
              <w:t>84.76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廊坊市广阳区行政审批局本级小计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84.76</w:t>
            </w:r>
          </w:p>
        </w:tc>
        <w:tc>
          <w:tcPr>
            <w:tcW w:w="964" w:type="dxa"/>
            <w:vAlign w:val="center"/>
          </w:tcPr>
          <w:p>
            <w:pPr>
              <w:pStyle w:val="18"/>
            </w:pPr>
            <w:r>
              <w:t>84.76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国防动员指挥培训基地物业服务费</w:t>
            </w:r>
          </w:p>
        </w:tc>
        <w:tc>
          <w:tcPr>
            <w:tcW w:w="964" w:type="dxa"/>
            <w:vAlign w:val="center"/>
          </w:tcPr>
          <w:p>
            <w:pPr>
              <w:pStyle w:val="14"/>
            </w:pPr>
            <w:r>
              <w:t>84.76</w:t>
            </w:r>
          </w:p>
        </w:tc>
        <w:tc>
          <w:tcPr>
            <w:tcW w:w="1134" w:type="dxa"/>
            <w:vAlign w:val="center"/>
          </w:tcPr>
          <w:p>
            <w:pPr>
              <w:pStyle w:val="15"/>
            </w:pPr>
            <w:r>
              <w:t>物业管理服务</w:t>
            </w:r>
          </w:p>
        </w:tc>
        <w:tc>
          <w:tcPr>
            <w:tcW w:w="1134" w:type="dxa"/>
            <w:vAlign w:val="center"/>
          </w:tcPr>
          <w:p>
            <w:pPr>
              <w:pStyle w:val="15"/>
            </w:pPr>
            <w:r>
              <w:t>C21040000</w:t>
            </w:r>
          </w:p>
        </w:tc>
        <w:tc>
          <w:tcPr>
            <w:tcW w:w="709" w:type="dxa"/>
            <w:vAlign w:val="center"/>
          </w:tcPr>
          <w:p>
            <w:pPr>
              <w:pStyle w:val="16"/>
            </w:pPr>
            <w:r>
              <w:t>个</w:t>
            </w:r>
          </w:p>
        </w:tc>
        <w:tc>
          <w:tcPr>
            <w:tcW w:w="850" w:type="dxa"/>
            <w:vAlign w:val="center"/>
          </w:tcPr>
          <w:p>
            <w:pPr>
              <w:pStyle w:val="14"/>
            </w:pPr>
            <w:r>
              <w:t>1</w:t>
            </w:r>
          </w:p>
        </w:tc>
        <w:tc>
          <w:tcPr>
            <w:tcW w:w="850" w:type="dxa"/>
            <w:vAlign w:val="center"/>
          </w:tcPr>
          <w:p>
            <w:pPr>
              <w:pStyle w:val="14"/>
            </w:pPr>
            <w:r>
              <w:t>84.76</w:t>
            </w:r>
          </w:p>
        </w:tc>
        <w:tc>
          <w:tcPr>
            <w:tcW w:w="964" w:type="dxa"/>
            <w:vAlign w:val="center"/>
          </w:tcPr>
          <w:p>
            <w:pPr>
              <w:pStyle w:val="14"/>
            </w:pPr>
            <w:r>
              <w:t>84.76</w:t>
            </w:r>
          </w:p>
        </w:tc>
        <w:tc>
          <w:tcPr>
            <w:tcW w:w="964" w:type="dxa"/>
            <w:vAlign w:val="center"/>
          </w:tcPr>
          <w:p>
            <w:pPr>
              <w:pStyle w:val="14"/>
            </w:pPr>
            <w:r>
              <w:t>84.76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84.76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廊坊市广阳区行政审批局（含所属单位）上年末固定资产金额为76.28万元（详见下表）。本年度拟购置固定资产总额为2.00万元，已按要求列入政府采购预算，详见政府采购预算表。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161廊坊市广阳区行政审批局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r>
              <w:t>291</w:t>
            </w:r>
          </w:p>
        </w:tc>
        <w:tc>
          <w:tcPr>
            <w:tcW w:w="2835" w:type="dxa"/>
            <w:vAlign w:val="center"/>
          </w:tcPr>
          <w:p>
            <w:pPr>
              <w:pStyle w:val="14"/>
            </w:pPr>
            <w:r>
              <w:t>56.66</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C2E1C"/>
    <w:rsid w:val="001C2E1C"/>
    <w:rsid w:val="008975AB"/>
    <w:rsid w:val="008F1A8C"/>
    <w:rsid w:val="00BB204C"/>
    <w:rsid w:val="00D05DB1"/>
    <w:rsid w:val="00D11CDB"/>
    <w:rsid w:val="00D447BC"/>
    <w:rsid w:val="0BBD74B5"/>
    <w:rsid w:val="24A1300C"/>
    <w:rsid w:val="3E9F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2">
    <w:name w:val="font41"/>
    <w:basedOn w:val="8"/>
    <w:qFormat/>
    <w:uiPriority w:val="0"/>
    <w:rPr>
      <w:rFonts w:hint="eastAsia" w:ascii="仿宋_GB2312" w:eastAsia="仿宋_GB2312"/>
      <w:color w:val="000000"/>
      <w:sz w:val="21"/>
      <w:szCs w:val="21"/>
      <w:u w:val="none"/>
    </w:rPr>
  </w:style>
  <w:style w:type="character" w:customStyle="1" w:styleId="33">
    <w:name w:val="font31"/>
    <w:basedOn w:val="8"/>
    <w:qFormat/>
    <w:uiPriority w:val="0"/>
    <w:rPr>
      <w:rFonts w:hint="eastAsia" w:ascii="仿宋_GB2312" w:eastAsia="仿宋_GB2312"/>
      <w:color w:val="000000"/>
      <w:sz w:val="21"/>
      <w:szCs w:val="21"/>
      <w:u w:val="none"/>
    </w:rPr>
  </w:style>
  <w:style w:type="character" w:customStyle="1" w:styleId="34">
    <w:name w:val="font1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2023-03-13T11:03:34Z</dcterms:created>
  <dcterms:modified xsi:type="dcterms:W3CDTF">2023-03-13T03:03:34Z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2023-03-13T11:03:29Z</dcterms:created>
  <dcterms:modified xsi:type="dcterms:W3CDTF">2023-03-13T03:03:29Z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2023-03-13T11:03:34Z</dcterms:created>
  <dcterms:modified xsi:type="dcterms:W3CDTF">2023-03-13T03:03:34Z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2023-03-13T11:03:33Z</dcterms:created>
  <dcterms:modified xsi:type="dcterms:W3CDTF">2023-03-13T03:03:33Z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5D890EA-1CA3-46B5-81DE-ED6D8E0064C1}">
  <ds:schemaRefs/>
</ds:datastoreItem>
</file>

<file path=customXml/itemProps10.xml><?xml version="1.0" encoding="utf-8"?>
<ds:datastoreItem xmlns:ds="http://schemas.openxmlformats.org/officeDocument/2006/customXml" ds:itemID="{72BC92BC-D990-4A41-AC89-5D0E126D35EC}">
  <ds:schemaRefs/>
</ds:datastoreItem>
</file>

<file path=customXml/itemProps11.xml><?xml version="1.0" encoding="utf-8"?>
<ds:datastoreItem xmlns:ds="http://schemas.openxmlformats.org/officeDocument/2006/customXml" ds:itemID="{46101207-1B87-4A62-92E0-C988BFE2613F}">
  <ds:schemaRefs/>
</ds:datastoreItem>
</file>

<file path=customXml/itemProps12.xml><?xml version="1.0" encoding="utf-8"?>
<ds:datastoreItem xmlns:ds="http://schemas.openxmlformats.org/officeDocument/2006/customXml" ds:itemID="{EA0E43F8-E537-435B-89AD-0B83E4E11301}">
  <ds:schemaRefs/>
</ds:datastoreItem>
</file>

<file path=customXml/itemProps13.xml><?xml version="1.0" encoding="utf-8"?>
<ds:datastoreItem xmlns:ds="http://schemas.openxmlformats.org/officeDocument/2006/customXml" ds:itemID="{6E9AA71A-239D-4A03-900D-F11E1DD89340}">
  <ds:schemaRefs/>
</ds:datastoreItem>
</file>

<file path=customXml/itemProps14.xml><?xml version="1.0" encoding="utf-8"?>
<ds:datastoreItem xmlns:ds="http://schemas.openxmlformats.org/officeDocument/2006/customXml" ds:itemID="{70473085-6040-48C5-B7BD-6217E91E99BE}">
  <ds:schemaRefs/>
</ds:datastoreItem>
</file>

<file path=customXml/itemProps2.xml><?xml version="1.0" encoding="utf-8"?>
<ds:datastoreItem xmlns:ds="http://schemas.openxmlformats.org/officeDocument/2006/customXml" ds:itemID="{83471EAB-BA6B-4052-ADF8-FD560F0E24AC}">
  <ds:schemaRefs/>
</ds:datastoreItem>
</file>

<file path=customXml/itemProps3.xml><?xml version="1.0" encoding="utf-8"?>
<ds:datastoreItem xmlns:ds="http://schemas.openxmlformats.org/officeDocument/2006/customXml" ds:itemID="{811A617B-024A-472A-A76D-487515C7C7DB}">
  <ds:schemaRefs/>
</ds:datastoreItem>
</file>

<file path=customXml/itemProps4.xml><?xml version="1.0" encoding="utf-8"?>
<ds:datastoreItem xmlns:ds="http://schemas.openxmlformats.org/officeDocument/2006/customXml" ds:itemID="{63497AA9-5406-4CF9-A80A-B94DCE5F3842}">
  <ds:schemaRefs/>
</ds:datastoreItem>
</file>

<file path=customXml/itemProps5.xml><?xml version="1.0" encoding="utf-8"?>
<ds:datastoreItem xmlns:ds="http://schemas.openxmlformats.org/officeDocument/2006/customXml" ds:itemID="{C8F43053-77A3-4DE5-9AC2-8F3DC12A455E}">
  <ds:schemaRefs/>
</ds:datastoreItem>
</file>

<file path=customXml/itemProps6.xml><?xml version="1.0" encoding="utf-8"?>
<ds:datastoreItem xmlns:ds="http://schemas.openxmlformats.org/officeDocument/2006/customXml" ds:itemID="{48446A68-2EE5-4B22-A613-1B33B43FC880}">
  <ds:schemaRefs/>
</ds:datastoreItem>
</file>

<file path=customXml/itemProps7.xml><?xml version="1.0" encoding="utf-8"?>
<ds:datastoreItem xmlns:ds="http://schemas.openxmlformats.org/officeDocument/2006/customXml" ds:itemID="{D1F7B5A9-64B3-4D8F-A698-D145BFEE250E}">
  <ds:schemaRefs/>
</ds:datastoreItem>
</file>

<file path=customXml/itemProps8.xml><?xml version="1.0" encoding="utf-8"?>
<ds:datastoreItem xmlns:ds="http://schemas.openxmlformats.org/officeDocument/2006/customXml" ds:itemID="{B408D640-EF7C-4F69-B93C-38A12B21BB32}">
  <ds:schemaRefs/>
</ds:datastoreItem>
</file>

<file path=customXml/itemProps9.xml><?xml version="1.0" encoding="utf-8"?>
<ds:datastoreItem xmlns:ds="http://schemas.openxmlformats.org/officeDocument/2006/customXml" ds:itemID="{72AAA055-AAE5-4685-99E9-D91677209973}">
  <ds:schemaRefs/>
</ds:datastoreItem>
</file>

<file path=docProps/app.xml><?xml version="1.0" encoding="utf-8"?>
<Properties xmlns="http://schemas.openxmlformats.org/officeDocument/2006/extended-properties" xmlns:vt="http://schemas.openxmlformats.org/officeDocument/2006/docPropsVTypes">
  <Template>Normal</Template>
  <Pages>30</Pages>
  <Words>1847</Words>
  <Characters>10534</Characters>
  <Lines>87</Lines>
  <Paragraphs>24</Paragraphs>
  <TotalTime>8</TotalTime>
  <ScaleCrop>false</ScaleCrop>
  <LinksUpToDate>false</LinksUpToDate>
  <CharactersWithSpaces>12357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lenovo</dc:creator>
  <cp:lastModifiedBy>111</cp:lastModifiedBy>
  <dcterms:modified xsi:type="dcterms:W3CDTF">2024-05-15T08:25:42Z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5F016F21F7DC4428B21F1A28B2D1BF80</vt:lpwstr>
  </property>
</Properties>
</file>