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bookmarkStart w:id="7" w:name="_GoBack"/>
      <w:r>
        <w:rPr>
          <w:rFonts w:hint="eastAsia" w:ascii="Times New Roman" w:hAnsi="Times New Roman" w:eastAsia="方正小标宋简体" w:cs="Times New Roman"/>
          <w:sz w:val="44"/>
          <w:szCs w:val="44"/>
        </w:rPr>
        <w:t>万庄镇伊指挥营中心小学</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bookmarkEnd w:id="7"/>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广阳区万庄镇伊指挥营中心小学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1、贯彻执行党和国家的教育方针、政策、法律法规，制定我校的长远规划和年度计划，并组织实施。</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2、负责教育基本信息的统计、分析。</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3、负责基础教育的管理。推进义务教育均衡发展和促进教育公平，全面实施素质教育。</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4、负责学校教师队伍的建设和管理，提高教师队伍素质。</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5、负责本部门教育经费的统筹管理，教育经费预决算工作，教育经费的管理和使用；统筹规划和管理学校基本建设和设施的配置及计划统计工作。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6、管理学校的党建、思想政治、宣传统战和维护稳定以及德育、体育、卫生防疫与艺术教育、国防教育工作；负责学校的安全监督管理。</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7、负责做好学校的招生、考试工作；负责管理本校教师学历教育及考试工作。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8、负责组织开展学校教育的督导评估、检查验收、质量监测等工作。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9、负责学校党的政治建设、思想建设、组织建设、作风建设、纪律建设和制度建设。</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、负责学校学生和教师的思想政治工作，学校思想政治队伍建设和学校校本课程教育教学。</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、负责学校安全稳定工作。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、做好本校体育事业发展规划、全民健身计划，开展群众性体育活动。</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、做好上级部门交办的其他事项。</w:t>
      </w:r>
    </w:p>
    <w:p>
      <w:pPr>
        <w:spacing w:line="584" w:lineRule="exact"/>
        <w:ind w:firstLine="660"/>
        <w:rPr>
          <w:rFonts w:ascii="Times New Roman" w:hAnsi="Times New Roman" w:eastAsia="仿宋_GB2312" w:cs="Times New Roman"/>
          <w:color w:val="FF0000"/>
          <w:sz w:val="32"/>
          <w:szCs w:val="32"/>
        </w:rPr>
      </w:pPr>
    </w:p>
    <w:p>
      <w:pPr>
        <w:spacing w:line="584" w:lineRule="exact"/>
        <w:ind w:firstLine="660"/>
        <w:rPr>
          <w:rFonts w:ascii="Times New Roman" w:hAnsi="Times New Roman" w:eastAsia="仿宋_GB2312" w:cs="Times New Roman"/>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廊坊市广阳区万庄镇伊指挥营中心小学</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事业单位</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副科级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广阳区万庄镇伊指挥营中心小学</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2年预算收入91.12万元，其中：一般公共预算收入91.12万元，基金预算收入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广阳区万庄镇伊指挥营中心小学2022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2年支出预算91.12万元，其中基本支出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万元；运转类其他及特定目标类项目支出91.12万元</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2年预算收支安排91.12万元，较20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w:t>
      </w:r>
      <w:r>
        <w:rPr>
          <w:rFonts w:hint="eastAsia" w:ascii="Times New Roman" w:hAnsi="Times New Roman" w:eastAsia="仿宋_GB2312" w:cs="Times New Roman"/>
          <w:sz w:val="32"/>
          <w:szCs w:val="32"/>
        </w:rPr>
        <w:t>增加</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万元，其中：基本支出减少0万元；项目支出增加91.12万元，主要为</w:t>
      </w:r>
      <w:r>
        <w:rPr>
          <w:rFonts w:hint="eastAsia" w:ascii="Times New Roman" w:hAnsi="Times New Roman" w:eastAsia="仿宋_GB2312" w:cs="Times New Roman"/>
          <w:color w:val="000000" w:themeColor="text1"/>
          <w:sz w:val="32"/>
          <w:szCs w:val="32"/>
          <w14:textFill>
            <w14:solidFill>
              <w14:schemeClr w14:val="tx1"/>
            </w14:solidFill>
          </w14:textFill>
        </w:rPr>
        <w:t>教育经费、合同制教师人员经费</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84"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无增减变化。</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推进义务教育均衡发展，建立中小学校舍安全保障机制，改善薄弱学校办学条件，提高素质教育水平，开展丰富多彩的教学活动。促进公共教育资源向农村和经济欠发达地区倾斜。</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提高义务教育公用经费保障水平，改善办学条件，均衡配置基础教育资源，缩小城乡、区域、校际之间办学差距，推进标准化学校建设，实施数字化校园建设，加强学校文化建设，落实学生资助政策。</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、发展农村义务教育  </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免除农村中小学生学杂费，提高公用经费保障水平，为贫困中小学生免费提供教科书，</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改善农村中小学办学条件。</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保障中小学公用经费水平逐年提高。</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保障小学入学率。</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、改善学校办学条件</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保障义务教育阶段学校基本教学条件，改善学校生活设施，保障后勤社会化服务，解决学校大班额问题。</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开展学生社会实践活动，建立学生实践教育基地，推进学校教育信息化。</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使义务教育学校教学设施和生活设施满足基本教学需要，保障后勤社会化服务资金充足，使学校能够正常运转，超大班额现象消除，教师数量、素质、结构基本适应教学需要。</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、提升特殊教育保障水平</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保证教学设备设施配备齐全，保障学生校园安全，支持贫困学生和爱心家园学生完成学业。</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改善办学条件，配置基础教育资源</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、开展教师教研及学生德育活动</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开展各类课题研究、校本研究，加强教师培训和教学交流，加强德育培训与研究，举办各类教育教学活动。</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提高教师教学水平，调动教师积极性，培养专家型教师人才，提高学生的综合素质。</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仿宋_GB2312" w:eastAsia="仿宋_GB2312" w:cs="Times New Roman"/>
          <w:sz w:val="32"/>
          <w:szCs w:val="32"/>
        </w:rPr>
      </w:pPr>
      <w:r>
        <w:rPr>
          <w:rFonts w:ascii="仿宋_GB2312" w:eastAsia="仿宋_GB2312" w:cs="Times New Roman"/>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仿宋_GB2312" w:eastAsia="仿宋_GB2312" w:cs="Times New Roman"/>
          <w:sz w:val="32"/>
          <w:szCs w:val="32"/>
        </w:rPr>
      </w:pPr>
      <w:r>
        <w:rPr>
          <w:rFonts w:ascii="仿宋_GB2312" w:eastAsia="仿宋_GB2312" w:cs="Times New Roman"/>
          <w:sz w:val="32"/>
          <w:szCs w:val="32"/>
        </w:rPr>
        <w:t>1、提高义务教育水平，免除城市区中小学生学杂费，提供免费教科书，解决大班额问题及入学难问题。对贫困中小学生进行补助。</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仿宋_GB2312" w:eastAsia="仿宋_GB2312" w:cs="Times New Roman"/>
          <w:sz w:val="32"/>
          <w:szCs w:val="32"/>
        </w:rPr>
      </w:pPr>
      <w:r>
        <w:rPr>
          <w:rFonts w:ascii="仿宋_GB2312" w:eastAsia="仿宋_GB2312" w:cs="Times New Roman"/>
          <w:sz w:val="32"/>
          <w:szCs w:val="32"/>
        </w:rPr>
        <w:t>2、按质按量完成教育教学方面的各项任务，稳步提升学校的教育教学质量，学生综合素质评价优秀率达到85%,合格率达到100%。</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仿宋_GB2312" w:eastAsia="仿宋_GB2312" w:cs="Times New Roman"/>
          <w:sz w:val="32"/>
          <w:szCs w:val="32"/>
        </w:rPr>
      </w:pPr>
      <w:r>
        <w:rPr>
          <w:rFonts w:ascii="仿宋_GB2312" w:eastAsia="仿宋_GB2312" w:cs="Times New Roman"/>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仿宋_GB2312" w:eastAsia="仿宋_GB2312" w:cs="Times New Roman"/>
          <w:sz w:val="32"/>
          <w:szCs w:val="32"/>
        </w:rPr>
      </w:pPr>
      <w:r>
        <w:rPr>
          <w:rFonts w:ascii="仿宋_GB2312" w:eastAsia="仿宋_GB2312" w:cs="Times New Roman"/>
          <w:sz w:val="32"/>
          <w:szCs w:val="32"/>
        </w:rPr>
        <w:t>4、提升学校基础设施设备的整体水平。加强学校基础设施设备的维护,确保校园安全,落实校园防火及其他安全隐患的预防工作。确保校园各设施设备的正常运行。</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仿宋_GB2312" w:eastAsia="仿宋_GB2312" w:cs="Times New Roman"/>
          <w:sz w:val="32"/>
          <w:szCs w:val="32"/>
        </w:rPr>
      </w:pPr>
      <w:r>
        <w:rPr>
          <w:rFonts w:ascii="仿宋_GB2312" w:eastAsia="仿宋_GB2312" w:cs="Times New Roman"/>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仿宋_GB2312" w:eastAsia="仿宋_GB2312" w:cs="Times New Roman"/>
          <w:sz w:val="32"/>
          <w:szCs w:val="32"/>
        </w:rPr>
      </w:pPr>
      <w:r>
        <w:rPr>
          <w:rFonts w:ascii="仿宋_GB2312" w:eastAsia="仿宋_GB2312" w:cs="Times New Roman"/>
          <w:sz w:val="32"/>
          <w:szCs w:val="32"/>
        </w:rPr>
        <w:t>6、学校的文化宣传整体布局,建成学校校史馆,完成各班级、各科室及教师办公室的文化宣传布置。加大学校办学理念、目标的宣传,形成具有特色的校园文化氛围。</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仿宋_GB2312" w:eastAsia="仿宋_GB2312" w:cs="Times New Roman"/>
          <w:sz w:val="32"/>
          <w:szCs w:val="32"/>
        </w:rPr>
      </w:pPr>
      <w:r>
        <w:rPr>
          <w:rFonts w:ascii="仿宋_GB2312" w:eastAsia="仿宋_GB2312" w:cs="Times New Roman"/>
          <w:sz w:val="32"/>
          <w:szCs w:val="32"/>
        </w:rPr>
        <w:t>7、办人民满意的学校,教师、学生、家长整体满意度达到90%以上。</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仿宋_GB2312" w:eastAsia="仿宋_GB2312" w:cs="Times New Roman"/>
          <w:sz w:val="32"/>
          <w:szCs w:val="32"/>
        </w:rPr>
      </w:pPr>
      <w:r>
        <w:rPr>
          <w:rFonts w:ascii="仿宋_GB2312" w:eastAsia="仿宋_GB2312" w:cs="Times New Roman"/>
          <w:sz w:val="32"/>
          <w:szCs w:val="32"/>
        </w:rPr>
        <w:t>1、成立学校监督小组，监督学校工作，强化工作落实。</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仿宋_GB2312" w:eastAsia="仿宋_GB2312" w:cs="Times New Roman"/>
          <w:sz w:val="32"/>
          <w:szCs w:val="32"/>
        </w:rPr>
      </w:pPr>
      <w:r>
        <w:rPr>
          <w:rFonts w:ascii="仿宋_GB2312" w:eastAsia="仿宋_GB2312" w:cs="Times New Roman"/>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仿宋_GB2312" w:eastAsia="仿宋_GB2312" w:cs="Times New Roman"/>
          <w:sz w:val="32"/>
          <w:szCs w:val="32"/>
        </w:rPr>
      </w:pPr>
      <w:r>
        <w:rPr>
          <w:rFonts w:ascii="仿宋_GB2312" w:eastAsia="仿宋_GB2312" w:cs="Times New Roman"/>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仿宋_GB2312" w:eastAsia="仿宋_GB2312" w:cs="Times New Roman"/>
          <w:sz w:val="32"/>
          <w:szCs w:val="32"/>
        </w:rPr>
      </w:pPr>
      <w:r>
        <w:rPr>
          <w:rFonts w:ascii="仿宋_GB2312" w:eastAsia="仿宋_GB2312" w:cs="Times New Roman"/>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仿宋_GB2312" w:eastAsia="仿宋_GB2312" w:cs="Times New Roman"/>
          <w:sz w:val="32"/>
          <w:szCs w:val="32"/>
        </w:rPr>
      </w:pPr>
      <w:r>
        <w:rPr>
          <w:rFonts w:ascii="仿宋_GB2312" w:eastAsia="仿宋_GB2312" w:cs="Times New Roman"/>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仿宋_GB2312" w:eastAsia="仿宋_GB2312" w:cs="Times New Roman"/>
          <w:sz w:val="32"/>
          <w:szCs w:val="32"/>
        </w:rPr>
      </w:pPr>
      <w:r>
        <w:rPr>
          <w:rFonts w:hint="eastAsia" w:ascii="仿宋_GB2312" w:eastAsia="仿宋_GB2312" w:cs="Times New Roman"/>
          <w:sz w:val="32"/>
          <w:szCs w:val="32"/>
        </w:rPr>
        <w:t>6</w:t>
      </w:r>
      <w:r>
        <w:rPr>
          <w:rFonts w:ascii="仿宋_GB2312" w:eastAsia="仿宋_GB2312" w:cs="Times New Roman"/>
          <w:sz w:val="32"/>
          <w:szCs w:val="32"/>
        </w:rPr>
        <w:t>、加强政治理论学习，强化党风廉政建设。做好师德传承活动，落实老中青传帮带。弘扬办学精神。加强师德宣传与学习活动。开展形式多样、扎实有效的师德教育活动。</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仿宋_GB2312" w:eastAsia="仿宋_GB2312" w:cs="Times New Roman"/>
          <w:sz w:val="32"/>
          <w:szCs w:val="32"/>
        </w:rPr>
      </w:pPr>
      <w:r>
        <w:rPr>
          <w:rFonts w:ascii="仿宋_GB2312" w:eastAsia="仿宋_GB2312" w:cs="Times New Roman"/>
          <w:sz w:val="32"/>
          <w:szCs w:val="32"/>
        </w:rPr>
        <w:t>逐步制订、完善相关制度，规范教师师德。加强校本培训和继续教育工作，提升教师能力。落实教师评价工作，完善考核机制。搭建教师发展平台。</w:t>
      </w: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2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98"/>
        <w:gridCol w:w="992"/>
        <w:gridCol w:w="1865"/>
        <w:gridCol w:w="3238"/>
        <w:gridCol w:w="2858"/>
        <w:gridCol w:w="567"/>
        <w:gridCol w:w="567"/>
        <w:gridCol w:w="1134"/>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98"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一级指标</w:t>
            </w:r>
          </w:p>
        </w:tc>
        <w:tc>
          <w:tcPr>
            <w:tcW w:w="992"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二级</w:t>
            </w:r>
          </w:p>
          <w:p>
            <w:pPr>
              <w:widowControl/>
              <w:adjustRightInd w:val="0"/>
              <w:snapToGrid w:val="0"/>
              <w:spacing w:line="240" w:lineRule="exact"/>
              <w:jc w:val="center"/>
              <w:rPr>
                <w:rFonts w:ascii="方正书宋_GBK" w:eastAsia="方正书宋_GBK"/>
                <w:b/>
              </w:rPr>
            </w:pPr>
            <w:r>
              <w:rPr>
                <w:rFonts w:ascii="方正书宋_GBK" w:eastAsia="方正书宋_GBK"/>
                <w:b/>
              </w:rPr>
              <w:t>指标</w:t>
            </w:r>
          </w:p>
        </w:tc>
        <w:tc>
          <w:tcPr>
            <w:tcW w:w="1865"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三级</w:t>
            </w:r>
          </w:p>
          <w:p>
            <w:pPr>
              <w:widowControl/>
              <w:adjustRightInd w:val="0"/>
              <w:snapToGrid w:val="0"/>
              <w:spacing w:line="240" w:lineRule="exact"/>
              <w:jc w:val="center"/>
              <w:rPr>
                <w:rFonts w:ascii="方正书宋_GBK" w:eastAsia="方正书宋_GBK"/>
                <w:b/>
              </w:rPr>
            </w:pPr>
            <w:r>
              <w:rPr>
                <w:rFonts w:ascii="方正书宋_GBK" w:eastAsia="方正书宋_GBK"/>
                <w:b/>
              </w:rPr>
              <w:t>指标</w:t>
            </w:r>
          </w:p>
        </w:tc>
        <w:tc>
          <w:tcPr>
            <w:tcW w:w="3238"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评（扣）分标准</w:t>
            </w:r>
          </w:p>
        </w:tc>
        <w:tc>
          <w:tcPr>
            <w:tcW w:w="2858"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绩效指标</w:t>
            </w:r>
          </w:p>
          <w:p>
            <w:pPr>
              <w:widowControl/>
              <w:adjustRightInd w:val="0"/>
              <w:snapToGrid w:val="0"/>
              <w:spacing w:line="240" w:lineRule="exact"/>
              <w:jc w:val="center"/>
              <w:rPr>
                <w:rFonts w:ascii="方正书宋_GBK" w:eastAsia="方正书宋_GBK"/>
                <w:b/>
              </w:rPr>
            </w:pPr>
            <w:r>
              <w:rPr>
                <w:rFonts w:ascii="方正书宋_GBK" w:eastAsia="方正书宋_GBK"/>
                <w:b/>
              </w:rPr>
              <w:t>描述</w:t>
            </w:r>
          </w:p>
        </w:tc>
        <w:tc>
          <w:tcPr>
            <w:tcW w:w="2268" w:type="dxa"/>
            <w:gridSpan w:val="3"/>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指标值</w:t>
            </w:r>
          </w:p>
        </w:tc>
        <w:tc>
          <w:tcPr>
            <w:tcW w:w="1111"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指标值</w:t>
            </w:r>
          </w:p>
          <w:p>
            <w:pPr>
              <w:widowControl/>
              <w:adjustRightInd w:val="0"/>
              <w:snapToGrid w:val="0"/>
              <w:spacing w:line="240" w:lineRule="exact"/>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98" w:type="dxa"/>
            <w:vMerge w:val="continue"/>
            <w:tcBorders>
              <w:tl2br w:val="nil"/>
              <w:tr2bl w:val="nil"/>
            </w:tcBorders>
            <w:vAlign w:val="center"/>
          </w:tcPr>
          <w:p>
            <w:pPr>
              <w:spacing w:line="240" w:lineRule="exact"/>
            </w:pPr>
          </w:p>
        </w:tc>
        <w:tc>
          <w:tcPr>
            <w:tcW w:w="992" w:type="dxa"/>
            <w:vMerge w:val="continue"/>
            <w:tcBorders>
              <w:tl2br w:val="nil"/>
              <w:tr2bl w:val="nil"/>
            </w:tcBorders>
            <w:vAlign w:val="center"/>
          </w:tcPr>
          <w:p>
            <w:pPr>
              <w:spacing w:line="240" w:lineRule="exact"/>
            </w:pPr>
          </w:p>
        </w:tc>
        <w:tc>
          <w:tcPr>
            <w:tcW w:w="1865" w:type="dxa"/>
            <w:vMerge w:val="continue"/>
            <w:tcBorders>
              <w:tl2br w:val="nil"/>
              <w:tr2bl w:val="nil"/>
            </w:tcBorders>
            <w:vAlign w:val="center"/>
          </w:tcPr>
          <w:p>
            <w:pPr>
              <w:spacing w:line="240" w:lineRule="exact"/>
            </w:pPr>
          </w:p>
        </w:tc>
        <w:tc>
          <w:tcPr>
            <w:tcW w:w="3238" w:type="dxa"/>
            <w:vMerge w:val="continue"/>
            <w:tcBorders>
              <w:tl2br w:val="nil"/>
              <w:tr2bl w:val="nil"/>
            </w:tcBorders>
            <w:vAlign w:val="center"/>
          </w:tcPr>
          <w:p>
            <w:pPr>
              <w:spacing w:line="240" w:lineRule="exact"/>
            </w:pPr>
          </w:p>
        </w:tc>
        <w:tc>
          <w:tcPr>
            <w:tcW w:w="2858" w:type="dxa"/>
            <w:vMerge w:val="continue"/>
            <w:tcBorders>
              <w:tl2br w:val="nil"/>
              <w:tr2bl w:val="nil"/>
            </w:tcBorders>
            <w:vAlign w:val="center"/>
          </w:tcPr>
          <w:p>
            <w:pPr>
              <w:spacing w:line="240" w:lineRule="exact"/>
            </w:pPr>
          </w:p>
        </w:tc>
        <w:tc>
          <w:tcPr>
            <w:tcW w:w="567" w:type="dxa"/>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符号</w:t>
            </w:r>
          </w:p>
        </w:tc>
        <w:tc>
          <w:tcPr>
            <w:tcW w:w="567" w:type="dxa"/>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值</w:t>
            </w:r>
          </w:p>
        </w:tc>
        <w:tc>
          <w:tcPr>
            <w:tcW w:w="1134" w:type="dxa"/>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单位</w:t>
            </w:r>
          </w:p>
        </w:tc>
        <w:tc>
          <w:tcPr>
            <w:tcW w:w="1111" w:type="dxa"/>
            <w:vMerge w:val="continue"/>
            <w:tcBorders>
              <w:tl2br w:val="nil"/>
              <w:tr2bl w:val="nil"/>
            </w:tcBorders>
            <w:vAlign w:val="center"/>
          </w:tcPr>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98"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部门产出</w:t>
            </w: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数量</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小学生毕业生合格率</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20分毕业生合格率100%得满分，否则不得分</w:t>
            </w:r>
          </w:p>
          <w:p>
            <w:pPr>
              <w:spacing w:line="240" w:lineRule="exact"/>
              <w:rPr>
                <w:rFonts w:hint="eastAsia" w:ascii="仿宋_GB2312" w:hAnsi="仿宋_GB2312" w:eastAsia="仿宋_GB2312" w:cs="仿宋_GB2312"/>
                <w:color w:val="000000"/>
                <w:sz w:val="22"/>
              </w:rPr>
            </w:pP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小学生毕业生合格率</w:t>
            </w:r>
          </w:p>
          <w:p>
            <w:pPr>
              <w:spacing w:line="240" w:lineRule="exact"/>
              <w:rPr>
                <w:rFonts w:hint="eastAsia" w:ascii="仿宋_GB2312" w:hAnsi="仿宋_GB2312" w:eastAsia="仿宋_GB2312" w:cs="仿宋_GB2312"/>
                <w:color w:val="000000"/>
                <w:sz w:val="2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98" w:type="dxa"/>
            <w:vMerge w:val="continue"/>
            <w:tcBorders>
              <w:tl2br w:val="nil"/>
              <w:tr2bl w:val="nil"/>
            </w:tcBorders>
            <w:vAlign w:val="center"/>
          </w:tcPr>
          <w:p>
            <w:pPr>
              <w:widowControl/>
              <w:adjustRightInd w:val="0"/>
              <w:snapToGrid w:val="0"/>
              <w:spacing w:line="240" w:lineRule="exact"/>
              <w:jc w:val="center"/>
              <w:rPr>
                <w:rFonts w:ascii="方正书宋_GBK" w:eastAsia="方正书宋_GBK"/>
              </w:rPr>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数量</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重点工作实际完成率</w:t>
            </w:r>
          </w:p>
          <w:p>
            <w:pPr>
              <w:spacing w:line="240" w:lineRule="exact"/>
              <w:rPr>
                <w:rFonts w:hint="eastAsia" w:ascii="仿宋_GB2312" w:hAnsi="仿宋_GB2312" w:eastAsia="仿宋_GB2312" w:cs="仿宋_GB2312"/>
                <w:color w:val="000000"/>
                <w:sz w:val="2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10分不低于95%得满分，否则不得分5每减少1%扣1分，扣完为止</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重点工作实际完成率</w:t>
            </w:r>
          </w:p>
          <w:p>
            <w:pPr>
              <w:spacing w:line="240" w:lineRule="exact"/>
              <w:rPr>
                <w:rFonts w:hint="eastAsia" w:ascii="仿宋_GB2312" w:hAnsi="仿宋_GB2312" w:eastAsia="仿宋_GB2312" w:cs="仿宋_GB2312"/>
                <w:color w:val="000000"/>
                <w:sz w:val="2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质量</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采购物资、建设工程合格率</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20分合格率100%得满分，否则不得分</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采购物资、建设工程合格率</w:t>
            </w:r>
          </w:p>
          <w:p>
            <w:pPr>
              <w:widowControl/>
              <w:adjustRightInd w:val="0"/>
              <w:snapToGrid w:val="0"/>
              <w:spacing w:line="240" w:lineRule="exact"/>
              <w:rPr>
                <w:rFonts w:hint="eastAsia" w:ascii="仿宋_GB2312" w:hAnsi="仿宋_GB2312" w:eastAsia="仿宋_GB2312" w:cs="仿宋_GB231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时效</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10分及时完成得满分，否则不得分</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p>
            <w:pPr>
              <w:widowControl/>
              <w:adjustRightInd w:val="0"/>
              <w:snapToGrid w:val="0"/>
              <w:spacing w:line="240" w:lineRule="exact"/>
              <w:rPr>
                <w:rFonts w:hint="eastAsia" w:ascii="仿宋_GB2312" w:hAnsi="仿宋_GB2312" w:eastAsia="仿宋_GB2312" w:cs="仿宋_GB231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及时</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成本</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教育经费使用控制率</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10分教育经费决算数不大于调整预算数得满分，否则不得分</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支出的公用经费总额与预算安排的比率</w:t>
            </w:r>
          </w:p>
          <w:p>
            <w:pPr>
              <w:widowControl/>
              <w:adjustRightInd w:val="0"/>
              <w:snapToGrid w:val="0"/>
              <w:spacing w:line="240" w:lineRule="exact"/>
              <w:rPr>
                <w:rFonts w:hint="eastAsia" w:ascii="仿宋_GB2312" w:hAnsi="仿宋_GB2312" w:eastAsia="仿宋_GB2312" w:cs="仿宋_GB231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教育经费决算数不大于调整预算数</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98" w:type="dxa"/>
            <w:vMerge w:val="restart"/>
            <w:tcBorders>
              <w:tl2br w:val="nil"/>
              <w:tr2bl w:val="nil"/>
            </w:tcBorders>
            <w:vAlign w:val="center"/>
          </w:tcPr>
          <w:p>
            <w:pPr>
              <w:adjustRightInd w:val="0"/>
              <w:snapToGrid w:val="0"/>
              <w:spacing w:line="240" w:lineRule="exact"/>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社会</w:t>
            </w:r>
          </w:p>
          <w:p>
            <w:pPr>
              <w:widowControl/>
              <w:adjustRightInd w:val="0"/>
              <w:snapToGrid w:val="0"/>
              <w:spacing w:line="240" w:lineRule="exact"/>
              <w:jc w:val="center"/>
              <w:rPr>
                <w:rFonts w:ascii="方正书宋_GBK" w:eastAsia="方正书宋_GBK"/>
              </w:rPr>
            </w:pPr>
            <w:r>
              <w:rPr>
                <w:rFonts w:ascii="方正书宋_GBK" w:eastAsia="方正书宋_GBK"/>
              </w:rPr>
              <w:t>效益</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义务教育高质量发展</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10分学生、家长、社会对学校整体满意度达到95%得满分，每降低1%扣1分，扣完为止。</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推动义务教育从数量扩张向质量提高转变</w:t>
            </w:r>
          </w:p>
          <w:p>
            <w:pPr>
              <w:widowControl/>
              <w:adjustRightInd w:val="0"/>
              <w:snapToGrid w:val="0"/>
              <w:spacing w:line="240" w:lineRule="exact"/>
              <w:rPr>
                <w:rFonts w:hint="eastAsia" w:ascii="仿宋_GB2312" w:hAnsi="仿宋_GB2312" w:eastAsia="仿宋_GB2312" w:cs="仿宋_GB231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hint="eastAsia" w:ascii="方正书宋_GBK" w:eastAsia="方正书宋_GBK"/>
              </w:rPr>
              <w:t>满意度</w:t>
            </w:r>
          </w:p>
        </w:tc>
        <w:tc>
          <w:tcPr>
            <w:tcW w:w="1865" w:type="dxa"/>
            <w:tcBorders>
              <w:tl2br w:val="nil"/>
              <w:tr2bl w:val="nil"/>
            </w:tcBorders>
            <w:noWrap/>
            <w:vAlign w:val="center"/>
          </w:tcPr>
          <w:p>
            <w:pPr>
              <w:spacing w:line="240" w:lineRule="exact"/>
              <w:rPr>
                <w:rFonts w:hint="eastAsia" w:ascii="仿宋_GB2312" w:hAnsi="仿宋_GB2312" w:eastAsia="仿宋_GB2312" w:cs="仿宋_GB2312"/>
                <w:sz w:val="22"/>
              </w:rPr>
            </w:pPr>
            <w:r>
              <w:rPr>
                <w:rFonts w:hint="eastAsia" w:ascii="仿宋_GB2312" w:hAnsi="仿宋_GB2312" w:eastAsia="仿宋_GB2312" w:cs="仿宋_GB2312"/>
                <w:sz w:val="22"/>
              </w:rPr>
              <w:t>服务对象满意度指标</w:t>
            </w:r>
          </w:p>
        </w:tc>
        <w:tc>
          <w:tcPr>
            <w:tcW w:w="3238" w:type="dxa"/>
            <w:tcBorders>
              <w:tl2br w:val="nil"/>
              <w:tr2bl w:val="nil"/>
            </w:tcBorders>
            <w:noWrap/>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10分在校师生的满意度达到95%得满分，每降低1%扣1分，扣完为止。</w:t>
            </w:r>
          </w:p>
        </w:tc>
        <w:tc>
          <w:tcPr>
            <w:tcW w:w="2858" w:type="dxa"/>
            <w:tcBorders>
              <w:tl2br w:val="nil"/>
              <w:tr2bl w:val="nil"/>
            </w:tcBorders>
            <w:noWrap/>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在校师生的满意程度</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hint="eastAsia" w:ascii="方正书宋_GBK" w:eastAsia="方正书宋_GBK"/>
              </w:rPr>
              <w:t>满意度</w:t>
            </w:r>
          </w:p>
        </w:tc>
        <w:tc>
          <w:tcPr>
            <w:tcW w:w="1865" w:type="dxa"/>
            <w:tcBorders>
              <w:tl2br w:val="nil"/>
              <w:tr2bl w:val="nil"/>
            </w:tcBorders>
            <w:noWrap/>
            <w:vAlign w:val="center"/>
          </w:tcPr>
          <w:p>
            <w:pPr>
              <w:spacing w:line="240" w:lineRule="exact"/>
              <w:rPr>
                <w:rFonts w:hint="eastAsia" w:ascii="仿宋_GB2312" w:hAnsi="仿宋_GB2312" w:eastAsia="仿宋_GB2312" w:cs="仿宋_GB2312"/>
                <w:sz w:val="22"/>
              </w:rPr>
            </w:pPr>
            <w:r>
              <w:rPr>
                <w:rFonts w:hint="eastAsia" w:ascii="仿宋_GB2312" w:hAnsi="仿宋_GB2312" w:eastAsia="仿宋_GB2312" w:cs="仿宋_GB2312"/>
                <w:sz w:val="22"/>
              </w:rPr>
              <w:t>服务对象满意度指标</w:t>
            </w:r>
          </w:p>
        </w:tc>
        <w:tc>
          <w:tcPr>
            <w:tcW w:w="3238" w:type="dxa"/>
            <w:tcBorders>
              <w:tl2br w:val="nil"/>
              <w:tr2bl w:val="nil"/>
            </w:tcBorders>
            <w:noWrap/>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10分家长的满意度达到95%得满分，每降低1%扣1分，扣完为止。</w:t>
            </w:r>
          </w:p>
        </w:tc>
        <w:tc>
          <w:tcPr>
            <w:tcW w:w="2858" w:type="dxa"/>
            <w:tcBorders>
              <w:tl2br w:val="nil"/>
              <w:tr2bl w:val="nil"/>
            </w:tcBorders>
            <w:noWrap/>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家长的满意程度</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bl>
    <w:p>
      <w:pPr>
        <w:spacing w:line="584" w:lineRule="exact"/>
        <w:rPr>
          <w:rFonts w:ascii="仿宋_GB2312" w:eastAsia="仿宋_GB2312"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1.城乡义务教育生均公用经费[区级]绩效目标表</w:t>
      </w:r>
      <w:bookmarkEnd w:id="0"/>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1.保障义务教育学校运转，改善学校基本办学条件，促进义务教育均衡发展及学生素质提高。指挥营学校对2022年在校学生645人，按照义务教育生均公用经费标准申请财政预算资金，通过合理、合规使用资金达到保证学校正常运转，改善办学条件，促进义务教育发展。</w:t>
            </w:r>
          </w:p>
        </w:tc>
      </w:tr>
    </w:tbl>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6"/>
        <w:gridCol w:w="1302"/>
        <w:gridCol w:w="2370"/>
        <w:gridCol w:w="4074"/>
        <w:gridCol w:w="912"/>
        <w:gridCol w:w="34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467" w:type="pct"/>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850" w:type="pct"/>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327" w:type="pct"/>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1249" w:type="pct"/>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467"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850"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1461"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327"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645人</w:t>
            </w:r>
          </w:p>
        </w:tc>
        <w:tc>
          <w:tcPr>
            <w:tcW w:w="1249"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spacing w:line="320" w:lineRule="exact"/>
              <w:rPr>
                <w:rFonts w:hint="eastAsia" w:ascii="仿宋_GB2312" w:hAnsi="仿宋_GB2312" w:eastAsia="仿宋_GB2312" w:cs="仿宋_GB2312"/>
              </w:rPr>
            </w:pPr>
          </w:p>
        </w:tc>
        <w:tc>
          <w:tcPr>
            <w:tcW w:w="467"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850"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1461"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327"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1249"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spacing w:line="320" w:lineRule="exact"/>
              <w:rPr>
                <w:rFonts w:hint="eastAsia" w:ascii="仿宋_GB2312" w:hAnsi="仿宋_GB2312" w:eastAsia="仿宋_GB2312" w:cs="仿宋_GB2312"/>
              </w:rPr>
            </w:pPr>
          </w:p>
        </w:tc>
        <w:tc>
          <w:tcPr>
            <w:tcW w:w="467"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850"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461"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327"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1249"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spacing w:line="320" w:lineRule="exact"/>
              <w:rPr>
                <w:rFonts w:hint="eastAsia" w:ascii="仿宋_GB2312" w:hAnsi="仿宋_GB2312" w:eastAsia="仿宋_GB2312" w:cs="仿宋_GB2312"/>
              </w:rPr>
            </w:pPr>
          </w:p>
        </w:tc>
        <w:tc>
          <w:tcPr>
            <w:tcW w:w="467"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850"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1461"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使用生均公用经费，用于保障学校正常运转的项目支出成本等于XXX元/生</w:t>
            </w:r>
          </w:p>
        </w:tc>
        <w:tc>
          <w:tcPr>
            <w:tcW w:w="327"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735元</w:t>
            </w:r>
          </w:p>
        </w:tc>
        <w:tc>
          <w:tcPr>
            <w:tcW w:w="1249"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467"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850"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义务教育/学前教育高质量发展</w:t>
            </w:r>
          </w:p>
        </w:tc>
        <w:tc>
          <w:tcPr>
            <w:tcW w:w="1461"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327"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支持</w:t>
            </w:r>
          </w:p>
        </w:tc>
        <w:tc>
          <w:tcPr>
            <w:tcW w:w="1249"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467"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50"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461"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327"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1249"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2.城乡义务教育生均公用经费[市级]绩效目标表</w:t>
      </w:r>
      <w:bookmarkEnd w:id="1"/>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1.指挥营学校对2022年在校学生645人，按照义务教育生均公用经费标准申请财政预算资金，通过合理、合规使用资金达到保证学校正常运转，改善办学条件，促进义务教育发展。</w:t>
            </w:r>
          </w:p>
        </w:tc>
      </w:tr>
    </w:tbl>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16"/>
        <w:gridCol w:w="1135"/>
        <w:gridCol w:w="2127"/>
        <w:gridCol w:w="3401"/>
        <w:gridCol w:w="1561"/>
        <w:gridCol w:w="48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93" w:type="pct"/>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407" w:type="pct"/>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763" w:type="pct"/>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220" w:type="pct"/>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560" w:type="pct"/>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1757" w:type="pct"/>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Merge w:val="restart"/>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407"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763"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1220"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560"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645元</w:t>
            </w:r>
          </w:p>
        </w:tc>
        <w:tc>
          <w:tcPr>
            <w:tcW w:w="1757"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关于印发教育领域省与市(冀财教[2019]66号</w:t>
            </w:r>
          </w:p>
          <w:p>
            <w:pPr>
              <w:pStyle w:val="14"/>
              <w:spacing w:line="320" w:lineRule="exact"/>
              <w:rPr>
                <w:rFonts w:hint="eastAsia" w:ascii="仿宋_GB2312" w:hAnsi="仿宋_GB2312" w:eastAsia="仿宋_GB2312" w:cs="仿宋_GB2312"/>
                <w:lang w:val="uk-UA"/>
              </w:rPr>
            </w:pPr>
            <w:r>
              <w:rPr>
                <w:rFonts w:hint="eastAsia" w:ascii="仿宋_GB2312" w:hAnsi="仿宋_GB2312" w:eastAsia="仿宋_GB2312" w:cs="仿宋_GB2312"/>
              </w:rPr>
              <w:t>廊坊市财政局廊坊市教育局关于提前下达2022年城乡义务教育市级补助经费预算的资金的通知（廊财教[2021]50号）。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Merge w:val="continue"/>
            <w:vAlign w:val="center"/>
          </w:tcPr>
          <w:p>
            <w:pPr>
              <w:spacing w:line="320" w:lineRule="exact"/>
              <w:rPr>
                <w:rFonts w:hint="eastAsia" w:ascii="仿宋_GB2312" w:hAnsi="仿宋_GB2312" w:eastAsia="仿宋_GB2312" w:cs="仿宋_GB2312"/>
              </w:rPr>
            </w:pPr>
          </w:p>
        </w:tc>
        <w:tc>
          <w:tcPr>
            <w:tcW w:w="407"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763"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1220"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560"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1757"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关于印发教育领域省与市(冀财教[2019]66号</w:t>
            </w:r>
          </w:p>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廊坊市财政局廊坊市教育局关于提前下达2022年城乡义务教育市级补助经费预算的资金的通知（廊财教[2021]50号）。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Merge w:val="continue"/>
            <w:vAlign w:val="center"/>
          </w:tcPr>
          <w:p>
            <w:pPr>
              <w:spacing w:line="320" w:lineRule="exact"/>
              <w:rPr>
                <w:rFonts w:hint="eastAsia" w:ascii="仿宋_GB2312" w:hAnsi="仿宋_GB2312" w:eastAsia="仿宋_GB2312" w:cs="仿宋_GB2312"/>
              </w:rPr>
            </w:pPr>
          </w:p>
        </w:tc>
        <w:tc>
          <w:tcPr>
            <w:tcW w:w="407"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763"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220"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560"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1757" w:type="pct"/>
            <w:vAlign w:val="center"/>
          </w:tcPr>
          <w:p>
            <w:pPr>
              <w:pStyle w:val="14"/>
              <w:spacing w:line="320" w:lineRule="exact"/>
              <w:rPr>
                <w:rFonts w:hint="eastAsia" w:ascii="仿宋_GB2312" w:hAnsi="仿宋_GB2312" w:eastAsia="仿宋_GB2312" w:cs="仿宋_GB2312"/>
                <w:lang w:val="uk-UA"/>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Merge w:val="continue"/>
            <w:vAlign w:val="center"/>
          </w:tcPr>
          <w:p>
            <w:pPr>
              <w:spacing w:line="320" w:lineRule="exact"/>
              <w:rPr>
                <w:rFonts w:hint="eastAsia" w:ascii="仿宋_GB2312" w:hAnsi="仿宋_GB2312" w:eastAsia="仿宋_GB2312" w:cs="仿宋_GB2312"/>
              </w:rPr>
            </w:pPr>
          </w:p>
        </w:tc>
        <w:tc>
          <w:tcPr>
            <w:tcW w:w="407"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763"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1220"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560"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735元</w:t>
            </w:r>
          </w:p>
        </w:tc>
        <w:tc>
          <w:tcPr>
            <w:tcW w:w="1757"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关于印发教育领域省与市(冀财教[2019]66号</w:t>
            </w:r>
          </w:p>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廊坊市财政局廊坊市教育局关于提前下达2022年城乡义务教育市级补助经费预算的资金的通知（廊财教[2021]50号）。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407"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63"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义务教育/学前教育高质量发展</w:t>
            </w:r>
          </w:p>
        </w:tc>
        <w:tc>
          <w:tcPr>
            <w:tcW w:w="1220"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该资金用于学校正常运转，改善办学条件，促进义务教育/学吃前教育均衡发展及学生素质提高</w:t>
            </w:r>
          </w:p>
        </w:tc>
        <w:tc>
          <w:tcPr>
            <w:tcW w:w="560"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支持</w:t>
            </w:r>
          </w:p>
        </w:tc>
        <w:tc>
          <w:tcPr>
            <w:tcW w:w="1757" w:type="pct"/>
            <w:vAlign w:val="center"/>
          </w:tcPr>
          <w:p>
            <w:pPr>
              <w:pStyle w:val="14"/>
              <w:spacing w:line="320" w:lineRule="exact"/>
              <w:rPr>
                <w:rFonts w:hint="eastAsia" w:ascii="仿宋_GB2312" w:hAnsi="仿宋_GB2312" w:eastAsia="仿宋_GB2312" w:cs="仿宋_GB2312"/>
                <w:lang w:val="uk-UA"/>
              </w:rPr>
            </w:pPr>
            <w:r>
              <w:rPr>
                <w:rFonts w:hint="eastAsia" w:ascii="仿宋_GB2312" w:hAnsi="仿宋_GB2312" w:eastAsia="仿宋_GB2312" w:cs="仿宋_GB2312"/>
              </w:rPr>
              <w:t>廊财教[2021]50号文件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407"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63"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20"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560"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1757" w:type="pct"/>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outlineLvl w:val="3"/>
        <w:rPr>
          <w:rFonts w:hint="eastAsia" w:ascii="仿宋_GB2312" w:hAnsi="仿宋_GB2312" w:eastAsia="仿宋_GB2312" w:cs="仿宋_GB2312"/>
        </w:rPr>
      </w:pPr>
      <w:bookmarkStart w:id="2" w:name="_Toc_4_4_0000000006"/>
      <w:r>
        <w:rPr>
          <w:rFonts w:hint="eastAsia" w:ascii="仿宋_GB2312" w:hAnsi="仿宋_GB2312" w:eastAsia="仿宋_GB2312" w:cs="仿宋_GB2312"/>
          <w:color w:val="000000"/>
          <w:sz w:val="28"/>
        </w:rPr>
        <w:t>3.合同制教师人员经费绩效目标表</w:t>
      </w:r>
      <w:bookmarkEnd w:id="2"/>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1.缓解教师短缺，保障教育教学正常的进行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2.保障教学质量，提升教育水平</w:t>
            </w:r>
          </w:p>
          <w:p>
            <w:pPr>
              <w:pStyle w:val="14"/>
              <w:rPr>
                <w:rFonts w:hint="eastAsia" w:ascii="仿宋_GB2312" w:hAnsi="仿宋_GB2312" w:eastAsia="仿宋_GB2312" w:cs="仿宋_GB2312"/>
              </w:rPr>
            </w:pPr>
            <w:r>
              <w:rPr>
                <w:rFonts w:hint="eastAsia" w:ascii="仿宋_GB2312" w:hAnsi="仿宋_GB2312" w:eastAsia="仿宋_GB2312" w:cs="仿宋_GB2312"/>
              </w:rPr>
              <w:t>3.保障合同制教师工资福利待遇，并及时发放。</w:t>
            </w:r>
          </w:p>
          <w:p>
            <w:pPr>
              <w:pStyle w:val="14"/>
              <w:rPr>
                <w:rFonts w:hint="eastAsia" w:ascii="仿宋_GB2312" w:hAnsi="仿宋_GB2312" w:eastAsia="仿宋_GB2312" w:cs="仿宋_GB2312"/>
              </w:rPr>
            </w:pPr>
            <w:r>
              <w:rPr>
                <w:rFonts w:hint="eastAsia" w:ascii="仿宋_GB2312" w:hAnsi="仿宋_GB2312" w:eastAsia="仿宋_GB2312" w:cs="仿宋_GB2312"/>
              </w:rPr>
              <w:t>4.学生、学校、家长对合同制教师的满意度达到95%以上</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16"/>
        <w:gridCol w:w="2782"/>
        <w:gridCol w:w="1876"/>
        <w:gridCol w:w="4073"/>
        <w:gridCol w:w="2328"/>
        <w:gridCol w:w="20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9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99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83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740"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99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保障2022合同制教师 2人工资福利</w:t>
            </w:r>
          </w:p>
        </w:tc>
        <w:tc>
          <w:tcPr>
            <w:tcW w:w="83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2人</w:t>
            </w:r>
          </w:p>
        </w:tc>
        <w:tc>
          <w:tcPr>
            <w:tcW w:w="74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Merge w:val="continue"/>
            <w:vAlign w:val="center"/>
          </w:tcPr>
          <w:p>
            <w:pPr>
              <w:rPr>
                <w:rFonts w:hint="eastAsia" w:ascii="仿宋_GB2312" w:hAnsi="仿宋_GB2312" w:eastAsia="仿宋_GB2312" w:cs="仿宋_GB2312"/>
              </w:rPr>
            </w:pPr>
          </w:p>
        </w:tc>
        <w:tc>
          <w:tcPr>
            <w:tcW w:w="99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83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74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Merge w:val="continue"/>
            <w:vAlign w:val="center"/>
          </w:tcPr>
          <w:p>
            <w:pPr>
              <w:rPr>
                <w:rFonts w:hint="eastAsia" w:ascii="仿宋_GB2312" w:hAnsi="仿宋_GB2312" w:eastAsia="仿宋_GB2312" w:cs="仿宋_GB2312"/>
              </w:rPr>
            </w:pPr>
          </w:p>
        </w:tc>
        <w:tc>
          <w:tcPr>
            <w:tcW w:w="99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83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74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Merge w:val="continue"/>
            <w:vAlign w:val="center"/>
          </w:tcPr>
          <w:p>
            <w:pPr>
              <w:rPr>
                <w:rFonts w:hint="eastAsia" w:ascii="仿宋_GB2312" w:hAnsi="仿宋_GB2312" w:eastAsia="仿宋_GB2312" w:cs="仿宋_GB2312"/>
              </w:rPr>
            </w:pPr>
          </w:p>
        </w:tc>
        <w:tc>
          <w:tcPr>
            <w:tcW w:w="99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83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4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Merge w:val="continue"/>
            <w:vAlign w:val="center"/>
          </w:tcPr>
          <w:p>
            <w:pPr>
              <w:rPr>
                <w:rFonts w:hint="eastAsia" w:ascii="仿宋_GB2312" w:hAnsi="仿宋_GB2312" w:eastAsia="仿宋_GB2312" w:cs="仿宋_GB2312"/>
              </w:rPr>
            </w:pPr>
          </w:p>
        </w:tc>
        <w:tc>
          <w:tcPr>
            <w:tcW w:w="99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83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74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99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83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w:t>
            </w:r>
          </w:p>
        </w:tc>
        <w:tc>
          <w:tcPr>
            <w:tcW w:w="74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99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83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4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Merge w:val="continue"/>
            <w:vAlign w:val="center"/>
          </w:tcPr>
          <w:p>
            <w:pPr>
              <w:rPr>
                <w:rFonts w:hint="eastAsia" w:ascii="仿宋_GB2312" w:hAnsi="仿宋_GB2312" w:eastAsia="仿宋_GB2312" w:cs="仿宋_GB2312"/>
              </w:rPr>
            </w:pPr>
          </w:p>
        </w:tc>
        <w:tc>
          <w:tcPr>
            <w:tcW w:w="99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83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4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Merge w:val="continue"/>
            <w:vAlign w:val="center"/>
          </w:tcPr>
          <w:p>
            <w:pPr>
              <w:rPr>
                <w:rFonts w:hint="eastAsia" w:ascii="仿宋_GB2312" w:hAnsi="仿宋_GB2312" w:eastAsia="仿宋_GB2312" w:cs="仿宋_GB2312"/>
              </w:rPr>
            </w:pPr>
          </w:p>
        </w:tc>
        <w:tc>
          <w:tcPr>
            <w:tcW w:w="99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83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4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outlineLvl w:val="3"/>
        <w:rPr>
          <w:rFonts w:hint="eastAsia" w:ascii="仿宋_GB2312" w:hAnsi="仿宋_GB2312" w:eastAsia="仿宋_GB2312" w:cs="仿宋_GB2312"/>
        </w:rPr>
      </w:pPr>
      <w:bookmarkStart w:id="3" w:name="_Toc_4_4_0000000007"/>
      <w:r>
        <w:rPr>
          <w:rFonts w:hint="eastAsia" w:ascii="仿宋_GB2312" w:hAnsi="仿宋_GB2312" w:eastAsia="仿宋_GB2312" w:cs="仿宋_GB2312"/>
          <w:color w:val="000000"/>
          <w:sz w:val="28"/>
        </w:rPr>
        <w:t>4.教育经费绩效目标表</w:t>
      </w:r>
      <w:bookmarkEnd w:id="3"/>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4"/>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14"/>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12月</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≤9.73万元</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outlineLvl w:val="3"/>
        <w:rPr>
          <w:rFonts w:hint="eastAsia" w:ascii="仿宋_GB2312" w:hAnsi="仿宋_GB2312" w:eastAsia="仿宋_GB2312" w:cs="仿宋_GB2312"/>
        </w:rPr>
      </w:pPr>
      <w:bookmarkStart w:id="4" w:name="_Toc_4_4_0000000008"/>
      <w:r>
        <w:rPr>
          <w:rFonts w:hint="eastAsia" w:ascii="仿宋_GB2312" w:hAnsi="仿宋_GB2312" w:eastAsia="仿宋_GB2312" w:cs="仿宋_GB2312"/>
          <w:color w:val="000000"/>
          <w:sz w:val="28"/>
        </w:rPr>
        <w:t>5.幼儿园生均经费绩效目标表</w:t>
      </w:r>
      <w:bookmarkEnd w:id="4"/>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23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1.保障幼儿园运转，改善基本办园条件，促进教育均衡发展及幼儿素质提高。伊指挥营幼儿园对2022年在园幼儿287人，按照幼儿园生均公用经费标准申请财政预算资金，通过合理、合规使用资金达到保证幼儿园正常运转，改善办园条件，促进义务教育发展。</w:t>
            </w:r>
          </w:p>
        </w:tc>
      </w:tr>
    </w:tbl>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4"/>
        <w:gridCol w:w="1381"/>
        <w:gridCol w:w="1846"/>
        <w:gridCol w:w="2974"/>
        <w:gridCol w:w="848"/>
        <w:gridCol w:w="54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 w:type="pct"/>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487" w:type="pct"/>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651" w:type="pct"/>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049" w:type="pct"/>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299" w:type="pct"/>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1912" w:type="pct"/>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1" w:type="pct"/>
            <w:vMerge w:val="restart"/>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487"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651"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申请生均公用经费幼儿人数</w:t>
            </w:r>
          </w:p>
        </w:tc>
        <w:tc>
          <w:tcPr>
            <w:tcW w:w="1049"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299"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287人</w:t>
            </w:r>
          </w:p>
        </w:tc>
        <w:tc>
          <w:tcPr>
            <w:tcW w:w="1912" w:type="pct"/>
            <w:vAlign w:val="center"/>
          </w:tcPr>
          <w:p>
            <w:pPr>
              <w:pStyle w:val="14"/>
              <w:spacing w:line="300" w:lineRule="exact"/>
              <w:rPr>
                <w:rFonts w:hint="eastAsia" w:ascii="仿宋_GB2312" w:hAnsi="仿宋_GB2312" w:eastAsia="仿宋_GB2312" w:cs="仿宋_GB2312"/>
                <w:lang w:val="uk-UA"/>
              </w:rPr>
            </w:pPr>
            <w:r>
              <w:rPr>
                <w:rFonts w:hint="eastAsia" w:ascii="仿宋_GB2312" w:hAnsi="仿宋_GB2312" w:eastAsia="仿宋_GB2312" w:cs="仿宋_GB2312"/>
              </w:rPr>
              <w:t>关于印发河北省财政厅河北省教育厅关于制定公办幼儿园生均公用经费财政拨款标准的通知，（冀财教[2018]99号）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1" w:type="pct"/>
            <w:vMerge w:val="continue"/>
            <w:vAlign w:val="center"/>
          </w:tcPr>
          <w:p>
            <w:pPr>
              <w:spacing w:line="300" w:lineRule="exact"/>
              <w:rPr>
                <w:rFonts w:hint="eastAsia" w:ascii="仿宋_GB2312" w:hAnsi="仿宋_GB2312" w:eastAsia="仿宋_GB2312" w:cs="仿宋_GB2312"/>
              </w:rPr>
            </w:pPr>
          </w:p>
        </w:tc>
        <w:tc>
          <w:tcPr>
            <w:tcW w:w="487"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651"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1049"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299"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1912"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关于印发河北省财政厅河北省教育厅关于制定公办幼儿园生均公用经费财政拨款标准的通知，（冀财教[2018]99号）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1" w:type="pct"/>
            <w:vMerge w:val="continue"/>
            <w:vAlign w:val="center"/>
          </w:tcPr>
          <w:p>
            <w:pPr>
              <w:spacing w:line="300" w:lineRule="exact"/>
              <w:rPr>
                <w:rFonts w:hint="eastAsia" w:ascii="仿宋_GB2312" w:hAnsi="仿宋_GB2312" w:eastAsia="仿宋_GB2312" w:cs="仿宋_GB2312"/>
              </w:rPr>
            </w:pPr>
          </w:p>
        </w:tc>
        <w:tc>
          <w:tcPr>
            <w:tcW w:w="487"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651"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用于保障幼儿园正常运转项目完成及时率</w:t>
            </w:r>
          </w:p>
        </w:tc>
        <w:tc>
          <w:tcPr>
            <w:tcW w:w="1049"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299"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1912"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1" w:type="pct"/>
            <w:vMerge w:val="continue"/>
            <w:vAlign w:val="center"/>
          </w:tcPr>
          <w:p>
            <w:pPr>
              <w:spacing w:line="300" w:lineRule="exact"/>
              <w:rPr>
                <w:rFonts w:hint="eastAsia" w:ascii="仿宋_GB2312" w:hAnsi="仿宋_GB2312" w:eastAsia="仿宋_GB2312" w:cs="仿宋_GB2312"/>
              </w:rPr>
            </w:pPr>
          </w:p>
        </w:tc>
        <w:tc>
          <w:tcPr>
            <w:tcW w:w="487"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651"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使用生均公用经费，用于保障幼儿园正常运转的项目支出成本</w:t>
            </w:r>
          </w:p>
        </w:tc>
        <w:tc>
          <w:tcPr>
            <w:tcW w:w="1049"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使用生均公用经费，用于保障学校正常运转的项目支出成本等于400元/生</w:t>
            </w:r>
          </w:p>
        </w:tc>
        <w:tc>
          <w:tcPr>
            <w:tcW w:w="299"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400元</w:t>
            </w:r>
          </w:p>
        </w:tc>
        <w:tc>
          <w:tcPr>
            <w:tcW w:w="1912"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关于印发河北省财政厅河北省教育厅关于制定公办幼儿园生均公用经费财政拨款标准的通知，（冀财教[2018]99号）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1" w:type="pct"/>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487"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51"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学前教育高质量发展</w:t>
            </w:r>
          </w:p>
        </w:tc>
        <w:tc>
          <w:tcPr>
            <w:tcW w:w="1049"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该资金用于学校正常运转，改善办学条件，促进学前教育均衡发展及学生素质提高</w:t>
            </w:r>
          </w:p>
        </w:tc>
        <w:tc>
          <w:tcPr>
            <w:tcW w:w="299"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支持</w:t>
            </w:r>
          </w:p>
        </w:tc>
        <w:tc>
          <w:tcPr>
            <w:tcW w:w="1912"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冀财教【2018】99号文件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1" w:type="pct"/>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487"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51"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049"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99"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1912"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84" w:lineRule="exact"/>
        <w:ind w:firstLine="320" w:firstLineChars="1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5"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4.6</w:t>
      </w:r>
      <w:r>
        <w:rPr>
          <w:rFonts w:ascii="Times New Roman" w:hAnsi="Times New Roman" w:eastAsia="仿宋_GB2312" w:cs="Times New Roman"/>
          <w:sz w:val="32"/>
          <w:szCs w:val="24"/>
        </w:rPr>
        <w:t>万元。具体内容见下表。</w:t>
      </w:r>
    </w:p>
    <w:bookmarkEnd w:id="5"/>
    <w:p>
      <w:pPr>
        <w:jc w:val="center"/>
        <w:outlineLvl w:val="1"/>
        <w:rPr>
          <w:rFonts w:ascii="方正小标宋_GBK" w:eastAsia="方正小标宋_GBK" w:cs="Times New Roman"/>
          <w:sz w:val="32"/>
        </w:rPr>
      </w:pPr>
      <w:bookmarkStart w:id="6" w:name="_Toc64920910"/>
      <w:r>
        <w:rPr>
          <w:rFonts w:hint="eastAsia" w:ascii="方正小标宋_GBK" w:eastAsia="方正小标宋_GBK" w:cs="Times New Roman"/>
          <w:sz w:val="32"/>
        </w:rPr>
        <w:t>部门政府采购预算</w:t>
      </w:r>
      <w:bookmarkEnd w:id="6"/>
    </w:p>
    <w:p>
      <w:pPr>
        <w:outlineLvl w:val="1"/>
        <w:rPr>
          <w:rFonts w:ascii="方正小标宋_GBK" w:eastAsia="方正小标宋_GBK" w:cs="Times New Roman"/>
          <w:sz w:val="32"/>
        </w:rPr>
      </w:pPr>
      <w:r>
        <w:rPr>
          <w:rFonts w:hint="eastAsia"/>
        </w:rPr>
        <w:t>[</w:t>
      </w:r>
      <w:r>
        <w:t>965001]廊坊市</w:t>
      </w:r>
      <w:r>
        <w:rPr>
          <w:rFonts w:hint="eastAsia"/>
        </w:rPr>
        <w:t>广阳区万庄镇伊指挥营中心小学</w:t>
      </w:r>
      <w:r>
        <w:t xml:space="preserve">                                                                              单位：万元</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6"/>
        <w:gridCol w:w="896"/>
        <w:gridCol w:w="1040"/>
        <w:gridCol w:w="1043"/>
        <w:gridCol w:w="652"/>
        <w:gridCol w:w="782"/>
        <w:gridCol w:w="782"/>
        <w:gridCol w:w="887"/>
        <w:gridCol w:w="884"/>
        <w:gridCol w:w="887"/>
        <w:gridCol w:w="884"/>
        <w:gridCol w:w="887"/>
        <w:gridCol w:w="888"/>
        <w:gridCol w:w="885"/>
        <w:gridCol w:w="891"/>
        <w:gridCol w:w="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0" w:hRule="atLeast"/>
          <w:tblHeader/>
          <w:jc w:val="center"/>
        </w:trPr>
        <w:tc>
          <w:tcPr>
            <w:tcW w:w="671" w:type="pct"/>
            <w:gridSpan w:val="2"/>
            <w:vAlign w:val="center"/>
          </w:tcPr>
          <w:p>
            <w:pPr>
              <w:pStyle w:val="12"/>
            </w:pPr>
            <w:r>
              <w:t>政府采购项目来源</w:t>
            </w:r>
          </w:p>
        </w:tc>
        <w:tc>
          <w:tcPr>
            <w:tcW w:w="367" w:type="pct"/>
            <w:vMerge w:val="restart"/>
            <w:vAlign w:val="center"/>
          </w:tcPr>
          <w:p>
            <w:pPr>
              <w:pStyle w:val="12"/>
            </w:pPr>
            <w:r>
              <w:t>采购物品名称</w:t>
            </w:r>
          </w:p>
        </w:tc>
        <w:tc>
          <w:tcPr>
            <w:tcW w:w="368" w:type="pct"/>
            <w:vMerge w:val="restart"/>
            <w:vAlign w:val="center"/>
          </w:tcPr>
          <w:p>
            <w:pPr>
              <w:pStyle w:val="12"/>
            </w:pPr>
            <w:r>
              <w:t>政府采购目录序号</w:t>
            </w:r>
          </w:p>
        </w:tc>
        <w:tc>
          <w:tcPr>
            <w:tcW w:w="230" w:type="pct"/>
            <w:vMerge w:val="restart"/>
            <w:vAlign w:val="center"/>
          </w:tcPr>
          <w:p>
            <w:pPr>
              <w:pStyle w:val="12"/>
            </w:pPr>
            <w:r>
              <w:t>计量  单位</w:t>
            </w:r>
          </w:p>
        </w:tc>
        <w:tc>
          <w:tcPr>
            <w:tcW w:w="276" w:type="pct"/>
            <w:vMerge w:val="restart"/>
            <w:vAlign w:val="center"/>
          </w:tcPr>
          <w:p>
            <w:pPr>
              <w:pStyle w:val="12"/>
            </w:pPr>
            <w:r>
              <w:t>数量</w:t>
            </w:r>
          </w:p>
        </w:tc>
        <w:tc>
          <w:tcPr>
            <w:tcW w:w="276" w:type="pct"/>
            <w:vMerge w:val="restart"/>
            <w:vAlign w:val="center"/>
          </w:tcPr>
          <w:p>
            <w:pPr>
              <w:pStyle w:val="12"/>
            </w:pPr>
            <w:r>
              <w:t>单价</w:t>
            </w:r>
          </w:p>
        </w:tc>
        <w:tc>
          <w:tcPr>
            <w:tcW w:w="2501" w:type="pct"/>
            <w:gridSpan w:val="8"/>
            <w:vAlign w:val="center"/>
          </w:tcPr>
          <w:p>
            <w:pPr>
              <w:pStyle w:val="12"/>
            </w:pPr>
            <w:r>
              <w:t>政府采购金额（当年部门预算安排资金）</w:t>
            </w:r>
          </w:p>
        </w:tc>
        <w:tc>
          <w:tcPr>
            <w:tcW w:w="311"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92" w:hRule="atLeast"/>
          <w:tblHeader/>
          <w:jc w:val="center"/>
        </w:trPr>
        <w:tc>
          <w:tcPr>
            <w:tcW w:w="355" w:type="pct"/>
            <w:vAlign w:val="center"/>
          </w:tcPr>
          <w:p>
            <w:pPr>
              <w:pStyle w:val="12"/>
            </w:pPr>
            <w:r>
              <w:t>项目名称</w:t>
            </w:r>
          </w:p>
        </w:tc>
        <w:tc>
          <w:tcPr>
            <w:tcW w:w="315" w:type="pct"/>
            <w:vAlign w:val="center"/>
          </w:tcPr>
          <w:p>
            <w:pPr>
              <w:pStyle w:val="12"/>
            </w:pPr>
            <w:r>
              <w:t>预算    资金</w:t>
            </w:r>
          </w:p>
        </w:tc>
        <w:tc>
          <w:tcPr>
            <w:tcW w:w="367" w:type="pct"/>
            <w:vMerge w:val="continue"/>
          </w:tcPr>
          <w:p/>
        </w:tc>
        <w:tc>
          <w:tcPr>
            <w:tcW w:w="368" w:type="pct"/>
            <w:vMerge w:val="continue"/>
          </w:tcPr>
          <w:p/>
        </w:tc>
        <w:tc>
          <w:tcPr>
            <w:tcW w:w="230" w:type="pct"/>
            <w:vMerge w:val="continue"/>
          </w:tcPr>
          <w:p/>
        </w:tc>
        <w:tc>
          <w:tcPr>
            <w:tcW w:w="276" w:type="pct"/>
            <w:vMerge w:val="continue"/>
          </w:tcPr>
          <w:p/>
        </w:tc>
        <w:tc>
          <w:tcPr>
            <w:tcW w:w="276" w:type="pct"/>
            <w:vMerge w:val="continue"/>
          </w:tcPr>
          <w:p/>
        </w:tc>
        <w:tc>
          <w:tcPr>
            <w:tcW w:w="313" w:type="pct"/>
            <w:vAlign w:val="center"/>
          </w:tcPr>
          <w:p>
            <w:pPr>
              <w:pStyle w:val="12"/>
            </w:pPr>
            <w:r>
              <w:t>合计</w:t>
            </w:r>
          </w:p>
        </w:tc>
        <w:tc>
          <w:tcPr>
            <w:tcW w:w="312" w:type="pct"/>
            <w:vAlign w:val="center"/>
          </w:tcPr>
          <w:p>
            <w:pPr>
              <w:pStyle w:val="12"/>
            </w:pPr>
            <w:r>
              <w:t>一般公共预算拨款</w:t>
            </w:r>
          </w:p>
        </w:tc>
        <w:tc>
          <w:tcPr>
            <w:tcW w:w="313" w:type="pct"/>
            <w:vAlign w:val="center"/>
          </w:tcPr>
          <w:p>
            <w:pPr>
              <w:pStyle w:val="12"/>
            </w:pPr>
            <w:r>
              <w:t>基金预算拨款</w:t>
            </w:r>
          </w:p>
        </w:tc>
        <w:tc>
          <w:tcPr>
            <w:tcW w:w="312" w:type="pct"/>
            <w:vAlign w:val="center"/>
          </w:tcPr>
          <w:p>
            <w:pPr>
              <w:pStyle w:val="12"/>
            </w:pPr>
            <w:r>
              <w:t>国有资本经营预算拨款</w:t>
            </w:r>
          </w:p>
        </w:tc>
        <w:tc>
          <w:tcPr>
            <w:tcW w:w="313" w:type="pct"/>
            <w:vAlign w:val="center"/>
          </w:tcPr>
          <w:p>
            <w:pPr>
              <w:pStyle w:val="12"/>
            </w:pPr>
            <w:r>
              <w:t>财政专户核拨</w:t>
            </w:r>
          </w:p>
        </w:tc>
        <w:tc>
          <w:tcPr>
            <w:tcW w:w="313" w:type="pct"/>
            <w:vAlign w:val="center"/>
          </w:tcPr>
          <w:p>
            <w:pPr>
              <w:pStyle w:val="12"/>
            </w:pPr>
            <w:r>
              <w:t>单位    资金</w:t>
            </w:r>
          </w:p>
        </w:tc>
        <w:tc>
          <w:tcPr>
            <w:tcW w:w="312" w:type="pct"/>
            <w:vAlign w:val="center"/>
          </w:tcPr>
          <w:p>
            <w:pPr>
              <w:pStyle w:val="12"/>
            </w:pPr>
            <w:r>
              <w:t>财政拨    款结转</w:t>
            </w:r>
          </w:p>
        </w:tc>
        <w:tc>
          <w:tcPr>
            <w:tcW w:w="314" w:type="pct"/>
            <w:vAlign w:val="center"/>
          </w:tcPr>
          <w:p>
            <w:pPr>
              <w:pStyle w:val="12"/>
            </w:pPr>
            <w:r>
              <w:t>非财政    拨款结    转结余</w:t>
            </w:r>
          </w:p>
        </w:tc>
        <w:tc>
          <w:tcPr>
            <w:tcW w:w="311"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71" w:hRule="atLeast"/>
          <w:jc w:val="center"/>
        </w:trPr>
        <w:tc>
          <w:tcPr>
            <w:tcW w:w="355" w:type="pct"/>
            <w:vAlign w:val="center"/>
          </w:tcPr>
          <w:p>
            <w:pPr>
              <w:pStyle w:val="16"/>
            </w:pPr>
            <w:r>
              <w:t>合  计</w:t>
            </w:r>
          </w:p>
        </w:tc>
        <w:tc>
          <w:tcPr>
            <w:tcW w:w="315" w:type="pct"/>
            <w:vAlign w:val="center"/>
          </w:tcPr>
          <w:p>
            <w:pPr>
              <w:pStyle w:val="17"/>
              <w:rPr>
                <w:lang w:eastAsia="zh-CN"/>
              </w:rPr>
            </w:pPr>
            <w:r>
              <w:rPr>
                <w:rFonts w:hint="eastAsia"/>
                <w:lang w:eastAsia="zh-CN"/>
              </w:rPr>
              <w:t>4</w:t>
            </w:r>
            <w:r>
              <w:rPr>
                <w:lang w:eastAsia="zh-CN"/>
              </w:rPr>
              <w:t>.6</w:t>
            </w:r>
          </w:p>
        </w:tc>
        <w:tc>
          <w:tcPr>
            <w:tcW w:w="367" w:type="pct"/>
            <w:vAlign w:val="center"/>
          </w:tcPr>
          <w:p>
            <w:pPr>
              <w:pStyle w:val="18"/>
              <w:rPr>
                <w:lang w:eastAsia="zh-CN"/>
              </w:rPr>
            </w:pPr>
          </w:p>
        </w:tc>
        <w:tc>
          <w:tcPr>
            <w:tcW w:w="368" w:type="pct"/>
            <w:vAlign w:val="center"/>
          </w:tcPr>
          <w:p>
            <w:pPr>
              <w:pStyle w:val="18"/>
            </w:pPr>
          </w:p>
        </w:tc>
        <w:tc>
          <w:tcPr>
            <w:tcW w:w="230" w:type="pct"/>
            <w:vAlign w:val="center"/>
          </w:tcPr>
          <w:p>
            <w:pPr>
              <w:pStyle w:val="16"/>
              <w:rPr>
                <w:lang w:eastAsia="zh-CN"/>
              </w:rPr>
            </w:pPr>
          </w:p>
        </w:tc>
        <w:tc>
          <w:tcPr>
            <w:tcW w:w="276" w:type="pct"/>
            <w:vAlign w:val="center"/>
          </w:tcPr>
          <w:p>
            <w:pPr>
              <w:pStyle w:val="17"/>
              <w:rPr>
                <w:lang w:eastAsia="zh-CN"/>
              </w:rPr>
            </w:pPr>
          </w:p>
        </w:tc>
        <w:tc>
          <w:tcPr>
            <w:tcW w:w="276" w:type="pct"/>
            <w:vAlign w:val="center"/>
          </w:tcPr>
          <w:p>
            <w:pPr>
              <w:pStyle w:val="17"/>
              <w:rPr>
                <w:lang w:eastAsia="zh-CN"/>
              </w:rPr>
            </w:pPr>
          </w:p>
        </w:tc>
        <w:tc>
          <w:tcPr>
            <w:tcW w:w="313" w:type="pct"/>
            <w:vAlign w:val="center"/>
          </w:tcPr>
          <w:p>
            <w:pPr>
              <w:pStyle w:val="17"/>
            </w:pPr>
          </w:p>
        </w:tc>
        <w:tc>
          <w:tcPr>
            <w:tcW w:w="312" w:type="pct"/>
            <w:vAlign w:val="center"/>
          </w:tcPr>
          <w:p>
            <w:pPr>
              <w:pStyle w:val="17"/>
            </w:pPr>
          </w:p>
        </w:tc>
        <w:tc>
          <w:tcPr>
            <w:tcW w:w="313" w:type="pct"/>
            <w:vAlign w:val="center"/>
          </w:tcPr>
          <w:p>
            <w:pPr>
              <w:pStyle w:val="17"/>
            </w:pPr>
          </w:p>
        </w:tc>
        <w:tc>
          <w:tcPr>
            <w:tcW w:w="312" w:type="pct"/>
            <w:vAlign w:val="center"/>
          </w:tcPr>
          <w:p>
            <w:pPr>
              <w:pStyle w:val="17"/>
            </w:pPr>
          </w:p>
        </w:tc>
        <w:tc>
          <w:tcPr>
            <w:tcW w:w="313" w:type="pct"/>
            <w:vAlign w:val="center"/>
          </w:tcPr>
          <w:p>
            <w:pPr>
              <w:pStyle w:val="17"/>
            </w:pPr>
          </w:p>
        </w:tc>
        <w:tc>
          <w:tcPr>
            <w:tcW w:w="313" w:type="pct"/>
            <w:vAlign w:val="center"/>
          </w:tcPr>
          <w:p>
            <w:pPr>
              <w:pStyle w:val="17"/>
            </w:pPr>
          </w:p>
        </w:tc>
        <w:tc>
          <w:tcPr>
            <w:tcW w:w="312" w:type="pct"/>
            <w:vAlign w:val="center"/>
          </w:tcPr>
          <w:p>
            <w:pPr>
              <w:pStyle w:val="17"/>
            </w:pPr>
          </w:p>
        </w:tc>
        <w:tc>
          <w:tcPr>
            <w:tcW w:w="314" w:type="pct"/>
            <w:vAlign w:val="center"/>
          </w:tcPr>
          <w:p>
            <w:pPr>
              <w:pStyle w:val="17"/>
            </w:pPr>
          </w:p>
        </w:tc>
        <w:tc>
          <w:tcPr>
            <w:tcW w:w="311"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0" w:hRule="atLeast"/>
          <w:jc w:val="center"/>
        </w:trPr>
        <w:tc>
          <w:tcPr>
            <w:tcW w:w="355" w:type="pct"/>
            <w:vAlign w:val="center"/>
          </w:tcPr>
          <w:p>
            <w:pPr>
              <w:pStyle w:val="16"/>
            </w:pPr>
          </w:p>
        </w:tc>
        <w:tc>
          <w:tcPr>
            <w:tcW w:w="315" w:type="pct"/>
            <w:vAlign w:val="center"/>
          </w:tcPr>
          <w:p>
            <w:pPr>
              <w:pStyle w:val="17"/>
            </w:pPr>
            <w:r>
              <w:rPr>
                <w:rFonts w:hint="eastAsia"/>
                <w:lang w:eastAsia="zh-CN"/>
              </w:rPr>
              <w:t>4.6</w:t>
            </w:r>
          </w:p>
        </w:tc>
        <w:tc>
          <w:tcPr>
            <w:tcW w:w="367" w:type="pct"/>
            <w:vAlign w:val="center"/>
          </w:tcPr>
          <w:p>
            <w:pPr>
              <w:pStyle w:val="18"/>
            </w:pPr>
            <w:r>
              <w:rPr>
                <w:rFonts w:hint="eastAsia"/>
                <w:lang w:eastAsia="zh-CN"/>
              </w:rPr>
              <w:t>触摸一体机</w:t>
            </w:r>
          </w:p>
        </w:tc>
        <w:tc>
          <w:tcPr>
            <w:tcW w:w="368" w:type="pct"/>
            <w:vAlign w:val="center"/>
          </w:tcPr>
          <w:p>
            <w:pPr>
              <w:pStyle w:val="18"/>
            </w:pPr>
          </w:p>
        </w:tc>
        <w:tc>
          <w:tcPr>
            <w:tcW w:w="230" w:type="pct"/>
            <w:vAlign w:val="center"/>
          </w:tcPr>
          <w:p>
            <w:pPr>
              <w:pStyle w:val="16"/>
            </w:pPr>
            <w:r>
              <w:rPr>
                <w:rFonts w:hint="eastAsia"/>
                <w:lang w:eastAsia="zh-CN"/>
              </w:rPr>
              <w:t>台</w:t>
            </w:r>
          </w:p>
        </w:tc>
        <w:tc>
          <w:tcPr>
            <w:tcW w:w="276" w:type="pct"/>
            <w:vAlign w:val="center"/>
          </w:tcPr>
          <w:p>
            <w:pPr>
              <w:pStyle w:val="17"/>
            </w:pPr>
            <w:r>
              <w:rPr>
                <w:rFonts w:hint="eastAsia"/>
                <w:lang w:eastAsia="zh-CN"/>
              </w:rPr>
              <w:t>2</w:t>
            </w:r>
          </w:p>
        </w:tc>
        <w:tc>
          <w:tcPr>
            <w:tcW w:w="276" w:type="pct"/>
            <w:vAlign w:val="center"/>
          </w:tcPr>
          <w:p>
            <w:pPr>
              <w:pStyle w:val="17"/>
            </w:pPr>
            <w:r>
              <w:rPr>
                <w:rFonts w:hint="eastAsia"/>
                <w:lang w:eastAsia="zh-CN"/>
              </w:rPr>
              <w:t>2.3</w:t>
            </w:r>
          </w:p>
        </w:tc>
        <w:tc>
          <w:tcPr>
            <w:tcW w:w="313" w:type="pct"/>
            <w:vAlign w:val="center"/>
          </w:tcPr>
          <w:p>
            <w:pPr>
              <w:pStyle w:val="17"/>
            </w:pPr>
          </w:p>
        </w:tc>
        <w:tc>
          <w:tcPr>
            <w:tcW w:w="312" w:type="pct"/>
            <w:vAlign w:val="center"/>
          </w:tcPr>
          <w:p>
            <w:pPr>
              <w:pStyle w:val="17"/>
            </w:pPr>
          </w:p>
        </w:tc>
        <w:tc>
          <w:tcPr>
            <w:tcW w:w="313" w:type="pct"/>
            <w:vAlign w:val="center"/>
          </w:tcPr>
          <w:p>
            <w:pPr>
              <w:pStyle w:val="17"/>
            </w:pPr>
          </w:p>
        </w:tc>
        <w:tc>
          <w:tcPr>
            <w:tcW w:w="312" w:type="pct"/>
            <w:vAlign w:val="center"/>
          </w:tcPr>
          <w:p>
            <w:pPr>
              <w:pStyle w:val="17"/>
            </w:pPr>
          </w:p>
        </w:tc>
        <w:tc>
          <w:tcPr>
            <w:tcW w:w="313" w:type="pct"/>
            <w:vAlign w:val="center"/>
          </w:tcPr>
          <w:p>
            <w:pPr>
              <w:pStyle w:val="17"/>
            </w:pPr>
          </w:p>
        </w:tc>
        <w:tc>
          <w:tcPr>
            <w:tcW w:w="313" w:type="pct"/>
            <w:vAlign w:val="center"/>
          </w:tcPr>
          <w:p>
            <w:pPr>
              <w:pStyle w:val="17"/>
            </w:pPr>
          </w:p>
        </w:tc>
        <w:tc>
          <w:tcPr>
            <w:tcW w:w="312" w:type="pct"/>
            <w:vAlign w:val="center"/>
          </w:tcPr>
          <w:p>
            <w:pPr>
              <w:pStyle w:val="17"/>
            </w:pPr>
          </w:p>
        </w:tc>
        <w:tc>
          <w:tcPr>
            <w:tcW w:w="314" w:type="pct"/>
            <w:vAlign w:val="center"/>
          </w:tcPr>
          <w:p>
            <w:pPr>
              <w:pStyle w:val="17"/>
            </w:pPr>
          </w:p>
        </w:tc>
        <w:tc>
          <w:tcPr>
            <w:tcW w:w="311" w:type="pct"/>
            <w:vAlign w:val="center"/>
          </w:tcPr>
          <w:p>
            <w:pPr>
              <w:pStyle w:val="17"/>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仿宋_GB2312" w:eastAsia="仿宋_GB2312"/>
          <w:sz w:val="32"/>
          <w:szCs w:val="32"/>
        </w:rPr>
        <w:t>廊坊市广阳区万庄镇伊指挥营中心小学</w:t>
      </w:r>
      <w:r>
        <w:rPr>
          <w:rFonts w:ascii="Times New Roman" w:hAnsi="Times New Roman" w:eastAsia="仿宋_GB2312" w:cs="Times New Roman"/>
          <w:sz w:val="32"/>
          <w:szCs w:val="32"/>
        </w:rPr>
        <w:t>上年末固定资产金额为295万元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w:t>
      </w:r>
      <w:r>
        <w:rPr>
          <w:rFonts w:ascii="Times New Roman" w:hAnsi="Times New Roman" w:eastAsia="仿宋_GB2312" w:cs="Times New Roman"/>
          <w:sz w:val="32"/>
          <w:szCs w:val="32"/>
        </w:rPr>
        <w:t>4.6</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vAlign w:val="center"/>
          </w:tcPr>
          <w:p>
            <w:pPr>
              <w:widowControl/>
              <w:spacing w:line="584" w:lineRule="exact"/>
              <w:jc w:val="center"/>
              <w:rPr>
                <w:rFonts w:ascii="Times New Roman" w:hAnsi="Times New Roman" w:eastAsia="仿宋_GB2312" w:cs="Times New Roman"/>
                <w:b/>
                <w:bCs/>
                <w:kern w:val="0"/>
                <w:sz w:val="32"/>
                <w:szCs w:val="32"/>
              </w:rPr>
            </w:pPr>
            <w:r>
              <w:rPr>
                <w:rFonts w:hint="eastAsia" w:ascii="仿宋_GB2312" w:eastAsia="仿宋_GB2312"/>
                <w:b/>
                <w:bCs/>
                <w:sz w:val="32"/>
                <w:szCs w:val="32"/>
              </w:rPr>
              <w:t>廊坊市广阳区万庄镇伊指挥营中心小学</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t>廊坊市</w:t>
            </w:r>
            <w:r>
              <w:rPr>
                <w:rFonts w:hint="eastAsia"/>
              </w:rPr>
              <w:t>广阳区万庄镇伊指挥营中心小学</w:t>
            </w:r>
            <w:r>
              <w:t xml:space="preserve">  </w:t>
            </w:r>
          </w:p>
        </w:tc>
        <w:tc>
          <w:tcPr>
            <w:tcW w:w="5103" w:type="dxa"/>
            <w:tcBorders>
              <w:top w:val="nil"/>
              <w:left w:val="nil"/>
              <w:bottom w:val="nil"/>
              <w:right w:val="nil"/>
            </w:tcBorders>
            <w:shd w:val="clear" w:color="auto" w:fill="auto"/>
            <w:vAlign w:val="center"/>
          </w:tcPr>
          <w:p>
            <w:pPr>
              <w:widowControl/>
              <w:spacing w:line="584" w:lineRule="exact"/>
              <w:ind w:firstLine="1760" w:firstLineChars="800"/>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vAlign w:val="center"/>
          </w:tcPr>
          <w:tbl>
            <w:tblPr>
              <w:tblStyle w:val="8"/>
              <w:tblW w:w="13485" w:type="dxa"/>
              <w:tblInd w:w="93" w:type="dxa"/>
              <w:tblLayout w:type="fixed"/>
              <w:tblCellMar>
                <w:top w:w="0" w:type="dxa"/>
                <w:left w:w="108" w:type="dxa"/>
                <w:bottom w:w="0" w:type="dxa"/>
                <w:right w:w="108" w:type="dxa"/>
              </w:tblCellMar>
            </w:tblPr>
            <w:tblGrid>
              <w:gridCol w:w="5152"/>
              <w:gridCol w:w="8333"/>
            </w:tblGrid>
            <w:tr>
              <w:tblPrEx>
                <w:tblCellMar>
                  <w:top w:w="0" w:type="dxa"/>
                  <w:left w:w="108" w:type="dxa"/>
                  <w:bottom w:w="0" w:type="dxa"/>
                  <w:right w:w="108" w:type="dxa"/>
                </w:tblCellMar>
              </w:tblPrEx>
              <w:trPr>
                <w:trHeight w:val="567" w:hRule="exact"/>
              </w:trPr>
              <w:tc>
                <w:tcPr>
                  <w:tcW w:w="3155" w:type="dxa"/>
                  <w:tcBorders>
                    <w:top w:val="nil"/>
                    <w:left w:val="nil"/>
                    <w:bottom w:val="single" w:color="auto" w:sz="4" w:space="0"/>
                    <w:right w:val="single" w:color="auto" w:sz="4" w:space="0"/>
                  </w:tcBorders>
                  <w:vAlign w:val="center"/>
                </w:tcPr>
                <w:p>
                  <w:pPr>
                    <w:spacing w:line="584" w:lineRule="exact"/>
                    <w:ind w:firstLine="1100" w:firstLineChars="500"/>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2146</w:t>
                  </w: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240</w:t>
                  </w:r>
                </w:p>
              </w:tc>
            </w:tr>
            <w:tr>
              <w:tblPrEx>
                <w:tblCellMar>
                  <w:top w:w="0" w:type="dxa"/>
                  <w:left w:w="108" w:type="dxa"/>
                  <w:bottom w:w="0" w:type="dxa"/>
                  <w:right w:w="108" w:type="dxa"/>
                </w:tblCellMar>
              </w:tblPrEx>
              <w:trPr>
                <w:trHeight w:val="567" w:hRule="exact"/>
              </w:trPr>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131</w:t>
                  </w: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20</w:t>
                  </w:r>
                </w:p>
              </w:tc>
            </w:tr>
            <w:tr>
              <w:tblPrEx>
                <w:tblCellMar>
                  <w:top w:w="0" w:type="dxa"/>
                  <w:left w:w="108" w:type="dxa"/>
                  <w:bottom w:w="0" w:type="dxa"/>
                  <w:right w:w="108" w:type="dxa"/>
                </w:tblCellMar>
              </w:tblPrEx>
              <w:trPr>
                <w:trHeight w:val="567" w:hRule="exact"/>
              </w:trPr>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无</w:t>
                  </w: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无</w:t>
                  </w: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一批</w:t>
                  </w: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35</w:t>
                  </w:r>
                </w:p>
              </w:tc>
            </w:tr>
          </w:tbl>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w:t>
            </w:r>
            <w:r>
              <w:rPr>
                <w:rFonts w:ascii="Times New Roman" w:hAnsi="Times New Roman" w:eastAsia="仿宋_GB2312" w:cs="Times New Roman"/>
                <w:sz w:val="22"/>
              </w:rPr>
              <w:t>95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2146</w:t>
            </w: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240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131</w:t>
            </w: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20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无</w:t>
            </w: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无</w:t>
            </w: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一批</w:t>
            </w: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35</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C70A9"/>
    <w:rsid w:val="000F6018"/>
    <w:rsid w:val="001E00A7"/>
    <w:rsid w:val="002066E6"/>
    <w:rsid w:val="0025632D"/>
    <w:rsid w:val="003059E0"/>
    <w:rsid w:val="00420EF3"/>
    <w:rsid w:val="004A54AA"/>
    <w:rsid w:val="005A4039"/>
    <w:rsid w:val="00944233"/>
    <w:rsid w:val="00947E99"/>
    <w:rsid w:val="00A839D8"/>
    <w:rsid w:val="00B265FC"/>
    <w:rsid w:val="00B40732"/>
    <w:rsid w:val="00B80935"/>
    <w:rsid w:val="00B917E0"/>
    <w:rsid w:val="00D347CC"/>
    <w:rsid w:val="00D67F90"/>
    <w:rsid w:val="00DC72B4"/>
    <w:rsid w:val="00EA38F4"/>
    <w:rsid w:val="00F5473D"/>
    <w:rsid w:val="03835ABD"/>
    <w:rsid w:val="064B7681"/>
    <w:rsid w:val="06EB17BD"/>
    <w:rsid w:val="077F0D9F"/>
    <w:rsid w:val="08A22FB0"/>
    <w:rsid w:val="0C8607A3"/>
    <w:rsid w:val="0CEC1180"/>
    <w:rsid w:val="109B144E"/>
    <w:rsid w:val="16BC1C2B"/>
    <w:rsid w:val="17703CFF"/>
    <w:rsid w:val="19DC388A"/>
    <w:rsid w:val="1ACC3887"/>
    <w:rsid w:val="1E8C0EA5"/>
    <w:rsid w:val="1FBC739C"/>
    <w:rsid w:val="257937D1"/>
    <w:rsid w:val="29430E26"/>
    <w:rsid w:val="2B3E79F5"/>
    <w:rsid w:val="2F2F3467"/>
    <w:rsid w:val="2F3D3144"/>
    <w:rsid w:val="34101C3F"/>
    <w:rsid w:val="354B32C5"/>
    <w:rsid w:val="3C093C6B"/>
    <w:rsid w:val="40D5422C"/>
    <w:rsid w:val="40EE265A"/>
    <w:rsid w:val="4256495C"/>
    <w:rsid w:val="42615727"/>
    <w:rsid w:val="44852776"/>
    <w:rsid w:val="49F52E57"/>
    <w:rsid w:val="4A4624A7"/>
    <w:rsid w:val="4D0776B9"/>
    <w:rsid w:val="56463E40"/>
    <w:rsid w:val="566E1937"/>
    <w:rsid w:val="5CFE445B"/>
    <w:rsid w:val="5E903106"/>
    <w:rsid w:val="61AF246D"/>
    <w:rsid w:val="67B119E9"/>
    <w:rsid w:val="6E384804"/>
    <w:rsid w:val="6F59146C"/>
    <w:rsid w:val="70774C60"/>
    <w:rsid w:val="73693C55"/>
    <w:rsid w:val="7542340B"/>
    <w:rsid w:val="7581776F"/>
    <w:rsid w:val="7EC51434"/>
    <w:rsid w:val="7F055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1252</Words>
  <Characters>7139</Characters>
  <Lines>59</Lines>
  <Paragraphs>16</Paragraphs>
  <TotalTime>9</TotalTime>
  <ScaleCrop>false</ScaleCrop>
  <LinksUpToDate>false</LinksUpToDate>
  <CharactersWithSpaces>8375</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2022-07-06T08:29:59Z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8A2C3E458AEC459B815E3A13BB1A126A</vt:lpwstr>
  </property>
</Properties>
</file>